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240" w:afterLines="100" w:line="400" w:lineRule="exact"/>
        <w:jc w:val="center"/>
        <w:rPr>
          <w:lang w:eastAsia="zh-CN"/>
        </w:rPr>
      </w:pPr>
      <w:r>
        <w:rPr>
          <w:rFonts w:eastAsia="黑体"/>
          <w:sz w:val="32"/>
          <w:szCs w:val="32"/>
          <w:lang w:eastAsia="zh-CN"/>
        </w:rPr>
        <w:t>第六章 金融服务</w:t>
      </w:r>
    </w:p>
    <w:p>
      <w:pPr>
        <w:pStyle w:val="3"/>
        <w:spacing w:before="0" w:after="240" w:afterLines="100" w:line="400" w:lineRule="exact"/>
        <w:jc w:val="center"/>
        <w:rPr>
          <w:rFonts w:ascii="Times New Roman" w:hAnsi="Times New Roman" w:eastAsia="宋体"/>
          <w:sz w:val="28"/>
          <w:szCs w:val="28"/>
          <w:lang w:eastAsia="zh-CN"/>
        </w:rPr>
      </w:pPr>
      <w:r>
        <w:rPr>
          <w:rFonts w:ascii="Times New Roman" w:hAnsi="Times New Roman" w:eastAsia="宋体"/>
          <w:sz w:val="28"/>
          <w:szCs w:val="28"/>
          <w:lang w:eastAsia="zh-CN"/>
        </w:rPr>
        <w:t>方法说明</w:t>
      </w:r>
    </w:p>
    <w:p>
      <w:pPr>
        <w:pStyle w:val="3"/>
        <w:spacing w:before="0" w:after="240" w:afterLines="100" w:line="400" w:lineRule="exact"/>
        <w:jc w:val="center"/>
        <w:rPr>
          <w:rFonts w:ascii="Times New Roman" w:hAnsi="Times New Roman" w:eastAsia="宋体"/>
          <w:sz w:val="28"/>
          <w:szCs w:val="28"/>
          <w:lang w:eastAsia="zh-CN"/>
        </w:rPr>
      </w:pPr>
      <w:r>
        <w:rPr>
          <w:rFonts w:ascii="Times New Roman" w:hAnsi="Times New Roman" w:eastAsia="宋体"/>
          <w:sz w:val="28"/>
          <w:szCs w:val="28"/>
          <w:lang w:eastAsia="zh-CN"/>
        </w:rPr>
        <w:t>I.动机</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融资渠道仍是全球企业面临的主要制约因素，尽管融资对企业的运营和扩张至关重要，</w:t>
      </w:r>
      <w:r>
        <w:rPr>
          <w:rFonts w:eastAsia="宋体"/>
          <w:sz w:val="28"/>
          <w:szCs w:val="28"/>
          <w:vertAlign w:val="superscript"/>
          <w:lang w:eastAsia="zh-CN"/>
        </w:rPr>
        <w:t>1</w:t>
      </w:r>
      <w:r>
        <w:rPr>
          <w:rFonts w:eastAsia="宋体"/>
          <w:sz w:val="28"/>
          <w:szCs w:val="28"/>
          <w:lang w:eastAsia="zh-CN"/>
        </w:rPr>
        <w:t>并与企业创新呈正相关。</w:t>
      </w:r>
      <w:r>
        <w:rPr>
          <w:rFonts w:eastAsia="宋体"/>
          <w:sz w:val="28"/>
          <w:szCs w:val="28"/>
          <w:vertAlign w:val="superscript"/>
          <w:lang w:eastAsia="zh-CN"/>
        </w:rPr>
        <w:t>2</w:t>
      </w:r>
      <w:r>
        <w:rPr>
          <w:rFonts w:eastAsia="宋体"/>
          <w:sz w:val="28"/>
          <w:szCs w:val="28"/>
          <w:lang w:eastAsia="zh-CN"/>
        </w:rPr>
        <w:t>获得融资影响企业管理现金流波动的能力，并直接有助于增强企业的抵御能力，</w:t>
      </w:r>
      <w:bookmarkStart w:id="0" w:name="OLE_LINK1"/>
      <w:r>
        <w:rPr>
          <w:rFonts w:eastAsia="宋体"/>
          <w:sz w:val="28"/>
          <w:szCs w:val="28"/>
          <w:lang w:eastAsia="zh-CN"/>
        </w:rPr>
        <w:t>这一点在全球疫情期间</w:t>
      </w:r>
      <w:bookmarkEnd w:id="0"/>
      <w:r>
        <w:rPr>
          <w:rFonts w:eastAsia="宋体"/>
          <w:sz w:val="28"/>
          <w:szCs w:val="28"/>
          <w:lang w:eastAsia="zh-CN"/>
        </w:rPr>
        <w:t>越发明显。</w:t>
      </w:r>
      <w:r>
        <w:rPr>
          <w:rFonts w:eastAsia="宋体"/>
          <w:sz w:val="28"/>
          <w:szCs w:val="28"/>
          <w:vertAlign w:val="superscript"/>
          <w:lang w:eastAsia="zh-CN"/>
        </w:rPr>
        <w:t>3</w:t>
      </w:r>
      <w:r>
        <w:rPr>
          <w:rFonts w:eastAsia="宋体"/>
          <w:sz w:val="28"/>
          <w:szCs w:val="28"/>
          <w:lang w:eastAsia="zh-CN"/>
        </w:rPr>
        <w:t>研究还表明，发展中经济体的私营部门融资具有积极的宏观经济影响，因为企业层面的就业往往受益于融资渠道的改善。</w:t>
      </w:r>
      <w:r>
        <w:rPr>
          <w:rFonts w:eastAsia="宋体"/>
          <w:sz w:val="28"/>
          <w:szCs w:val="28"/>
          <w:vertAlign w:val="superscript"/>
          <w:lang w:eastAsia="zh-CN"/>
        </w:rPr>
        <w:t>4</w:t>
      </w:r>
      <w:r>
        <w:rPr>
          <w:rFonts w:eastAsia="宋体"/>
          <w:sz w:val="28"/>
          <w:szCs w:val="28"/>
          <w:lang w:eastAsia="zh-CN"/>
        </w:rPr>
        <w:t>扩大弱势群体(包括妇女</w:t>
      </w:r>
      <w:bookmarkStart w:id="16" w:name="_GoBack"/>
      <w:bookmarkEnd w:id="16"/>
      <w:r>
        <w:rPr>
          <w:rFonts w:eastAsia="宋体"/>
          <w:sz w:val="28"/>
          <w:szCs w:val="28"/>
          <w:lang w:eastAsia="zh-CN"/>
        </w:rPr>
        <w:t>在内)的融资渠道也可以减少贫困和不平等。此外，绿色融资有助于实现经济增长，为企业创造新的机会，并将资本重新导向符合联合国可持续发展目标的经济部门。</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拥有一个健全有力的监管框架，支持金融服务提供者并加强信息共享，可以增加企业获得融资的可能性。健全的尽职调查法规涵盖反洗钱/打击恐怖主义融资(AML/CFT)的各个方面，并以风险评估为基础，对宏观经济金融稳定至关重要。</w:t>
      </w:r>
      <w:r>
        <w:rPr>
          <w:rFonts w:eastAsia="宋体"/>
          <w:sz w:val="28"/>
          <w:szCs w:val="28"/>
          <w:vertAlign w:val="superscript"/>
          <w:lang w:eastAsia="zh-CN"/>
        </w:rPr>
        <w:t>6</w:t>
      </w:r>
      <w:r>
        <w:rPr>
          <w:rFonts w:eastAsia="宋体"/>
          <w:sz w:val="28"/>
          <w:szCs w:val="28"/>
          <w:lang w:eastAsia="zh-CN"/>
        </w:rPr>
        <w:t>绿色融资的有利监管框架可以促进标准和原则的制定，从而促进绿色金融市场的发展，并鼓励企业提高环保意识。此外，现代担保交易系统(通常将流动资产作为抵押品)以可承受的利率为借款人提供可获得信贷的机会。</w:t>
      </w:r>
      <w:r>
        <w:rPr>
          <w:rFonts w:eastAsia="宋体"/>
          <w:sz w:val="28"/>
          <w:szCs w:val="28"/>
          <w:vertAlign w:val="superscript"/>
          <w:lang w:eastAsia="zh-CN"/>
        </w:rPr>
        <w:t>7</w:t>
      </w:r>
      <w:r>
        <w:rPr>
          <w:rFonts w:eastAsia="宋体"/>
          <w:sz w:val="28"/>
          <w:szCs w:val="28"/>
          <w:lang w:eastAsia="zh-CN"/>
        </w:rPr>
        <w:t>为了实现融资，贷款人需要充分获取借款人的信用信息，以克服信息不对称。以信用报告的形式共享这些信息可以减少贷款人对借款人</w:t>
      </w:r>
      <w:bookmarkStart w:id="1" w:name="OLE_LINK2"/>
      <w:r>
        <w:rPr>
          <w:rFonts w:eastAsia="宋体"/>
          <w:sz w:val="28"/>
          <w:szCs w:val="28"/>
          <w:lang w:eastAsia="zh-CN"/>
        </w:rPr>
        <w:t>总债务敞口</w:t>
      </w:r>
      <w:bookmarkEnd w:id="1"/>
      <w:r>
        <w:rPr>
          <w:rFonts w:eastAsia="宋体"/>
          <w:sz w:val="28"/>
          <w:szCs w:val="28"/>
          <w:lang w:eastAsia="zh-CN"/>
        </w:rPr>
        <w:t>的不确定性，增加信贷的可获得性，并降低利率。</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可获得的融资在维持公司财务稳定方面也起着重要作用。消除支付和收款方面的瓶颈进一步加强了企业的财务安全。近年来，无现金交易(包括电子支付)持续增长。</w:t>
      </w:r>
      <w:r>
        <w:rPr>
          <w:rFonts w:eastAsia="宋体"/>
          <w:sz w:val="28"/>
          <w:szCs w:val="28"/>
          <w:vertAlign w:val="superscript"/>
          <w:lang w:eastAsia="zh-CN"/>
        </w:rPr>
        <w:t>9</w:t>
      </w:r>
      <w:r>
        <w:rPr>
          <w:rFonts w:eastAsia="宋体"/>
          <w:sz w:val="28"/>
          <w:szCs w:val="28"/>
          <w:lang w:eastAsia="zh-CN"/>
        </w:rPr>
        <w:t>然而，经济的日益数字化要求对电子解决方案进行监管，以获得技术进步的好处。这将使电子支付(e-payments)的广泛使用成为可能，这与减少逃税</w:t>
      </w:r>
      <w:r>
        <w:rPr>
          <w:rFonts w:eastAsia="宋体"/>
          <w:sz w:val="28"/>
          <w:szCs w:val="28"/>
          <w:vertAlign w:val="superscript"/>
          <w:lang w:eastAsia="zh-CN"/>
        </w:rPr>
        <w:t>10</w:t>
      </w:r>
      <w:r>
        <w:rPr>
          <w:rFonts w:eastAsia="宋体"/>
          <w:spacing w:val="-5"/>
          <w:sz w:val="28"/>
          <w:szCs w:val="28"/>
          <w:lang w:eastAsia="zh-CN"/>
        </w:rPr>
        <w:t>和降低私营部门的非正规性</w:t>
      </w:r>
      <w:r>
        <w:rPr>
          <w:rFonts w:eastAsia="宋体"/>
          <w:sz w:val="28"/>
          <w:szCs w:val="28"/>
          <w:vertAlign w:val="superscript"/>
          <w:lang w:eastAsia="zh-CN"/>
        </w:rPr>
        <w:t>11</w:t>
      </w:r>
      <w:r>
        <w:rPr>
          <w:rFonts w:eastAsia="宋体"/>
          <w:sz w:val="28"/>
          <w:szCs w:val="28"/>
          <w:lang w:eastAsia="zh-CN"/>
        </w:rPr>
        <w:t>有关。</w:t>
      </w:r>
    </w:p>
    <w:p>
      <w:pPr>
        <w:pStyle w:val="5"/>
        <w:spacing w:line="400" w:lineRule="exact"/>
        <w:ind w:firstLine="552" w:firstLineChars="200"/>
        <w:jc w:val="both"/>
        <w:rPr>
          <w:rFonts w:eastAsia="宋体"/>
          <w:sz w:val="28"/>
          <w:szCs w:val="28"/>
          <w:lang w:eastAsia="zh-CN"/>
        </w:rPr>
      </w:pPr>
      <w:r>
        <w:rPr>
          <w:rFonts w:eastAsia="宋体"/>
          <w:spacing w:val="-2"/>
          <w:sz w:val="28"/>
          <w:szCs w:val="28"/>
          <w:lang w:eastAsia="zh-CN"/>
        </w:rPr>
        <w:t>在此背景下，金融服务主题衡量商业贷款、担保交易、电子支付和绿色金融监管框架的质量和有效性。该主题还衡量信贷基础设施信息可获取性的效率，以及获得绿色金融和为妇女量身定制的产品的效率。</w:t>
      </w:r>
      <w:r>
        <w:rPr>
          <w:rFonts w:eastAsia="宋体"/>
          <w:sz w:val="28"/>
          <w:szCs w:val="28"/>
          <w:lang w:eastAsia="zh-CN"/>
        </w:rPr>
        <w:t>最后，该主题还将从企业的角度探索在实践中接受金融服务的效率。</w:t>
      </w:r>
    </w:p>
    <w:p>
      <w:pPr>
        <w:pStyle w:val="3"/>
        <w:spacing w:before="0" w:after="240" w:afterLines="100" w:line="400" w:lineRule="exact"/>
        <w:jc w:val="center"/>
        <w:rPr>
          <w:rFonts w:ascii="Times New Roman" w:hAnsi="Times New Roman" w:eastAsia="宋体"/>
          <w:sz w:val="28"/>
          <w:szCs w:val="28"/>
          <w:lang w:eastAsia="zh-CN"/>
        </w:rPr>
      </w:pPr>
      <w:r>
        <w:rPr>
          <w:rFonts w:ascii="Times New Roman" w:hAnsi="Times New Roman" w:eastAsia="宋体"/>
          <w:sz w:val="28"/>
          <w:szCs w:val="28"/>
          <w:lang w:eastAsia="zh-CN"/>
        </w:rPr>
        <w:t>II. 指标</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金融服务主题衡量五个方面:商业贷款监管质量</w:t>
      </w:r>
      <w:r>
        <w:rPr>
          <w:rFonts w:hint="eastAsia" w:eastAsia="宋体"/>
          <w:sz w:val="28"/>
          <w:szCs w:val="28"/>
          <w:lang w:eastAsia="zh-CN"/>
        </w:rPr>
        <w:t>；</w:t>
      </w:r>
      <w:r>
        <w:rPr>
          <w:rFonts w:eastAsia="宋体"/>
          <w:sz w:val="28"/>
          <w:szCs w:val="28"/>
          <w:lang w:eastAsia="zh-CN"/>
        </w:rPr>
        <w:t>担保交易和担保品登记处的运营</w:t>
      </w:r>
      <w:r>
        <w:rPr>
          <w:rFonts w:hint="eastAsia" w:eastAsia="宋体"/>
          <w:sz w:val="28"/>
          <w:szCs w:val="28"/>
          <w:lang w:eastAsia="zh-CN"/>
        </w:rPr>
        <w:t>；</w:t>
      </w:r>
      <w:r>
        <w:rPr>
          <w:rFonts w:eastAsia="宋体"/>
          <w:sz w:val="28"/>
          <w:szCs w:val="28"/>
          <w:lang w:eastAsia="zh-CN"/>
        </w:rPr>
        <w:t>网络支付</w:t>
      </w:r>
      <w:r>
        <w:rPr>
          <w:rFonts w:hint="eastAsia" w:eastAsia="宋体"/>
          <w:sz w:val="28"/>
          <w:szCs w:val="28"/>
          <w:lang w:eastAsia="zh-CN"/>
        </w:rPr>
        <w:t>；</w:t>
      </w:r>
      <w:r>
        <w:rPr>
          <w:rFonts w:eastAsia="宋体"/>
          <w:sz w:val="28"/>
          <w:szCs w:val="28"/>
          <w:lang w:eastAsia="zh-CN"/>
        </w:rPr>
        <w:t>绿色金融</w:t>
      </w:r>
      <w:r>
        <w:rPr>
          <w:rFonts w:hint="eastAsia" w:eastAsia="宋体"/>
          <w:sz w:val="28"/>
          <w:szCs w:val="28"/>
          <w:lang w:eastAsia="zh-CN"/>
        </w:rPr>
        <w:t>；</w:t>
      </w:r>
      <w:r>
        <w:rPr>
          <w:rFonts w:eastAsia="宋体"/>
          <w:sz w:val="28"/>
          <w:szCs w:val="28"/>
          <w:lang w:eastAsia="zh-CN"/>
        </w:rPr>
        <w:t>征信机构和登记机构的运作——跨越三个不同的维度。第一个维度评估商业贷款、担保交易、电子支付和绿色融资有关的监管的有效性，涵盖监管框架的法律特征。第二个维度通过评估信贷局和登记机构的运作、抵押品登记机构的运作以及实践中的绿色融资选择，衡量信贷基础设施信息的可及性。这一维度还衡量了提供为妇女量身定制的金融和非金融产品，以及提高妇女在金融机构代表性的相关培训和方案。因此，第二个维度评估了事实上和法律上提供的金融服务。第三个维度衡量获得贷款、登记担保权益和进行电子支付所需的时间和成本，以及信用信息共享的及时性。该维度还评估了在获得正规金融服务和使用电子支付方面的性别差距。每个</w:t>
      </w:r>
      <w:r>
        <w:rPr>
          <w:rFonts w:hint="eastAsia" w:eastAsia="宋体"/>
          <w:sz w:val="28"/>
          <w:szCs w:val="28"/>
          <w:lang w:eastAsia="zh-CN"/>
        </w:rPr>
        <w:t>维度（一级指标）</w:t>
      </w:r>
      <w:r>
        <w:rPr>
          <w:rFonts w:eastAsia="宋体"/>
          <w:sz w:val="28"/>
          <w:szCs w:val="28"/>
          <w:lang w:eastAsia="zh-CN"/>
        </w:rPr>
        <w:t>都被划分为由共同特征定义的类别</w:t>
      </w:r>
      <w:r>
        <w:rPr>
          <w:rFonts w:hint="eastAsia" w:eastAsia="宋体"/>
          <w:sz w:val="28"/>
          <w:szCs w:val="28"/>
          <w:lang w:eastAsia="zh-CN"/>
        </w:rPr>
        <w:t>（二级指标）</w:t>
      </w:r>
      <w:r>
        <w:rPr>
          <w:rFonts w:eastAsia="宋体"/>
          <w:sz w:val="28"/>
          <w:szCs w:val="28"/>
          <w:lang w:eastAsia="zh-CN"/>
        </w:rPr>
        <w:t>，这些共同特征为分组提供了信息，并将每个类别进一步划分为子类别</w:t>
      </w:r>
      <w:r>
        <w:rPr>
          <w:rFonts w:hint="eastAsia" w:eastAsia="宋体"/>
          <w:sz w:val="28"/>
          <w:szCs w:val="28"/>
          <w:lang w:eastAsia="zh-CN"/>
        </w:rPr>
        <w:t>（三级指标）</w:t>
      </w:r>
      <w:r>
        <w:rPr>
          <w:rFonts w:eastAsia="宋体"/>
          <w:sz w:val="28"/>
          <w:szCs w:val="28"/>
          <w:lang w:eastAsia="zh-CN"/>
        </w:rPr>
        <w:t>。每个子类别都有几个指标，每个指标又可能有几个组成部分。将相关点分配给每个指标，随后进行汇总，获得每个子类别</w:t>
      </w:r>
      <w:r>
        <w:rPr>
          <w:rFonts w:hint="eastAsia" w:eastAsia="宋体"/>
          <w:sz w:val="28"/>
          <w:szCs w:val="28"/>
          <w:lang w:eastAsia="zh-CN"/>
        </w:rPr>
        <w:t>（三级指标）</w:t>
      </w:r>
      <w:r>
        <w:rPr>
          <w:rFonts w:eastAsia="宋体"/>
          <w:sz w:val="28"/>
          <w:szCs w:val="28"/>
          <w:lang w:eastAsia="zh-CN"/>
        </w:rPr>
        <w:t>、类别</w:t>
      </w:r>
      <w:r>
        <w:rPr>
          <w:rFonts w:hint="eastAsia" w:eastAsia="宋体"/>
          <w:sz w:val="28"/>
          <w:szCs w:val="28"/>
          <w:lang w:eastAsia="zh-CN"/>
        </w:rPr>
        <w:t>（二级指标）</w:t>
      </w:r>
      <w:r>
        <w:rPr>
          <w:rFonts w:eastAsia="宋体"/>
          <w:sz w:val="28"/>
          <w:szCs w:val="28"/>
          <w:lang w:eastAsia="zh-CN"/>
        </w:rPr>
        <w:t>和维度</w:t>
      </w:r>
      <w:r>
        <w:rPr>
          <w:rFonts w:hint="eastAsia" w:eastAsia="宋体"/>
          <w:sz w:val="28"/>
          <w:szCs w:val="28"/>
          <w:lang w:eastAsia="zh-CN"/>
        </w:rPr>
        <w:t>（一级指标）</w:t>
      </w:r>
      <w:r>
        <w:rPr>
          <w:rFonts w:eastAsia="宋体"/>
          <w:sz w:val="28"/>
          <w:szCs w:val="28"/>
          <w:lang w:eastAsia="zh-CN"/>
        </w:rPr>
        <w:t>的点数。表1</w:t>
      </w:r>
      <w:r>
        <w:rPr>
          <w:rFonts w:hint="eastAsia" w:eastAsia="宋体"/>
          <w:sz w:val="28"/>
          <w:szCs w:val="28"/>
          <w:lang w:eastAsia="zh-CN"/>
        </w:rPr>
        <w:t>汇总</w:t>
      </w:r>
      <w:r>
        <w:rPr>
          <w:rFonts w:eastAsia="宋体"/>
          <w:sz w:val="28"/>
          <w:szCs w:val="28"/>
          <w:lang w:eastAsia="zh-CN"/>
        </w:rPr>
        <w:t>所有三个维度的摘要，以及五个测量领域的类别:商业贷款、担保交易、电子支付、绿色融资和信用信息。</w:t>
      </w:r>
    </w:p>
    <w:p>
      <w:pPr>
        <w:spacing w:line="400" w:lineRule="exact"/>
        <w:jc w:val="center"/>
        <w:rPr>
          <w:rFonts w:eastAsia="宋体"/>
          <w:b/>
          <w:sz w:val="28"/>
          <w:szCs w:val="28"/>
          <w:lang w:eastAsia="zh-CN"/>
        </w:rPr>
      </w:pPr>
      <w:r>
        <w:rPr>
          <w:rFonts w:eastAsia="宋体"/>
          <w:b/>
          <w:sz w:val="28"/>
          <w:szCs w:val="28"/>
          <w:lang w:eastAsia="zh-CN"/>
        </w:rPr>
        <w:t>表1.</w:t>
      </w:r>
      <w:r>
        <w:rPr>
          <w:rFonts w:hint="eastAsia" w:eastAsia="宋体"/>
          <w:b/>
          <w:sz w:val="28"/>
          <w:szCs w:val="28"/>
          <w:lang w:eastAsia="zh-CN"/>
        </w:rPr>
        <w:t xml:space="preserve"> </w:t>
      </w:r>
      <w:r>
        <w:rPr>
          <w:rFonts w:eastAsia="宋体"/>
          <w:b/>
          <w:sz w:val="28"/>
          <w:szCs w:val="28"/>
          <w:lang w:eastAsia="zh-CN"/>
        </w:rPr>
        <w:t>金融服务主题三大维度汇总表</w:t>
      </w:r>
    </w:p>
    <w:tbl>
      <w:tblPr>
        <w:tblStyle w:val="8"/>
        <w:tblW w:w="8877"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76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 w:hRule="atLeast"/>
        </w:trPr>
        <w:tc>
          <w:tcPr>
            <w:tcW w:w="8877" w:type="dxa"/>
            <w:gridSpan w:val="2"/>
            <w:shd w:val="clear" w:color="auto" w:fill="E7EBF5"/>
            <w:vAlign w:val="center"/>
          </w:tcPr>
          <w:p>
            <w:pPr>
              <w:pStyle w:val="12"/>
              <w:spacing w:before="26"/>
              <w:jc w:val="both"/>
              <w:rPr>
                <w:rFonts w:eastAsia="宋体"/>
                <w:b/>
                <w:sz w:val="24"/>
                <w:szCs w:val="24"/>
                <w:lang w:eastAsia="zh-CN"/>
              </w:rPr>
            </w:pPr>
            <w:bookmarkStart w:id="2" w:name="OLE_LINK24"/>
            <w:r>
              <w:rPr>
                <w:rFonts w:eastAsia="宋体"/>
                <w:b/>
                <w:sz w:val="24"/>
                <w:szCs w:val="24"/>
                <w:lang w:eastAsia="zh-CN"/>
              </w:rPr>
              <w:t>维度I</w:t>
            </w:r>
            <w:r>
              <w:rPr>
                <w:rFonts w:hint="eastAsia" w:ascii="Songti SC Bold" w:hAnsi="Songti SC Bold" w:eastAsia="Songti SC Bold" w:cs="Songti SC Bold"/>
                <w:b/>
                <w:sz w:val="24"/>
                <w:lang w:eastAsia="zh-CN"/>
              </w:rPr>
              <w:t>-</w:t>
            </w:r>
            <w:r>
              <w:rPr>
                <w:rFonts w:eastAsia="宋体"/>
                <w:b/>
                <w:sz w:val="24"/>
                <w:szCs w:val="24"/>
                <w:lang w:eastAsia="zh-CN"/>
              </w:rPr>
              <w:t>商业贷款、担保交易、电子支付和绿色融资监管质量</w:t>
            </w:r>
            <w:bookmarkEnd w:id="2"/>
            <w:r>
              <w:rPr>
                <w:rFonts w:eastAsia="宋体"/>
                <w:b/>
                <w:sz w:val="24"/>
                <w:szCs w:val="24"/>
                <w:lang w:eastAsia="zh-CN"/>
              </w:rPr>
              <w:t>(30个指标)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 w:hRule="atLeast"/>
        </w:trPr>
        <w:tc>
          <w:tcPr>
            <w:tcW w:w="1186" w:type="dxa"/>
            <w:shd w:val="clear" w:color="auto" w:fill="E7EBF5"/>
            <w:vAlign w:val="center"/>
          </w:tcPr>
          <w:p>
            <w:pPr>
              <w:pStyle w:val="12"/>
              <w:spacing w:before="2"/>
              <w:jc w:val="both"/>
              <w:rPr>
                <w:rFonts w:eastAsia="宋体"/>
                <w:b/>
                <w:sz w:val="24"/>
                <w:szCs w:val="24"/>
              </w:rPr>
            </w:pPr>
            <w:r>
              <w:rPr>
                <w:rFonts w:eastAsia="宋体"/>
                <w:b/>
                <w:spacing w:val="-5"/>
                <w:sz w:val="24"/>
                <w:szCs w:val="24"/>
              </w:rPr>
              <w:t>1.1</w:t>
            </w:r>
          </w:p>
        </w:tc>
        <w:tc>
          <w:tcPr>
            <w:tcW w:w="7691" w:type="dxa"/>
            <w:shd w:val="clear" w:color="auto" w:fill="E7EBF5"/>
            <w:vAlign w:val="center"/>
          </w:tcPr>
          <w:p>
            <w:pPr>
              <w:pStyle w:val="12"/>
              <w:spacing w:before="2"/>
              <w:jc w:val="both"/>
              <w:rPr>
                <w:rFonts w:eastAsia="宋体"/>
                <w:b/>
                <w:sz w:val="24"/>
                <w:szCs w:val="24"/>
                <w:lang w:eastAsia="zh-CN"/>
              </w:rPr>
            </w:pPr>
            <w:r>
              <w:rPr>
                <w:rFonts w:eastAsia="宋体"/>
                <w:b/>
                <w:sz w:val="24"/>
                <w:szCs w:val="24"/>
                <w:lang w:eastAsia="zh-CN"/>
              </w:rPr>
              <w:t>商业贷款的良好监管</w:t>
            </w:r>
            <w:r>
              <w:rPr>
                <w:rFonts w:hint="eastAsia" w:eastAsia="宋体"/>
                <w:b/>
                <w:sz w:val="24"/>
                <w:szCs w:val="24"/>
                <w:lang w:eastAsia="zh-CN"/>
              </w:rPr>
              <w:t>措施</w:t>
            </w:r>
            <w:r>
              <w:rPr>
                <w:rFonts w:eastAsia="宋体"/>
                <w:b/>
                <w:sz w:val="24"/>
                <w:szCs w:val="24"/>
                <w:lang w:eastAsia="zh-CN"/>
              </w:rPr>
              <w:t>(6项指标)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1.1.1</w:t>
            </w:r>
          </w:p>
        </w:tc>
        <w:tc>
          <w:tcPr>
            <w:tcW w:w="7691" w:type="dxa"/>
            <w:vAlign w:val="center"/>
          </w:tcPr>
          <w:p>
            <w:pPr>
              <w:pStyle w:val="12"/>
              <w:jc w:val="both"/>
              <w:rPr>
                <w:rFonts w:eastAsia="宋体"/>
                <w:sz w:val="24"/>
                <w:szCs w:val="24"/>
                <w:lang w:eastAsia="zh-CN"/>
              </w:rPr>
            </w:pPr>
            <w:r>
              <w:rPr>
                <w:rFonts w:eastAsia="宋体"/>
                <w:sz w:val="24"/>
                <w:szCs w:val="24"/>
                <w:lang w:eastAsia="zh-CN"/>
              </w:rPr>
              <w:t>进行客户尽职调查(CDD)和记录保存要求(2项指标)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vAlign w:val="center"/>
          </w:tcPr>
          <w:p>
            <w:pPr>
              <w:pStyle w:val="12"/>
              <w:jc w:val="both"/>
              <w:rPr>
                <w:rFonts w:eastAsia="宋体"/>
                <w:sz w:val="24"/>
                <w:szCs w:val="24"/>
              </w:rPr>
            </w:pPr>
            <w:r>
              <w:rPr>
                <w:rFonts w:eastAsia="宋体"/>
                <w:spacing w:val="-2"/>
                <w:sz w:val="24"/>
                <w:szCs w:val="24"/>
              </w:rPr>
              <w:t>1.1.2</w:t>
            </w:r>
          </w:p>
        </w:tc>
        <w:tc>
          <w:tcPr>
            <w:tcW w:w="7691" w:type="dxa"/>
            <w:vAlign w:val="center"/>
          </w:tcPr>
          <w:p>
            <w:pPr>
              <w:pStyle w:val="12"/>
              <w:jc w:val="both"/>
              <w:rPr>
                <w:rFonts w:eastAsia="宋体"/>
                <w:sz w:val="24"/>
                <w:szCs w:val="24"/>
                <w:lang w:eastAsia="zh-CN"/>
              </w:rPr>
            </w:pPr>
            <w:r>
              <w:rPr>
                <w:rFonts w:eastAsia="宋体"/>
                <w:sz w:val="24"/>
                <w:szCs w:val="24"/>
                <w:lang w:eastAsia="zh-CN"/>
              </w:rPr>
              <w:t>基于风险的方法和风险因素(2个指标)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1.1.3</w:t>
            </w:r>
          </w:p>
        </w:tc>
        <w:tc>
          <w:tcPr>
            <w:tcW w:w="7691" w:type="dxa"/>
            <w:vAlign w:val="center"/>
          </w:tcPr>
          <w:p>
            <w:pPr>
              <w:pStyle w:val="12"/>
              <w:jc w:val="both"/>
              <w:rPr>
                <w:rFonts w:eastAsia="宋体"/>
                <w:sz w:val="24"/>
                <w:szCs w:val="24"/>
                <w:lang w:eastAsia="zh-CN"/>
              </w:rPr>
            </w:pPr>
            <w:r>
              <w:rPr>
                <w:rFonts w:hint="eastAsia" w:eastAsia="宋体"/>
                <w:sz w:val="24"/>
                <w:szCs w:val="24"/>
                <w:lang w:eastAsia="zh-CN"/>
              </w:rPr>
              <w:t>加强</w:t>
            </w:r>
            <w:r>
              <w:rPr>
                <w:rFonts w:eastAsia="宋体"/>
                <w:sz w:val="24"/>
                <w:szCs w:val="24"/>
                <w:lang w:eastAsia="zh-CN"/>
              </w:rPr>
              <w:t>和简化CDD措施的可用性(2个指标)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vAlign w:val="center"/>
          </w:tcPr>
          <w:p>
            <w:pPr>
              <w:pStyle w:val="12"/>
              <w:jc w:val="both"/>
              <w:rPr>
                <w:rFonts w:eastAsia="宋体"/>
                <w:b/>
                <w:sz w:val="24"/>
                <w:szCs w:val="24"/>
              </w:rPr>
            </w:pPr>
            <w:r>
              <w:rPr>
                <w:rFonts w:eastAsia="宋体"/>
                <w:b/>
                <w:spacing w:val="-5"/>
                <w:sz w:val="24"/>
                <w:szCs w:val="24"/>
              </w:rPr>
              <w:t>1.2</w:t>
            </w:r>
          </w:p>
        </w:tc>
        <w:tc>
          <w:tcPr>
            <w:tcW w:w="7691" w:type="dxa"/>
            <w:shd w:val="clear" w:color="auto" w:fill="E7EBF5"/>
            <w:vAlign w:val="center"/>
          </w:tcPr>
          <w:p>
            <w:pPr>
              <w:pStyle w:val="12"/>
              <w:jc w:val="both"/>
              <w:rPr>
                <w:rFonts w:eastAsia="宋体"/>
                <w:b/>
                <w:sz w:val="24"/>
                <w:szCs w:val="24"/>
                <w:lang w:eastAsia="zh-CN"/>
              </w:rPr>
            </w:pPr>
            <w:r>
              <w:rPr>
                <w:rFonts w:eastAsia="宋体"/>
                <w:b/>
                <w:sz w:val="24"/>
                <w:szCs w:val="24"/>
                <w:lang w:eastAsia="zh-CN"/>
              </w:rPr>
              <w:t>担保交易的良好监管措施(7项指标)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1.2.1 "</w:t>
            </w:r>
          </w:p>
        </w:tc>
        <w:tc>
          <w:tcPr>
            <w:tcW w:w="7691" w:type="dxa"/>
            <w:vAlign w:val="center"/>
          </w:tcPr>
          <w:p>
            <w:pPr>
              <w:pStyle w:val="12"/>
              <w:jc w:val="both"/>
              <w:rPr>
                <w:rFonts w:eastAsia="宋体"/>
                <w:sz w:val="24"/>
                <w:szCs w:val="24"/>
                <w:lang w:eastAsia="zh-CN"/>
              </w:rPr>
            </w:pPr>
            <w:r>
              <w:rPr>
                <w:rFonts w:eastAsia="宋体"/>
                <w:sz w:val="24"/>
                <w:szCs w:val="24"/>
                <w:lang w:eastAsia="zh-CN"/>
              </w:rPr>
              <w:t>担保交易的统一法律框架(1项指标)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1.2.2</w:t>
            </w:r>
          </w:p>
        </w:tc>
        <w:tc>
          <w:tcPr>
            <w:tcW w:w="7691" w:type="dxa"/>
            <w:vAlign w:val="center"/>
          </w:tcPr>
          <w:p>
            <w:pPr>
              <w:pStyle w:val="12"/>
              <w:jc w:val="both"/>
              <w:rPr>
                <w:rFonts w:eastAsia="宋体"/>
                <w:sz w:val="24"/>
                <w:szCs w:val="24"/>
                <w:lang w:eastAsia="zh-CN"/>
              </w:rPr>
            </w:pPr>
            <w:r>
              <w:rPr>
                <w:rFonts w:eastAsia="宋体"/>
                <w:sz w:val="24"/>
                <w:szCs w:val="24"/>
                <w:lang w:eastAsia="zh-CN"/>
              </w:rPr>
              <w:t>可担保的动产、债务和义务类型(4个指标)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vAlign w:val="center"/>
          </w:tcPr>
          <w:p>
            <w:pPr>
              <w:pStyle w:val="12"/>
              <w:jc w:val="both"/>
              <w:rPr>
                <w:rFonts w:eastAsia="宋体"/>
                <w:sz w:val="24"/>
                <w:szCs w:val="24"/>
              </w:rPr>
            </w:pPr>
            <w:r>
              <w:rPr>
                <w:rFonts w:eastAsia="宋体"/>
                <w:spacing w:val="-2"/>
                <w:sz w:val="24"/>
                <w:szCs w:val="24"/>
              </w:rPr>
              <w:t>1.2.3</w:t>
            </w:r>
          </w:p>
        </w:tc>
        <w:tc>
          <w:tcPr>
            <w:tcW w:w="7691" w:type="dxa"/>
            <w:vAlign w:val="center"/>
          </w:tcPr>
          <w:p>
            <w:pPr>
              <w:pStyle w:val="12"/>
              <w:jc w:val="both"/>
              <w:rPr>
                <w:rFonts w:eastAsia="宋体"/>
                <w:sz w:val="24"/>
                <w:szCs w:val="24"/>
              </w:rPr>
            </w:pPr>
            <w:r>
              <w:rPr>
                <w:rFonts w:eastAsia="宋体"/>
                <w:sz w:val="24"/>
                <w:szCs w:val="24"/>
              </w:rPr>
              <w:t>优先</w:t>
            </w:r>
            <w:r>
              <w:rPr>
                <w:rFonts w:hint="eastAsia" w:eastAsia="宋体"/>
                <w:sz w:val="24"/>
                <w:szCs w:val="24"/>
                <w:lang w:eastAsia="zh-CN"/>
              </w:rPr>
              <w:t>权</w:t>
            </w:r>
            <w:r>
              <w:rPr>
                <w:rFonts w:eastAsia="宋体"/>
                <w:sz w:val="24"/>
                <w:szCs w:val="24"/>
              </w:rPr>
              <w:t>/执行(2个指标)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vAlign w:val="center"/>
          </w:tcPr>
          <w:p>
            <w:pPr>
              <w:pStyle w:val="12"/>
              <w:jc w:val="both"/>
              <w:rPr>
                <w:rFonts w:eastAsia="宋体"/>
                <w:b/>
                <w:sz w:val="24"/>
                <w:szCs w:val="24"/>
              </w:rPr>
            </w:pPr>
            <w:r>
              <w:rPr>
                <w:rFonts w:eastAsia="宋体"/>
                <w:b/>
                <w:spacing w:val="-5"/>
                <w:sz w:val="24"/>
                <w:szCs w:val="24"/>
              </w:rPr>
              <w:t>1.3</w:t>
            </w:r>
          </w:p>
        </w:tc>
        <w:tc>
          <w:tcPr>
            <w:tcW w:w="7691" w:type="dxa"/>
            <w:shd w:val="clear" w:color="auto" w:fill="E7EBF5"/>
            <w:vAlign w:val="center"/>
          </w:tcPr>
          <w:p>
            <w:pPr>
              <w:pStyle w:val="12"/>
              <w:jc w:val="both"/>
              <w:rPr>
                <w:rFonts w:eastAsia="宋体"/>
                <w:b/>
                <w:sz w:val="24"/>
                <w:szCs w:val="24"/>
                <w:lang w:eastAsia="zh-CN"/>
              </w:rPr>
            </w:pPr>
            <w:r>
              <w:rPr>
                <w:rFonts w:eastAsia="宋体"/>
                <w:b/>
                <w:sz w:val="24"/>
                <w:szCs w:val="24"/>
                <w:lang w:eastAsia="zh-CN"/>
              </w:rPr>
              <w:t>电子支付的良好监管</w:t>
            </w:r>
            <w:r>
              <w:rPr>
                <w:rFonts w:hint="eastAsia" w:eastAsia="宋体"/>
                <w:b/>
                <w:sz w:val="24"/>
                <w:szCs w:val="24"/>
                <w:lang w:eastAsia="zh-CN"/>
              </w:rPr>
              <w:t>措施</w:t>
            </w:r>
            <w:r>
              <w:rPr>
                <w:rFonts w:eastAsia="宋体"/>
                <w:b/>
                <w:sz w:val="24"/>
                <w:szCs w:val="24"/>
                <w:lang w:eastAsia="zh-CN"/>
              </w:rPr>
              <w:t>(12项指标)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vAlign w:val="center"/>
          </w:tcPr>
          <w:p>
            <w:pPr>
              <w:pStyle w:val="12"/>
              <w:jc w:val="both"/>
              <w:rPr>
                <w:rFonts w:eastAsia="宋体"/>
                <w:sz w:val="24"/>
                <w:szCs w:val="24"/>
              </w:rPr>
            </w:pPr>
            <w:r>
              <w:rPr>
                <w:rFonts w:eastAsia="宋体"/>
                <w:spacing w:val="-2"/>
                <w:sz w:val="24"/>
                <w:szCs w:val="24"/>
              </w:rPr>
              <w:t>1.3.1</w:t>
            </w:r>
          </w:p>
        </w:tc>
        <w:tc>
          <w:tcPr>
            <w:tcW w:w="7691" w:type="dxa"/>
            <w:vAlign w:val="center"/>
          </w:tcPr>
          <w:p>
            <w:pPr>
              <w:pStyle w:val="12"/>
              <w:jc w:val="both"/>
              <w:rPr>
                <w:rFonts w:eastAsia="宋体"/>
                <w:sz w:val="24"/>
                <w:szCs w:val="24"/>
              </w:rPr>
            </w:pPr>
            <w:r>
              <w:rPr>
                <w:rFonts w:eastAsia="宋体"/>
                <w:sz w:val="24"/>
                <w:szCs w:val="24"/>
              </w:rPr>
              <w:t>风险管理(3个指标)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1.3.2</w:t>
            </w:r>
          </w:p>
        </w:tc>
        <w:tc>
          <w:tcPr>
            <w:tcW w:w="7691" w:type="dxa"/>
            <w:vAlign w:val="center"/>
          </w:tcPr>
          <w:p>
            <w:pPr>
              <w:pStyle w:val="12"/>
              <w:jc w:val="both"/>
              <w:rPr>
                <w:rFonts w:eastAsia="宋体"/>
                <w:sz w:val="24"/>
                <w:szCs w:val="24"/>
              </w:rPr>
            </w:pPr>
            <w:r>
              <w:rPr>
                <w:rFonts w:eastAsia="宋体"/>
                <w:sz w:val="24"/>
                <w:szCs w:val="24"/>
              </w:rPr>
              <w:t>客户资金保护(2项指标)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1.3.3</w:t>
            </w:r>
          </w:p>
        </w:tc>
        <w:tc>
          <w:tcPr>
            <w:tcW w:w="7691" w:type="dxa"/>
            <w:vAlign w:val="center"/>
          </w:tcPr>
          <w:p>
            <w:pPr>
              <w:pStyle w:val="12"/>
              <w:jc w:val="both"/>
              <w:rPr>
                <w:rFonts w:eastAsia="宋体"/>
                <w:sz w:val="24"/>
                <w:szCs w:val="24"/>
                <w:lang w:eastAsia="zh-CN"/>
              </w:rPr>
            </w:pPr>
            <w:r>
              <w:rPr>
                <w:rFonts w:eastAsia="宋体"/>
                <w:sz w:val="24"/>
                <w:szCs w:val="24"/>
                <w:lang w:eastAsia="zh-CN"/>
              </w:rPr>
              <w:t>费用、条款和条件的透明度(2个指标)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vAlign w:val="center"/>
          </w:tcPr>
          <w:p>
            <w:pPr>
              <w:pStyle w:val="12"/>
              <w:spacing w:before="2"/>
              <w:jc w:val="both"/>
              <w:rPr>
                <w:rFonts w:eastAsia="宋体"/>
                <w:sz w:val="24"/>
                <w:szCs w:val="24"/>
              </w:rPr>
            </w:pPr>
            <w:r>
              <w:rPr>
                <w:rFonts w:eastAsia="宋体"/>
                <w:spacing w:val="-2"/>
                <w:sz w:val="24"/>
                <w:szCs w:val="24"/>
              </w:rPr>
              <w:t>1.3.4</w:t>
            </w:r>
          </w:p>
        </w:tc>
        <w:tc>
          <w:tcPr>
            <w:tcW w:w="7691" w:type="dxa"/>
            <w:vAlign w:val="center"/>
          </w:tcPr>
          <w:p>
            <w:pPr>
              <w:pStyle w:val="12"/>
              <w:spacing w:before="2"/>
              <w:jc w:val="both"/>
              <w:rPr>
                <w:rFonts w:eastAsia="宋体"/>
                <w:sz w:val="24"/>
                <w:szCs w:val="24"/>
                <w:lang w:eastAsia="zh-CN"/>
              </w:rPr>
            </w:pPr>
            <w:r>
              <w:rPr>
                <w:rFonts w:eastAsia="宋体"/>
                <w:sz w:val="24"/>
                <w:szCs w:val="24"/>
                <w:lang w:eastAsia="zh-CN"/>
              </w:rPr>
              <w:t>可靠的追索权和争端解决机制的可用性(2个指标)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1.3.5</w:t>
            </w:r>
          </w:p>
        </w:tc>
        <w:tc>
          <w:tcPr>
            <w:tcW w:w="7691" w:type="dxa"/>
            <w:vAlign w:val="center"/>
          </w:tcPr>
          <w:p>
            <w:pPr>
              <w:pStyle w:val="12"/>
              <w:jc w:val="both"/>
              <w:rPr>
                <w:rFonts w:eastAsia="宋体"/>
                <w:sz w:val="24"/>
                <w:szCs w:val="24"/>
                <w:lang w:eastAsia="zh-CN"/>
              </w:rPr>
            </w:pPr>
            <w:r>
              <w:rPr>
                <w:rFonts w:eastAsia="宋体"/>
                <w:sz w:val="24"/>
                <w:szCs w:val="24"/>
                <w:lang w:eastAsia="zh-CN"/>
              </w:rPr>
              <w:t>互操作性和促进竞争(3个指标)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vAlign w:val="center"/>
          </w:tcPr>
          <w:p>
            <w:pPr>
              <w:pStyle w:val="12"/>
              <w:jc w:val="both"/>
              <w:rPr>
                <w:rFonts w:eastAsia="宋体"/>
                <w:b/>
                <w:sz w:val="24"/>
                <w:szCs w:val="24"/>
              </w:rPr>
            </w:pPr>
            <w:r>
              <w:rPr>
                <w:rFonts w:eastAsia="宋体"/>
                <w:b/>
                <w:spacing w:val="-5"/>
                <w:sz w:val="24"/>
                <w:szCs w:val="24"/>
              </w:rPr>
              <w:t>1.4</w:t>
            </w:r>
          </w:p>
        </w:tc>
        <w:tc>
          <w:tcPr>
            <w:tcW w:w="7691" w:type="dxa"/>
            <w:shd w:val="clear" w:color="auto" w:fill="E7EBF5"/>
            <w:vAlign w:val="center"/>
          </w:tcPr>
          <w:p>
            <w:pPr>
              <w:pStyle w:val="12"/>
              <w:jc w:val="both"/>
              <w:rPr>
                <w:rFonts w:eastAsia="宋体"/>
                <w:b/>
                <w:sz w:val="24"/>
                <w:szCs w:val="24"/>
                <w:lang w:eastAsia="zh-CN"/>
              </w:rPr>
            </w:pPr>
            <w:r>
              <w:rPr>
                <w:rFonts w:eastAsia="宋体"/>
                <w:b/>
                <w:sz w:val="24"/>
                <w:szCs w:val="24"/>
                <w:lang w:eastAsia="zh-CN"/>
              </w:rPr>
              <w:t>绿色融资的良好监管</w:t>
            </w:r>
            <w:r>
              <w:rPr>
                <w:rFonts w:hint="eastAsia" w:eastAsia="宋体"/>
                <w:b/>
                <w:sz w:val="24"/>
                <w:szCs w:val="24"/>
                <w:lang w:eastAsia="zh-CN"/>
              </w:rPr>
              <w:t>措施</w:t>
            </w:r>
            <w:r>
              <w:rPr>
                <w:rFonts w:eastAsia="宋体"/>
                <w:b/>
                <w:sz w:val="24"/>
                <w:szCs w:val="24"/>
                <w:lang w:eastAsia="zh-CN"/>
              </w:rPr>
              <w:t>(5个指标)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1.4.1</w:t>
            </w:r>
          </w:p>
        </w:tc>
        <w:tc>
          <w:tcPr>
            <w:tcW w:w="7691" w:type="dxa"/>
            <w:vAlign w:val="center"/>
          </w:tcPr>
          <w:p>
            <w:pPr>
              <w:pStyle w:val="12"/>
              <w:jc w:val="both"/>
              <w:rPr>
                <w:rFonts w:eastAsia="宋体"/>
                <w:sz w:val="24"/>
                <w:szCs w:val="24"/>
              </w:rPr>
            </w:pPr>
            <w:r>
              <w:rPr>
                <w:rFonts w:eastAsia="宋体"/>
                <w:sz w:val="24"/>
                <w:szCs w:val="24"/>
              </w:rPr>
              <w:t>风险管理(1个指标)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6" w:hRule="atLeast"/>
        </w:trPr>
        <w:tc>
          <w:tcPr>
            <w:tcW w:w="1186" w:type="dxa"/>
            <w:vAlign w:val="center"/>
          </w:tcPr>
          <w:p>
            <w:pPr>
              <w:pStyle w:val="12"/>
              <w:jc w:val="both"/>
              <w:rPr>
                <w:rFonts w:eastAsia="宋体"/>
                <w:sz w:val="24"/>
                <w:szCs w:val="24"/>
              </w:rPr>
            </w:pPr>
            <w:bookmarkStart w:id="3" w:name="OLE_LINK3"/>
            <w:r>
              <w:rPr>
                <w:rFonts w:eastAsia="宋体"/>
                <w:spacing w:val="-2"/>
                <w:sz w:val="24"/>
                <w:szCs w:val="24"/>
              </w:rPr>
              <w:t>1.4.2</w:t>
            </w:r>
            <w:bookmarkEnd w:id="3"/>
          </w:p>
        </w:tc>
        <w:tc>
          <w:tcPr>
            <w:tcW w:w="7691" w:type="dxa"/>
            <w:vAlign w:val="center"/>
          </w:tcPr>
          <w:p>
            <w:pPr>
              <w:pStyle w:val="12"/>
              <w:jc w:val="both"/>
              <w:rPr>
                <w:rFonts w:eastAsia="宋体"/>
                <w:sz w:val="24"/>
                <w:szCs w:val="24"/>
                <w:lang w:eastAsia="zh-CN"/>
              </w:rPr>
            </w:pPr>
            <w:r>
              <w:rPr>
                <w:rFonts w:eastAsia="宋体"/>
                <w:sz w:val="24"/>
                <w:szCs w:val="24"/>
                <w:lang w:eastAsia="zh-CN"/>
              </w:rPr>
              <w:t>披露要求和影响报告(2个指标)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 w:hRule="atLeast"/>
        </w:trPr>
        <w:tc>
          <w:tcPr>
            <w:tcW w:w="1186" w:type="dxa"/>
            <w:vAlign w:val="center"/>
          </w:tcPr>
          <w:p>
            <w:pPr>
              <w:pStyle w:val="12"/>
              <w:spacing w:before="2"/>
              <w:jc w:val="both"/>
              <w:rPr>
                <w:rFonts w:eastAsia="宋体"/>
                <w:sz w:val="24"/>
                <w:szCs w:val="24"/>
                <w:lang w:eastAsia="zh-CN"/>
              </w:rPr>
            </w:pPr>
            <w:r>
              <w:rPr>
                <w:rFonts w:eastAsia="宋体"/>
                <w:spacing w:val="-2"/>
                <w:sz w:val="24"/>
                <w:szCs w:val="24"/>
              </w:rPr>
              <w:t>1.4.</w:t>
            </w:r>
            <w:r>
              <w:rPr>
                <w:rFonts w:eastAsia="宋体"/>
                <w:spacing w:val="-2"/>
                <w:sz w:val="24"/>
                <w:szCs w:val="24"/>
                <w:lang w:eastAsia="zh-CN"/>
              </w:rPr>
              <w:t>3</w:t>
            </w:r>
          </w:p>
        </w:tc>
        <w:tc>
          <w:tcPr>
            <w:tcW w:w="7691" w:type="dxa"/>
            <w:vAlign w:val="center"/>
          </w:tcPr>
          <w:p>
            <w:pPr>
              <w:pStyle w:val="12"/>
              <w:spacing w:before="2"/>
              <w:jc w:val="both"/>
              <w:rPr>
                <w:rFonts w:eastAsia="宋体"/>
                <w:sz w:val="24"/>
                <w:szCs w:val="24"/>
                <w:lang w:eastAsia="zh-CN"/>
              </w:rPr>
            </w:pPr>
            <w:r>
              <w:rPr>
                <w:rFonts w:eastAsia="宋体"/>
                <w:sz w:val="24"/>
                <w:szCs w:val="24"/>
                <w:lang w:eastAsia="zh-CN"/>
              </w:rPr>
              <w:t>绿色融资的可获得性和</w:t>
            </w:r>
            <w:r>
              <w:rPr>
                <w:rFonts w:hint="eastAsia" w:eastAsia="宋体"/>
                <w:sz w:val="24"/>
                <w:szCs w:val="24"/>
                <w:lang w:eastAsia="zh-CN"/>
              </w:rPr>
              <w:t>采用</w:t>
            </w:r>
            <w:r>
              <w:rPr>
                <w:rFonts w:eastAsia="宋体"/>
                <w:sz w:val="24"/>
                <w:szCs w:val="24"/>
                <w:lang w:eastAsia="zh-CN"/>
              </w:rPr>
              <w:t>绿色原则的可行性(2个指标)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8877" w:type="dxa"/>
            <w:gridSpan w:val="2"/>
            <w:shd w:val="clear" w:color="auto" w:fill="E7EBF5"/>
            <w:vAlign w:val="center"/>
          </w:tcPr>
          <w:p>
            <w:pPr>
              <w:pStyle w:val="12"/>
              <w:spacing w:before="124"/>
              <w:jc w:val="both"/>
              <w:rPr>
                <w:rFonts w:eastAsia="宋体"/>
                <w:b/>
                <w:sz w:val="24"/>
                <w:szCs w:val="24"/>
                <w:lang w:eastAsia="zh-CN"/>
              </w:rPr>
            </w:pPr>
            <w:r>
              <w:rPr>
                <w:rFonts w:eastAsia="宋体"/>
                <w:b/>
                <w:sz w:val="24"/>
                <w:szCs w:val="24"/>
                <w:lang w:eastAsia="zh-CN"/>
              </w:rPr>
              <w:t>维度II</w:t>
            </w:r>
            <w:r>
              <w:rPr>
                <w:rFonts w:hint="eastAsia" w:ascii="Songti SC Bold" w:hAnsi="Songti SC Bold" w:eastAsia="Songti SC Bold" w:cs="Songti SC Bold"/>
                <w:b/>
                <w:sz w:val="24"/>
                <w:lang w:eastAsia="zh-CN"/>
              </w:rPr>
              <w:t>-</w:t>
            </w:r>
            <w:r>
              <w:rPr>
                <w:rFonts w:eastAsia="宋体"/>
                <w:b/>
                <w:sz w:val="24"/>
                <w:szCs w:val="24"/>
                <w:lang w:eastAsia="zh-CN"/>
              </w:rPr>
              <w:t>信贷基础设施中信息的可获得性和融资可及性(9个指标)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6" w:hRule="atLeast"/>
        </w:trPr>
        <w:tc>
          <w:tcPr>
            <w:tcW w:w="1186" w:type="dxa"/>
            <w:shd w:val="clear" w:color="auto" w:fill="E7EBF5"/>
            <w:vAlign w:val="center"/>
          </w:tcPr>
          <w:p>
            <w:pPr>
              <w:pStyle w:val="12"/>
              <w:jc w:val="both"/>
              <w:rPr>
                <w:rFonts w:eastAsia="宋体"/>
                <w:b/>
                <w:sz w:val="24"/>
                <w:szCs w:val="24"/>
              </w:rPr>
            </w:pPr>
            <w:r>
              <w:rPr>
                <w:rFonts w:eastAsia="宋体"/>
                <w:b/>
                <w:spacing w:val="-5"/>
                <w:sz w:val="24"/>
                <w:szCs w:val="24"/>
              </w:rPr>
              <w:t>2.1</w:t>
            </w:r>
          </w:p>
        </w:tc>
        <w:tc>
          <w:tcPr>
            <w:tcW w:w="7691" w:type="dxa"/>
            <w:shd w:val="clear" w:color="auto" w:fill="E7EBF5"/>
            <w:vAlign w:val="center"/>
          </w:tcPr>
          <w:p>
            <w:pPr>
              <w:pStyle w:val="12"/>
              <w:jc w:val="both"/>
              <w:rPr>
                <w:rFonts w:eastAsia="宋体"/>
                <w:b/>
                <w:sz w:val="24"/>
                <w:szCs w:val="24"/>
                <w:lang w:eastAsia="zh-CN"/>
              </w:rPr>
            </w:pPr>
            <w:r>
              <w:rPr>
                <w:rFonts w:eastAsia="宋体"/>
                <w:b/>
                <w:sz w:val="24"/>
                <w:szCs w:val="24"/>
                <w:lang w:eastAsia="zh-CN"/>
              </w:rPr>
              <w:t>征信登记运行情况（征信局和征信登记处的运作） (3个指标)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 w:hRule="atLeast"/>
        </w:trPr>
        <w:tc>
          <w:tcPr>
            <w:tcW w:w="1186" w:type="dxa"/>
            <w:vAlign w:val="center"/>
          </w:tcPr>
          <w:p>
            <w:pPr>
              <w:pStyle w:val="12"/>
              <w:jc w:val="both"/>
              <w:rPr>
                <w:rFonts w:eastAsia="宋体"/>
                <w:sz w:val="24"/>
                <w:szCs w:val="24"/>
              </w:rPr>
            </w:pPr>
            <w:r>
              <w:rPr>
                <w:rFonts w:eastAsia="宋体"/>
                <w:spacing w:val="-2"/>
                <w:sz w:val="24"/>
                <w:szCs w:val="24"/>
              </w:rPr>
              <w:t>2.1.1</w:t>
            </w:r>
          </w:p>
        </w:tc>
        <w:tc>
          <w:tcPr>
            <w:tcW w:w="7691" w:type="dxa"/>
            <w:vAlign w:val="center"/>
          </w:tcPr>
          <w:p>
            <w:pPr>
              <w:pStyle w:val="12"/>
              <w:jc w:val="both"/>
              <w:rPr>
                <w:rFonts w:eastAsia="宋体"/>
                <w:sz w:val="24"/>
                <w:szCs w:val="24"/>
                <w:lang w:eastAsia="zh-CN"/>
              </w:rPr>
            </w:pPr>
            <w:r>
              <w:rPr>
                <w:rFonts w:eastAsia="宋体"/>
                <w:sz w:val="24"/>
                <w:szCs w:val="24"/>
                <w:lang w:eastAsia="zh-CN"/>
              </w:rPr>
              <w:t>数据覆盖率和信用信息可获得性(3个指标)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vAlign w:val="center"/>
          </w:tcPr>
          <w:p>
            <w:pPr>
              <w:pStyle w:val="12"/>
              <w:jc w:val="both"/>
              <w:rPr>
                <w:rFonts w:eastAsia="宋体"/>
                <w:b/>
                <w:sz w:val="24"/>
                <w:szCs w:val="24"/>
              </w:rPr>
            </w:pPr>
            <w:r>
              <w:rPr>
                <w:rFonts w:eastAsia="宋体"/>
                <w:b/>
                <w:spacing w:val="-5"/>
                <w:sz w:val="24"/>
                <w:szCs w:val="24"/>
              </w:rPr>
              <w:t>2.2</w:t>
            </w:r>
          </w:p>
        </w:tc>
        <w:tc>
          <w:tcPr>
            <w:tcW w:w="7691" w:type="dxa"/>
            <w:shd w:val="clear" w:color="auto" w:fill="E7EBF5"/>
            <w:vAlign w:val="center"/>
          </w:tcPr>
          <w:p>
            <w:pPr>
              <w:pStyle w:val="12"/>
              <w:jc w:val="both"/>
              <w:rPr>
                <w:rFonts w:eastAsia="宋体"/>
                <w:b/>
                <w:sz w:val="24"/>
                <w:szCs w:val="24"/>
                <w:lang w:eastAsia="zh-CN"/>
              </w:rPr>
            </w:pPr>
            <w:r>
              <w:rPr>
                <w:rFonts w:eastAsia="宋体"/>
                <w:b/>
                <w:sz w:val="24"/>
                <w:szCs w:val="24"/>
                <w:lang w:eastAsia="zh-CN"/>
              </w:rPr>
              <w:t>动产抵押登记处的运作(3个指标)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2.2.1</w:t>
            </w:r>
          </w:p>
        </w:tc>
        <w:tc>
          <w:tcPr>
            <w:tcW w:w="7691" w:type="dxa"/>
            <w:vAlign w:val="center"/>
          </w:tcPr>
          <w:p>
            <w:pPr>
              <w:pStyle w:val="12"/>
              <w:jc w:val="both"/>
              <w:rPr>
                <w:rFonts w:eastAsia="宋体"/>
                <w:sz w:val="24"/>
                <w:szCs w:val="24"/>
                <w:lang w:eastAsia="zh-CN"/>
              </w:rPr>
            </w:pPr>
            <w:r>
              <w:rPr>
                <w:rFonts w:eastAsia="宋体"/>
                <w:sz w:val="24"/>
                <w:szCs w:val="24"/>
                <w:lang w:eastAsia="zh-CN"/>
              </w:rPr>
              <w:t>动产抵押登记的特点(3个指标)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 w:hRule="atLeast"/>
        </w:trPr>
        <w:tc>
          <w:tcPr>
            <w:tcW w:w="1186" w:type="dxa"/>
            <w:shd w:val="clear" w:color="auto" w:fill="E7EBF5"/>
            <w:vAlign w:val="center"/>
          </w:tcPr>
          <w:p>
            <w:pPr>
              <w:pStyle w:val="12"/>
              <w:spacing w:before="2"/>
              <w:jc w:val="both"/>
              <w:rPr>
                <w:rFonts w:eastAsia="宋体"/>
                <w:b/>
                <w:sz w:val="24"/>
                <w:szCs w:val="24"/>
              </w:rPr>
            </w:pPr>
            <w:r>
              <w:rPr>
                <w:rFonts w:eastAsia="宋体"/>
                <w:b/>
                <w:spacing w:val="-5"/>
                <w:sz w:val="24"/>
                <w:szCs w:val="24"/>
              </w:rPr>
              <w:t>2.3</w:t>
            </w:r>
          </w:p>
        </w:tc>
        <w:tc>
          <w:tcPr>
            <w:tcW w:w="7691" w:type="dxa"/>
            <w:shd w:val="clear" w:color="auto" w:fill="E7EBF5"/>
            <w:vAlign w:val="center"/>
          </w:tcPr>
          <w:p>
            <w:pPr>
              <w:pStyle w:val="12"/>
              <w:spacing w:before="2"/>
              <w:jc w:val="both"/>
              <w:rPr>
                <w:rFonts w:eastAsia="宋体"/>
                <w:b/>
                <w:sz w:val="24"/>
                <w:szCs w:val="24"/>
              </w:rPr>
            </w:pPr>
            <w:r>
              <w:rPr>
                <w:rFonts w:eastAsia="宋体"/>
                <w:b/>
                <w:sz w:val="24"/>
                <w:szCs w:val="24"/>
              </w:rPr>
              <w:t>绿色</w:t>
            </w:r>
            <w:r>
              <w:rPr>
                <w:rFonts w:hint="eastAsia" w:eastAsia="宋体"/>
                <w:b/>
                <w:sz w:val="24"/>
                <w:szCs w:val="24"/>
                <w:lang w:eastAsia="zh-CN"/>
              </w:rPr>
              <w:t>融资</w:t>
            </w:r>
            <w:r>
              <w:rPr>
                <w:rFonts w:eastAsia="宋体"/>
                <w:b/>
                <w:sz w:val="24"/>
                <w:szCs w:val="24"/>
              </w:rPr>
              <w:t>(2个指标)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vAlign w:val="center"/>
          </w:tcPr>
          <w:p>
            <w:pPr>
              <w:pStyle w:val="12"/>
              <w:jc w:val="both"/>
              <w:rPr>
                <w:rFonts w:eastAsia="宋体"/>
                <w:sz w:val="24"/>
                <w:szCs w:val="24"/>
              </w:rPr>
            </w:pPr>
            <w:r>
              <w:rPr>
                <w:rFonts w:eastAsia="宋体"/>
                <w:spacing w:val="-2"/>
                <w:sz w:val="24"/>
                <w:szCs w:val="24"/>
              </w:rPr>
              <w:t>2.3.1</w:t>
            </w:r>
          </w:p>
        </w:tc>
        <w:tc>
          <w:tcPr>
            <w:tcW w:w="7691" w:type="dxa"/>
            <w:vAlign w:val="center"/>
          </w:tcPr>
          <w:p>
            <w:pPr>
              <w:pStyle w:val="12"/>
              <w:jc w:val="both"/>
              <w:rPr>
                <w:rFonts w:eastAsia="宋体"/>
                <w:sz w:val="24"/>
                <w:szCs w:val="24"/>
                <w:lang w:eastAsia="zh-CN"/>
              </w:rPr>
            </w:pPr>
            <w:r>
              <w:rPr>
                <w:rFonts w:eastAsia="宋体"/>
                <w:sz w:val="24"/>
                <w:szCs w:val="24"/>
                <w:lang w:eastAsia="zh-CN"/>
              </w:rPr>
              <w:t>绿色贷款可获得性及要求(2项指标)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vAlign w:val="center"/>
          </w:tcPr>
          <w:p>
            <w:pPr>
              <w:pStyle w:val="12"/>
              <w:jc w:val="both"/>
              <w:rPr>
                <w:rFonts w:eastAsia="宋体"/>
                <w:b/>
                <w:sz w:val="24"/>
                <w:szCs w:val="24"/>
              </w:rPr>
            </w:pPr>
            <w:r>
              <w:rPr>
                <w:rFonts w:eastAsia="宋体"/>
                <w:b/>
                <w:spacing w:val="-5"/>
                <w:sz w:val="24"/>
                <w:szCs w:val="24"/>
              </w:rPr>
              <w:t>2.4</w:t>
            </w:r>
          </w:p>
        </w:tc>
        <w:tc>
          <w:tcPr>
            <w:tcW w:w="7691" w:type="dxa"/>
            <w:shd w:val="clear" w:color="auto" w:fill="E7EBF5"/>
            <w:vAlign w:val="center"/>
          </w:tcPr>
          <w:p>
            <w:pPr>
              <w:pStyle w:val="12"/>
              <w:jc w:val="both"/>
              <w:rPr>
                <w:rFonts w:eastAsia="宋体"/>
                <w:b/>
                <w:sz w:val="24"/>
                <w:szCs w:val="24"/>
              </w:rPr>
            </w:pPr>
            <w:r>
              <w:rPr>
                <w:rFonts w:eastAsia="宋体"/>
                <w:b/>
                <w:sz w:val="24"/>
                <w:szCs w:val="24"/>
              </w:rPr>
              <w:t>性别金融(1个指标)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2.4.1</w:t>
            </w:r>
          </w:p>
        </w:tc>
        <w:tc>
          <w:tcPr>
            <w:tcW w:w="7691" w:type="dxa"/>
            <w:vAlign w:val="center"/>
          </w:tcPr>
          <w:p>
            <w:pPr>
              <w:pStyle w:val="12"/>
              <w:jc w:val="both"/>
              <w:rPr>
                <w:rFonts w:eastAsia="宋体"/>
                <w:sz w:val="24"/>
                <w:szCs w:val="24"/>
                <w:lang w:eastAsia="zh-CN"/>
              </w:rPr>
            </w:pPr>
            <w:r>
              <w:rPr>
                <w:rFonts w:eastAsia="宋体"/>
                <w:sz w:val="24"/>
                <w:szCs w:val="24"/>
                <w:lang w:eastAsia="zh-CN"/>
              </w:rPr>
              <w:t>促进妇女获得融资(1项指标)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8877" w:type="dxa"/>
            <w:gridSpan w:val="2"/>
            <w:shd w:val="clear" w:color="auto" w:fill="E7EBF5"/>
            <w:vAlign w:val="center"/>
          </w:tcPr>
          <w:p>
            <w:pPr>
              <w:pStyle w:val="12"/>
              <w:spacing w:before="86"/>
              <w:jc w:val="both"/>
              <w:rPr>
                <w:rFonts w:eastAsia="宋体"/>
                <w:b/>
                <w:sz w:val="24"/>
                <w:szCs w:val="24"/>
                <w:lang w:eastAsia="zh-CN"/>
              </w:rPr>
            </w:pPr>
            <w:r>
              <w:rPr>
                <w:rFonts w:eastAsia="宋体"/>
                <w:b/>
                <w:sz w:val="24"/>
                <w:szCs w:val="24"/>
                <w:lang w:eastAsia="zh-CN"/>
              </w:rPr>
              <w:t>维度III</w:t>
            </w:r>
            <w:r>
              <w:rPr>
                <w:rFonts w:hint="eastAsia" w:ascii="Songti SC Bold" w:hAnsi="Songti SC Bold" w:eastAsia="Songti SC Bold" w:cs="Songti SC Bold"/>
                <w:b/>
                <w:sz w:val="24"/>
                <w:lang w:eastAsia="zh-CN"/>
              </w:rPr>
              <w:t>-</w:t>
            </w:r>
            <w:r>
              <w:rPr>
                <w:rFonts w:eastAsia="宋体"/>
                <w:b/>
                <w:sz w:val="24"/>
                <w:szCs w:val="24"/>
                <w:lang w:eastAsia="zh-CN"/>
              </w:rPr>
              <w:t>实际获得金融服务的效率(10个指标)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vAlign w:val="center"/>
          </w:tcPr>
          <w:p>
            <w:pPr>
              <w:pStyle w:val="12"/>
              <w:spacing w:before="2"/>
              <w:jc w:val="both"/>
              <w:rPr>
                <w:rFonts w:eastAsia="宋体"/>
                <w:b/>
                <w:sz w:val="24"/>
                <w:szCs w:val="24"/>
              </w:rPr>
            </w:pPr>
            <w:r>
              <w:rPr>
                <w:rFonts w:eastAsia="宋体"/>
                <w:b/>
                <w:spacing w:val="-5"/>
                <w:sz w:val="24"/>
                <w:szCs w:val="24"/>
              </w:rPr>
              <w:t>3.1</w:t>
            </w:r>
          </w:p>
        </w:tc>
        <w:tc>
          <w:tcPr>
            <w:tcW w:w="7691" w:type="dxa"/>
            <w:shd w:val="clear" w:color="auto" w:fill="E7EBF5"/>
            <w:vAlign w:val="center"/>
          </w:tcPr>
          <w:p>
            <w:pPr>
              <w:pStyle w:val="12"/>
              <w:spacing w:before="2"/>
              <w:jc w:val="both"/>
              <w:rPr>
                <w:rFonts w:eastAsia="宋体"/>
                <w:b/>
                <w:sz w:val="24"/>
                <w:szCs w:val="24"/>
              </w:rPr>
            </w:pPr>
            <w:r>
              <w:rPr>
                <w:rFonts w:eastAsia="宋体"/>
                <w:b/>
                <w:sz w:val="24"/>
                <w:szCs w:val="24"/>
              </w:rPr>
              <w:t>贷款(4项指标)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3.1.1</w:t>
            </w:r>
          </w:p>
        </w:tc>
        <w:tc>
          <w:tcPr>
            <w:tcW w:w="7691" w:type="dxa"/>
            <w:vAlign w:val="center"/>
          </w:tcPr>
          <w:p>
            <w:pPr>
              <w:pStyle w:val="12"/>
              <w:jc w:val="both"/>
              <w:rPr>
                <w:rFonts w:eastAsia="宋体"/>
                <w:sz w:val="24"/>
                <w:szCs w:val="24"/>
                <w:lang w:eastAsia="zh-CN"/>
              </w:rPr>
            </w:pPr>
            <w:r>
              <w:rPr>
                <w:rFonts w:eastAsia="宋体"/>
                <w:sz w:val="24"/>
                <w:szCs w:val="24"/>
                <w:lang w:eastAsia="zh-CN"/>
              </w:rPr>
              <w:t>获得贷款的时间(1个指标)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vAlign w:val="center"/>
          </w:tcPr>
          <w:p>
            <w:pPr>
              <w:pStyle w:val="12"/>
              <w:jc w:val="both"/>
              <w:rPr>
                <w:rFonts w:eastAsia="宋体"/>
                <w:sz w:val="24"/>
                <w:szCs w:val="24"/>
              </w:rPr>
            </w:pPr>
            <w:r>
              <w:rPr>
                <w:rFonts w:eastAsia="宋体"/>
                <w:spacing w:val="-2"/>
                <w:sz w:val="24"/>
                <w:szCs w:val="24"/>
              </w:rPr>
              <w:t>3.1.2</w:t>
            </w:r>
          </w:p>
        </w:tc>
        <w:tc>
          <w:tcPr>
            <w:tcW w:w="7691" w:type="dxa"/>
            <w:vAlign w:val="center"/>
          </w:tcPr>
          <w:p>
            <w:pPr>
              <w:pStyle w:val="12"/>
              <w:jc w:val="both"/>
              <w:rPr>
                <w:rFonts w:eastAsia="宋体"/>
                <w:sz w:val="24"/>
                <w:szCs w:val="24"/>
                <w:lang w:eastAsia="zh-CN"/>
              </w:rPr>
            </w:pPr>
            <w:r>
              <w:rPr>
                <w:rFonts w:eastAsia="宋体"/>
                <w:sz w:val="24"/>
                <w:szCs w:val="24"/>
                <w:lang w:eastAsia="zh-CN"/>
              </w:rPr>
              <w:t>获得贷款的成本(1个指标)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3.1.3</w:t>
            </w:r>
          </w:p>
        </w:tc>
        <w:tc>
          <w:tcPr>
            <w:tcW w:w="7691" w:type="dxa"/>
            <w:vAlign w:val="center"/>
          </w:tcPr>
          <w:p>
            <w:pPr>
              <w:pStyle w:val="12"/>
              <w:jc w:val="both"/>
              <w:rPr>
                <w:rFonts w:eastAsia="宋体"/>
                <w:sz w:val="24"/>
                <w:szCs w:val="24"/>
                <w:lang w:eastAsia="zh-CN"/>
              </w:rPr>
            </w:pPr>
            <w:r>
              <w:rPr>
                <w:rFonts w:eastAsia="宋体"/>
                <w:sz w:val="24"/>
                <w:szCs w:val="24"/>
                <w:lang w:eastAsia="zh-CN"/>
              </w:rPr>
              <w:t>动产抵押权和信贷数据更新的效率(1个指标)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6" w:hRule="atLeast"/>
        </w:trPr>
        <w:tc>
          <w:tcPr>
            <w:tcW w:w="1186" w:type="dxa"/>
            <w:vAlign w:val="center"/>
          </w:tcPr>
          <w:p>
            <w:pPr>
              <w:pStyle w:val="12"/>
              <w:jc w:val="both"/>
              <w:rPr>
                <w:rFonts w:eastAsia="宋体"/>
                <w:sz w:val="24"/>
                <w:szCs w:val="24"/>
              </w:rPr>
            </w:pPr>
            <w:r>
              <w:rPr>
                <w:rFonts w:eastAsia="宋体"/>
                <w:spacing w:val="-2"/>
                <w:sz w:val="24"/>
                <w:szCs w:val="24"/>
              </w:rPr>
              <w:t>3.1.4</w:t>
            </w:r>
          </w:p>
        </w:tc>
        <w:tc>
          <w:tcPr>
            <w:tcW w:w="7691" w:type="dxa"/>
            <w:vAlign w:val="center"/>
          </w:tcPr>
          <w:p>
            <w:pPr>
              <w:pStyle w:val="12"/>
              <w:jc w:val="both"/>
              <w:rPr>
                <w:rFonts w:eastAsia="宋体"/>
                <w:sz w:val="24"/>
                <w:szCs w:val="24"/>
                <w:lang w:eastAsia="zh-CN"/>
              </w:rPr>
            </w:pPr>
            <w:r>
              <w:rPr>
                <w:rFonts w:eastAsia="宋体"/>
                <w:sz w:val="24"/>
                <w:szCs w:val="24"/>
                <w:lang w:eastAsia="zh-CN"/>
              </w:rPr>
              <w:t>获得贷款和其他银行服务的性别差距(1个指标)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vAlign w:val="center"/>
          </w:tcPr>
          <w:p>
            <w:pPr>
              <w:pStyle w:val="12"/>
              <w:spacing w:before="2"/>
              <w:jc w:val="both"/>
              <w:rPr>
                <w:rFonts w:eastAsia="宋体"/>
                <w:b/>
                <w:sz w:val="24"/>
                <w:szCs w:val="24"/>
              </w:rPr>
            </w:pPr>
            <w:r>
              <w:rPr>
                <w:rFonts w:eastAsia="宋体"/>
                <w:b/>
                <w:spacing w:val="-5"/>
                <w:sz w:val="24"/>
                <w:szCs w:val="24"/>
              </w:rPr>
              <w:t>3.2</w:t>
            </w:r>
          </w:p>
        </w:tc>
        <w:tc>
          <w:tcPr>
            <w:tcW w:w="7691" w:type="dxa"/>
            <w:shd w:val="clear" w:color="auto" w:fill="E7EBF5"/>
            <w:vAlign w:val="center"/>
          </w:tcPr>
          <w:p>
            <w:pPr>
              <w:pStyle w:val="12"/>
              <w:spacing w:before="2"/>
              <w:jc w:val="both"/>
              <w:rPr>
                <w:rFonts w:eastAsia="宋体"/>
                <w:b/>
                <w:sz w:val="24"/>
                <w:szCs w:val="24"/>
              </w:rPr>
            </w:pPr>
            <w:r>
              <w:rPr>
                <w:rFonts w:eastAsia="宋体"/>
                <w:b/>
                <w:sz w:val="24"/>
                <w:szCs w:val="24"/>
              </w:rPr>
              <w:t>电子支付(6项指标)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vAlign w:val="center"/>
          </w:tcPr>
          <w:p>
            <w:pPr>
              <w:pStyle w:val="12"/>
              <w:jc w:val="both"/>
              <w:rPr>
                <w:rFonts w:eastAsia="宋体"/>
                <w:sz w:val="24"/>
                <w:szCs w:val="24"/>
              </w:rPr>
            </w:pPr>
            <w:r>
              <w:rPr>
                <w:rFonts w:eastAsia="宋体"/>
                <w:spacing w:val="-2"/>
                <w:sz w:val="24"/>
                <w:szCs w:val="24"/>
              </w:rPr>
              <w:t>3.2.1</w:t>
            </w:r>
          </w:p>
        </w:tc>
        <w:tc>
          <w:tcPr>
            <w:tcW w:w="7691" w:type="dxa"/>
            <w:vAlign w:val="center"/>
          </w:tcPr>
          <w:p>
            <w:pPr>
              <w:pStyle w:val="12"/>
              <w:jc w:val="both"/>
              <w:rPr>
                <w:rFonts w:eastAsia="宋体"/>
                <w:sz w:val="24"/>
                <w:szCs w:val="24"/>
                <w:lang w:eastAsia="zh-CN"/>
              </w:rPr>
            </w:pPr>
            <w:r>
              <w:rPr>
                <w:rFonts w:eastAsia="宋体"/>
                <w:sz w:val="24"/>
                <w:szCs w:val="24"/>
                <w:lang w:eastAsia="zh-CN"/>
              </w:rPr>
              <w:t>接收电子支付的费用(1个指标)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 w:hRule="atLeast"/>
        </w:trPr>
        <w:tc>
          <w:tcPr>
            <w:tcW w:w="1186" w:type="dxa"/>
            <w:vAlign w:val="center"/>
          </w:tcPr>
          <w:p>
            <w:pPr>
              <w:pStyle w:val="12"/>
              <w:ind w:left="86"/>
              <w:jc w:val="both"/>
              <w:rPr>
                <w:rFonts w:eastAsia="宋体"/>
                <w:sz w:val="24"/>
                <w:szCs w:val="24"/>
              </w:rPr>
            </w:pPr>
            <w:r>
              <w:rPr>
                <w:rFonts w:eastAsia="宋体"/>
                <w:spacing w:val="-2"/>
                <w:sz w:val="24"/>
                <w:szCs w:val="24"/>
              </w:rPr>
              <w:t>3.2.2</w:t>
            </w:r>
          </w:p>
        </w:tc>
        <w:tc>
          <w:tcPr>
            <w:tcW w:w="7691" w:type="dxa"/>
            <w:vAlign w:val="center"/>
          </w:tcPr>
          <w:p>
            <w:pPr>
              <w:pStyle w:val="12"/>
              <w:jc w:val="both"/>
              <w:rPr>
                <w:rFonts w:eastAsia="宋体"/>
                <w:sz w:val="24"/>
                <w:szCs w:val="24"/>
                <w:lang w:eastAsia="zh-CN"/>
              </w:rPr>
            </w:pPr>
            <w:r>
              <w:rPr>
                <w:rFonts w:eastAsia="宋体"/>
                <w:sz w:val="24"/>
                <w:szCs w:val="24"/>
                <w:lang w:eastAsia="zh-CN"/>
              </w:rPr>
              <w:t>进行电子支付的成本(1个指标)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vAlign w:val="center"/>
          </w:tcPr>
          <w:p>
            <w:pPr>
              <w:pStyle w:val="12"/>
              <w:ind w:left="86"/>
              <w:jc w:val="both"/>
              <w:rPr>
                <w:rFonts w:eastAsia="宋体"/>
                <w:sz w:val="24"/>
                <w:szCs w:val="24"/>
              </w:rPr>
            </w:pPr>
            <w:r>
              <w:rPr>
                <w:rFonts w:eastAsia="宋体"/>
                <w:spacing w:val="-2"/>
                <w:sz w:val="24"/>
                <w:szCs w:val="24"/>
              </w:rPr>
              <w:t>3.2.3</w:t>
            </w:r>
          </w:p>
        </w:tc>
        <w:tc>
          <w:tcPr>
            <w:tcW w:w="7691" w:type="dxa"/>
            <w:vAlign w:val="center"/>
          </w:tcPr>
          <w:p>
            <w:pPr>
              <w:pStyle w:val="12"/>
              <w:jc w:val="both"/>
              <w:rPr>
                <w:rFonts w:eastAsia="宋体"/>
                <w:sz w:val="24"/>
                <w:szCs w:val="24"/>
                <w:lang w:eastAsia="zh-CN"/>
              </w:rPr>
            </w:pPr>
            <w:r>
              <w:rPr>
                <w:rFonts w:eastAsia="宋体"/>
                <w:sz w:val="24"/>
                <w:szCs w:val="24"/>
                <w:lang w:eastAsia="zh-CN"/>
              </w:rPr>
              <w:t>收到电子付款的时间(1个指标)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6" w:hRule="atLeast"/>
        </w:trPr>
        <w:tc>
          <w:tcPr>
            <w:tcW w:w="1186" w:type="dxa"/>
            <w:vAlign w:val="center"/>
          </w:tcPr>
          <w:p>
            <w:pPr>
              <w:pStyle w:val="12"/>
              <w:ind w:left="86"/>
              <w:jc w:val="both"/>
              <w:rPr>
                <w:rFonts w:eastAsia="宋体"/>
                <w:sz w:val="24"/>
                <w:szCs w:val="24"/>
              </w:rPr>
            </w:pPr>
            <w:r>
              <w:rPr>
                <w:rFonts w:eastAsia="宋体"/>
                <w:spacing w:val="-2"/>
                <w:sz w:val="24"/>
                <w:szCs w:val="24"/>
              </w:rPr>
              <w:t>3.2.4</w:t>
            </w:r>
          </w:p>
        </w:tc>
        <w:tc>
          <w:tcPr>
            <w:tcW w:w="7691" w:type="dxa"/>
            <w:vAlign w:val="center"/>
          </w:tcPr>
          <w:p>
            <w:pPr>
              <w:pStyle w:val="12"/>
              <w:jc w:val="both"/>
              <w:rPr>
                <w:rFonts w:eastAsia="宋体"/>
                <w:sz w:val="24"/>
                <w:szCs w:val="24"/>
                <w:lang w:eastAsia="zh-CN"/>
              </w:rPr>
            </w:pPr>
            <w:r>
              <w:rPr>
                <w:rFonts w:eastAsia="宋体"/>
                <w:sz w:val="24"/>
                <w:szCs w:val="24"/>
                <w:lang w:eastAsia="zh-CN"/>
              </w:rPr>
              <w:t>接收电子支付的使用水平(1个指标)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vAlign w:val="center"/>
          </w:tcPr>
          <w:p>
            <w:pPr>
              <w:pStyle w:val="12"/>
              <w:spacing w:before="2"/>
              <w:ind w:left="86"/>
              <w:jc w:val="both"/>
              <w:rPr>
                <w:rFonts w:eastAsia="宋体"/>
                <w:sz w:val="24"/>
                <w:szCs w:val="24"/>
              </w:rPr>
            </w:pPr>
            <w:r>
              <w:rPr>
                <w:rFonts w:eastAsia="宋体"/>
                <w:spacing w:val="-2"/>
                <w:sz w:val="24"/>
                <w:szCs w:val="24"/>
              </w:rPr>
              <w:t>3.2.5</w:t>
            </w:r>
          </w:p>
        </w:tc>
        <w:tc>
          <w:tcPr>
            <w:tcW w:w="7691" w:type="dxa"/>
            <w:vAlign w:val="center"/>
          </w:tcPr>
          <w:p>
            <w:pPr>
              <w:pStyle w:val="12"/>
              <w:spacing w:before="2"/>
              <w:jc w:val="both"/>
              <w:rPr>
                <w:rFonts w:eastAsia="宋体"/>
                <w:sz w:val="24"/>
                <w:szCs w:val="24"/>
                <w:lang w:eastAsia="zh-CN"/>
              </w:rPr>
            </w:pPr>
            <w:r>
              <w:rPr>
                <w:rFonts w:eastAsia="宋体"/>
                <w:sz w:val="24"/>
                <w:szCs w:val="24"/>
                <w:lang w:eastAsia="zh-CN"/>
              </w:rPr>
              <w:t>进行电子支付的使用水平(1个指标)</w:t>
            </w:r>
          </w:p>
        </w:tc>
      </w:tr>
    </w:tbl>
    <w:p>
      <w:pPr>
        <w:spacing w:line="186" w:lineRule="exact"/>
        <w:rPr>
          <w:sz w:val="18"/>
          <w:lang w:eastAsia="zh-CN"/>
        </w:rPr>
        <w:sectPr>
          <w:headerReference r:id="rId3" w:type="default"/>
          <w:pgSz w:w="12240" w:h="15840"/>
          <w:pgMar w:top="1440" w:right="1800" w:bottom="1440" w:left="1800" w:header="720" w:footer="720" w:gutter="0"/>
          <w:cols w:space="720" w:num="1"/>
        </w:sectPr>
      </w:pPr>
    </w:p>
    <w:tbl>
      <w:tblPr>
        <w:tblStyle w:val="8"/>
        <w:tblW w:w="8870"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76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2"/>
              <w:ind w:left="86"/>
              <w:rPr>
                <w:rFonts w:eastAsia="宋体"/>
                <w:sz w:val="24"/>
                <w:szCs w:val="24"/>
              </w:rPr>
            </w:pPr>
            <w:r>
              <w:rPr>
                <w:rFonts w:eastAsia="宋体"/>
                <w:spacing w:val="-2"/>
                <w:sz w:val="24"/>
                <w:szCs w:val="24"/>
              </w:rPr>
              <w:t>3.2.6</w:t>
            </w:r>
          </w:p>
        </w:tc>
        <w:tc>
          <w:tcPr>
            <w:tcW w:w="7684" w:type="dxa"/>
          </w:tcPr>
          <w:p>
            <w:pPr>
              <w:pStyle w:val="12"/>
              <w:rPr>
                <w:rFonts w:eastAsia="宋体"/>
                <w:sz w:val="24"/>
                <w:szCs w:val="24"/>
                <w:lang w:eastAsia="zh-CN"/>
              </w:rPr>
            </w:pPr>
            <w:r>
              <w:rPr>
                <w:rFonts w:eastAsia="宋体"/>
                <w:sz w:val="24"/>
                <w:szCs w:val="24"/>
                <w:lang w:eastAsia="zh-CN"/>
              </w:rPr>
              <w:t>电子支付使用的性别差异(1项指标)</w:t>
            </w:r>
          </w:p>
        </w:tc>
      </w:tr>
    </w:tbl>
    <w:p>
      <w:pPr>
        <w:pStyle w:val="5"/>
        <w:spacing w:before="9"/>
        <w:rPr>
          <w:b/>
          <w:sz w:val="13"/>
          <w:lang w:eastAsia="zh-CN"/>
        </w:rPr>
      </w:pPr>
    </w:p>
    <w:p>
      <w:pPr>
        <w:tabs>
          <w:tab w:val="left" w:pos="840"/>
        </w:tabs>
        <w:spacing w:line="400" w:lineRule="exact"/>
        <w:outlineLvl w:val="3"/>
        <w:rPr>
          <w:rFonts w:eastAsia="宋体"/>
          <w:b/>
          <w:color w:val="2E5395"/>
          <w:sz w:val="28"/>
          <w:szCs w:val="28"/>
          <w:lang w:eastAsia="zh-CN"/>
        </w:rPr>
      </w:pPr>
      <w:r>
        <w:rPr>
          <w:rFonts w:eastAsia="宋体"/>
          <w:b/>
          <w:color w:val="2E5395"/>
          <w:sz w:val="28"/>
          <w:szCs w:val="28"/>
          <w:lang w:eastAsia="zh-CN"/>
        </w:rPr>
        <w:t>1.维度I</w:t>
      </w:r>
      <w:r>
        <w:rPr>
          <w:rFonts w:hint="eastAsia" w:eastAsia="宋体"/>
          <w:b/>
          <w:color w:val="2E5395"/>
          <w:sz w:val="28"/>
          <w:szCs w:val="28"/>
          <w:lang w:eastAsia="zh-CN"/>
        </w:rPr>
        <w:t>.监管框架:商业贷款、担保交易、电子支付和绿色融资监管质量</w:t>
      </w:r>
    </w:p>
    <w:p>
      <w:pPr>
        <w:pStyle w:val="5"/>
        <w:spacing w:line="400" w:lineRule="exact"/>
        <w:ind w:firstLine="560" w:firstLineChars="200"/>
        <w:jc w:val="both"/>
        <w:rPr>
          <w:sz w:val="21"/>
          <w:lang w:eastAsia="zh-CN"/>
        </w:rPr>
      </w:pPr>
      <w:r>
        <w:rPr>
          <w:rFonts w:eastAsia="宋体"/>
          <w:sz w:val="28"/>
          <w:szCs w:val="28"/>
          <w:lang w:eastAsia="zh-CN"/>
        </w:rPr>
        <w:t>表2显示了维度I</w:t>
      </w:r>
      <w:r>
        <w:rPr>
          <w:rFonts w:hint="eastAsia" w:eastAsia="宋体"/>
          <w:sz w:val="28"/>
          <w:szCs w:val="28"/>
          <w:lang w:eastAsia="zh-CN"/>
        </w:rPr>
        <w:t>（</w:t>
      </w:r>
      <w:r>
        <w:rPr>
          <w:rFonts w:eastAsia="宋体"/>
          <w:sz w:val="28"/>
          <w:szCs w:val="28"/>
          <w:lang w:eastAsia="zh-CN"/>
        </w:rPr>
        <w:t>即衡量的金融服务监管框架</w:t>
      </w:r>
      <w:r>
        <w:rPr>
          <w:rFonts w:hint="eastAsia" w:eastAsia="宋体"/>
          <w:sz w:val="28"/>
          <w:szCs w:val="28"/>
          <w:lang w:eastAsia="zh-CN"/>
        </w:rPr>
        <w:t>）</w:t>
      </w:r>
      <w:r>
        <w:rPr>
          <w:rFonts w:eastAsia="宋体"/>
          <w:sz w:val="28"/>
          <w:szCs w:val="28"/>
          <w:lang w:eastAsia="zh-CN"/>
        </w:rPr>
        <w:t>的结构。该维度的每个类别和子类别将按照表中所示的顺序进行更详细的讨论。</w:t>
      </w:r>
    </w:p>
    <w:p>
      <w:pPr>
        <w:spacing w:before="1"/>
        <w:ind w:right="138"/>
        <w:jc w:val="center"/>
        <w:rPr>
          <w:rFonts w:eastAsia="宋体"/>
          <w:b/>
          <w:sz w:val="28"/>
          <w:szCs w:val="28"/>
          <w:lang w:eastAsia="zh-CN"/>
        </w:rPr>
      </w:pPr>
      <w:r>
        <w:rPr>
          <w:rFonts w:eastAsia="宋体"/>
          <w:b/>
          <w:sz w:val="28"/>
          <w:szCs w:val="28"/>
          <w:lang w:eastAsia="zh-CN"/>
        </w:rPr>
        <w:t>表2</w:t>
      </w:r>
      <w:r>
        <w:rPr>
          <w:rFonts w:hint="eastAsia" w:eastAsia="宋体"/>
          <w:b/>
          <w:sz w:val="28"/>
          <w:szCs w:val="28"/>
          <w:lang w:eastAsia="zh-CN"/>
        </w:rPr>
        <w:t>. 维度I</w:t>
      </w:r>
      <w:r>
        <w:rPr>
          <w:rFonts w:hint="eastAsia" w:ascii="Times New Roman Bold" w:hAnsi="Times New Roman Bold" w:eastAsia="Songti SC Bold"/>
          <w:b/>
          <w:color w:val="222222"/>
          <w:sz w:val="28"/>
          <w:szCs w:val="27"/>
          <w:shd w:val="clear" w:color="auto" w:fill="FFFFFF"/>
          <w:lang w:eastAsia="zh-CN"/>
        </w:rPr>
        <w:t>-</w:t>
      </w:r>
      <w:r>
        <w:rPr>
          <w:rFonts w:hint="eastAsia" w:eastAsia="宋体"/>
          <w:b/>
          <w:sz w:val="28"/>
          <w:szCs w:val="28"/>
          <w:lang w:eastAsia="zh-CN"/>
        </w:rPr>
        <w:t>商业贷款、担保交易、电子支付和绿色融资监管质量</w:t>
      </w:r>
    </w:p>
    <w:tbl>
      <w:tblPr>
        <w:tblStyle w:val="8"/>
        <w:tblW w:w="90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3"/>
        <w:gridCol w:w="83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jc w:val="center"/>
        </w:trPr>
        <w:tc>
          <w:tcPr>
            <w:tcW w:w="723" w:type="dxa"/>
            <w:shd w:val="clear" w:color="auto" w:fill="E7EBF5"/>
            <w:vAlign w:val="center"/>
          </w:tcPr>
          <w:p>
            <w:pPr>
              <w:pStyle w:val="12"/>
              <w:spacing w:before="2"/>
              <w:jc w:val="both"/>
              <w:rPr>
                <w:rFonts w:eastAsia="宋体"/>
                <w:b/>
                <w:sz w:val="24"/>
                <w:szCs w:val="24"/>
              </w:rPr>
            </w:pPr>
            <w:r>
              <w:rPr>
                <w:rFonts w:eastAsia="宋体"/>
                <w:b/>
                <w:spacing w:val="-5"/>
                <w:sz w:val="24"/>
                <w:szCs w:val="24"/>
              </w:rPr>
              <w:t>1.1</w:t>
            </w:r>
          </w:p>
        </w:tc>
        <w:tc>
          <w:tcPr>
            <w:tcW w:w="8376" w:type="dxa"/>
            <w:shd w:val="clear" w:color="auto" w:fill="E7EBF5"/>
            <w:vAlign w:val="center"/>
          </w:tcPr>
          <w:p>
            <w:pPr>
              <w:pStyle w:val="12"/>
              <w:spacing w:before="2"/>
              <w:jc w:val="both"/>
              <w:rPr>
                <w:rFonts w:eastAsia="宋体"/>
                <w:b/>
                <w:sz w:val="24"/>
                <w:szCs w:val="24"/>
                <w:lang w:eastAsia="zh-CN"/>
              </w:rPr>
            </w:pPr>
            <w:r>
              <w:rPr>
                <w:rFonts w:eastAsia="宋体"/>
                <w:b/>
                <w:sz w:val="24"/>
                <w:szCs w:val="24"/>
                <w:lang w:eastAsia="zh-CN"/>
              </w:rPr>
              <w:t>商业贷款的良好监管</w:t>
            </w:r>
            <w:r>
              <w:rPr>
                <w:rFonts w:hint="eastAsia" w:eastAsia="宋体"/>
                <w:b/>
                <w:sz w:val="24"/>
                <w:szCs w:val="24"/>
                <w:lang w:eastAsia="zh-CN"/>
              </w:rPr>
              <w:t>措施</w:t>
            </w:r>
            <w:r>
              <w:rPr>
                <w:rFonts w:eastAsia="宋体"/>
                <w:b/>
                <w:sz w:val="24"/>
                <w:szCs w:val="24"/>
                <w:lang w:eastAsia="zh-CN"/>
              </w:rPr>
              <w:t>(6项指标)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jc w:val="center"/>
        </w:trPr>
        <w:tc>
          <w:tcPr>
            <w:tcW w:w="723" w:type="dxa"/>
            <w:vAlign w:val="center"/>
          </w:tcPr>
          <w:p>
            <w:pPr>
              <w:pStyle w:val="12"/>
              <w:jc w:val="both"/>
              <w:rPr>
                <w:rFonts w:eastAsia="宋体"/>
                <w:sz w:val="24"/>
                <w:szCs w:val="24"/>
              </w:rPr>
            </w:pPr>
            <w:r>
              <w:rPr>
                <w:rFonts w:eastAsia="宋体"/>
                <w:spacing w:val="-2"/>
                <w:sz w:val="24"/>
                <w:szCs w:val="24"/>
              </w:rPr>
              <w:t>1.1.1</w:t>
            </w:r>
          </w:p>
        </w:tc>
        <w:tc>
          <w:tcPr>
            <w:tcW w:w="8376" w:type="dxa"/>
            <w:vAlign w:val="center"/>
          </w:tcPr>
          <w:p>
            <w:pPr>
              <w:pStyle w:val="12"/>
              <w:jc w:val="both"/>
              <w:rPr>
                <w:rFonts w:eastAsia="宋体"/>
                <w:sz w:val="24"/>
                <w:szCs w:val="24"/>
                <w:lang w:eastAsia="zh-CN"/>
              </w:rPr>
            </w:pPr>
            <w:r>
              <w:rPr>
                <w:rFonts w:eastAsia="宋体"/>
                <w:sz w:val="24"/>
                <w:szCs w:val="24"/>
                <w:lang w:eastAsia="zh-CN"/>
              </w:rPr>
              <w:t>进行客户尽职调查(CDD)和记录保存要求(2项指标)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atLeast"/>
          <w:jc w:val="center"/>
        </w:trPr>
        <w:tc>
          <w:tcPr>
            <w:tcW w:w="723" w:type="dxa"/>
            <w:vAlign w:val="center"/>
          </w:tcPr>
          <w:p>
            <w:pPr>
              <w:pStyle w:val="12"/>
              <w:jc w:val="both"/>
              <w:rPr>
                <w:rFonts w:eastAsia="宋体"/>
                <w:sz w:val="24"/>
                <w:szCs w:val="24"/>
              </w:rPr>
            </w:pPr>
            <w:r>
              <w:rPr>
                <w:rFonts w:eastAsia="宋体"/>
                <w:spacing w:val="-2"/>
                <w:sz w:val="24"/>
                <w:szCs w:val="24"/>
              </w:rPr>
              <w:t>1.1.2</w:t>
            </w:r>
          </w:p>
        </w:tc>
        <w:tc>
          <w:tcPr>
            <w:tcW w:w="8376" w:type="dxa"/>
            <w:vAlign w:val="center"/>
          </w:tcPr>
          <w:p>
            <w:pPr>
              <w:pStyle w:val="12"/>
              <w:jc w:val="both"/>
              <w:rPr>
                <w:rFonts w:eastAsia="宋体"/>
                <w:sz w:val="24"/>
                <w:szCs w:val="24"/>
                <w:lang w:eastAsia="zh-CN"/>
              </w:rPr>
            </w:pPr>
            <w:r>
              <w:rPr>
                <w:rFonts w:eastAsia="宋体"/>
                <w:sz w:val="24"/>
                <w:szCs w:val="24"/>
                <w:lang w:eastAsia="zh-CN"/>
              </w:rPr>
              <w:t>基于风险的方法和风险因素(2个指标)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jc w:val="center"/>
        </w:trPr>
        <w:tc>
          <w:tcPr>
            <w:tcW w:w="723" w:type="dxa"/>
            <w:vAlign w:val="center"/>
          </w:tcPr>
          <w:p>
            <w:pPr>
              <w:pStyle w:val="12"/>
              <w:jc w:val="both"/>
              <w:rPr>
                <w:rFonts w:eastAsia="宋体"/>
                <w:sz w:val="24"/>
                <w:szCs w:val="24"/>
              </w:rPr>
            </w:pPr>
            <w:r>
              <w:rPr>
                <w:rFonts w:eastAsia="宋体"/>
                <w:spacing w:val="-2"/>
                <w:sz w:val="24"/>
                <w:szCs w:val="24"/>
              </w:rPr>
              <w:t>1.1.3</w:t>
            </w:r>
          </w:p>
        </w:tc>
        <w:tc>
          <w:tcPr>
            <w:tcW w:w="8376" w:type="dxa"/>
            <w:vAlign w:val="center"/>
          </w:tcPr>
          <w:p>
            <w:pPr>
              <w:pStyle w:val="12"/>
              <w:jc w:val="both"/>
              <w:rPr>
                <w:rFonts w:eastAsia="宋体"/>
                <w:sz w:val="24"/>
                <w:szCs w:val="24"/>
                <w:lang w:eastAsia="zh-CN"/>
              </w:rPr>
            </w:pPr>
            <w:r>
              <w:rPr>
                <w:rFonts w:hint="eastAsia" w:eastAsia="宋体"/>
                <w:sz w:val="24"/>
                <w:szCs w:val="24"/>
                <w:lang w:eastAsia="zh-CN"/>
              </w:rPr>
              <w:t>加强</w:t>
            </w:r>
            <w:r>
              <w:rPr>
                <w:rFonts w:eastAsia="宋体"/>
                <w:sz w:val="24"/>
                <w:szCs w:val="24"/>
                <w:lang w:eastAsia="zh-CN"/>
              </w:rPr>
              <w:t>和简化CDD措施的可用性(2个指标)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723" w:type="dxa"/>
            <w:shd w:val="clear" w:color="auto" w:fill="E7EBF5"/>
            <w:vAlign w:val="center"/>
          </w:tcPr>
          <w:p>
            <w:pPr>
              <w:pStyle w:val="12"/>
              <w:jc w:val="both"/>
              <w:rPr>
                <w:rFonts w:eastAsia="宋体"/>
                <w:b/>
                <w:sz w:val="24"/>
                <w:szCs w:val="24"/>
              </w:rPr>
            </w:pPr>
            <w:r>
              <w:rPr>
                <w:rFonts w:eastAsia="宋体"/>
                <w:b/>
                <w:spacing w:val="-5"/>
                <w:sz w:val="24"/>
                <w:szCs w:val="24"/>
              </w:rPr>
              <w:t>1.2</w:t>
            </w:r>
          </w:p>
        </w:tc>
        <w:tc>
          <w:tcPr>
            <w:tcW w:w="8376" w:type="dxa"/>
            <w:shd w:val="clear" w:color="auto" w:fill="E7EBF5"/>
            <w:vAlign w:val="center"/>
          </w:tcPr>
          <w:p>
            <w:pPr>
              <w:pStyle w:val="12"/>
              <w:jc w:val="both"/>
              <w:rPr>
                <w:rFonts w:eastAsia="宋体"/>
                <w:b/>
                <w:sz w:val="24"/>
                <w:szCs w:val="24"/>
                <w:lang w:eastAsia="zh-CN"/>
              </w:rPr>
            </w:pPr>
            <w:r>
              <w:rPr>
                <w:rFonts w:eastAsia="宋体"/>
                <w:b/>
                <w:sz w:val="24"/>
                <w:szCs w:val="24"/>
                <w:lang w:eastAsia="zh-CN"/>
              </w:rPr>
              <w:t>担保交易的良好监管措施(7项指标)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723" w:type="dxa"/>
            <w:vAlign w:val="center"/>
          </w:tcPr>
          <w:p>
            <w:pPr>
              <w:pStyle w:val="12"/>
              <w:jc w:val="both"/>
              <w:rPr>
                <w:rFonts w:eastAsia="宋体"/>
                <w:sz w:val="24"/>
                <w:szCs w:val="24"/>
              </w:rPr>
            </w:pPr>
            <w:r>
              <w:rPr>
                <w:rFonts w:eastAsia="宋体"/>
                <w:spacing w:val="-2"/>
                <w:sz w:val="24"/>
                <w:szCs w:val="24"/>
              </w:rPr>
              <w:t>1.2.1</w:t>
            </w:r>
          </w:p>
        </w:tc>
        <w:tc>
          <w:tcPr>
            <w:tcW w:w="8376" w:type="dxa"/>
            <w:vAlign w:val="center"/>
          </w:tcPr>
          <w:p>
            <w:pPr>
              <w:pStyle w:val="12"/>
              <w:jc w:val="both"/>
              <w:rPr>
                <w:rFonts w:eastAsia="宋体"/>
                <w:sz w:val="24"/>
                <w:szCs w:val="24"/>
                <w:lang w:eastAsia="zh-CN"/>
              </w:rPr>
            </w:pPr>
            <w:r>
              <w:rPr>
                <w:rFonts w:eastAsia="宋体"/>
                <w:sz w:val="24"/>
                <w:szCs w:val="24"/>
                <w:lang w:eastAsia="zh-CN"/>
              </w:rPr>
              <w:t>担保交易的统一法律框架(1项指标)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723" w:type="dxa"/>
            <w:vAlign w:val="center"/>
          </w:tcPr>
          <w:p>
            <w:pPr>
              <w:pStyle w:val="12"/>
              <w:jc w:val="both"/>
              <w:rPr>
                <w:rFonts w:eastAsia="宋体"/>
                <w:sz w:val="24"/>
                <w:szCs w:val="24"/>
              </w:rPr>
            </w:pPr>
            <w:r>
              <w:rPr>
                <w:rFonts w:eastAsia="宋体"/>
                <w:spacing w:val="-2"/>
                <w:sz w:val="24"/>
                <w:szCs w:val="24"/>
              </w:rPr>
              <w:t>1.2.2</w:t>
            </w:r>
          </w:p>
        </w:tc>
        <w:tc>
          <w:tcPr>
            <w:tcW w:w="8376" w:type="dxa"/>
            <w:vAlign w:val="center"/>
          </w:tcPr>
          <w:p>
            <w:pPr>
              <w:pStyle w:val="12"/>
              <w:jc w:val="both"/>
              <w:rPr>
                <w:rFonts w:eastAsia="宋体"/>
                <w:sz w:val="24"/>
                <w:szCs w:val="24"/>
                <w:lang w:eastAsia="zh-CN"/>
              </w:rPr>
            </w:pPr>
            <w:r>
              <w:rPr>
                <w:rFonts w:eastAsia="宋体"/>
                <w:sz w:val="24"/>
                <w:szCs w:val="24"/>
                <w:lang w:eastAsia="zh-CN"/>
              </w:rPr>
              <w:t>可担保的动产、债务和义务类型(4个指标)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723" w:type="dxa"/>
            <w:vAlign w:val="center"/>
          </w:tcPr>
          <w:p>
            <w:pPr>
              <w:pStyle w:val="12"/>
              <w:jc w:val="both"/>
              <w:rPr>
                <w:rFonts w:eastAsia="宋体"/>
                <w:sz w:val="24"/>
                <w:szCs w:val="24"/>
              </w:rPr>
            </w:pPr>
            <w:r>
              <w:rPr>
                <w:rFonts w:eastAsia="宋体"/>
                <w:spacing w:val="-2"/>
                <w:sz w:val="24"/>
                <w:szCs w:val="24"/>
              </w:rPr>
              <w:t>1.2.3</w:t>
            </w:r>
          </w:p>
        </w:tc>
        <w:tc>
          <w:tcPr>
            <w:tcW w:w="8376" w:type="dxa"/>
            <w:vAlign w:val="center"/>
          </w:tcPr>
          <w:p>
            <w:pPr>
              <w:pStyle w:val="12"/>
              <w:jc w:val="both"/>
              <w:rPr>
                <w:rFonts w:eastAsia="宋体"/>
                <w:sz w:val="24"/>
                <w:szCs w:val="24"/>
              </w:rPr>
            </w:pPr>
            <w:r>
              <w:rPr>
                <w:rFonts w:eastAsia="宋体"/>
                <w:sz w:val="24"/>
                <w:szCs w:val="24"/>
              </w:rPr>
              <w:t>优先</w:t>
            </w:r>
            <w:r>
              <w:rPr>
                <w:rFonts w:hint="eastAsia" w:eastAsia="宋体"/>
                <w:sz w:val="24"/>
                <w:szCs w:val="24"/>
                <w:lang w:eastAsia="zh-CN"/>
              </w:rPr>
              <w:t>权</w:t>
            </w:r>
            <w:r>
              <w:rPr>
                <w:rFonts w:eastAsia="宋体"/>
                <w:sz w:val="24"/>
                <w:szCs w:val="24"/>
              </w:rPr>
              <w:t>/执行(2个指标)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723" w:type="dxa"/>
            <w:shd w:val="clear" w:color="auto" w:fill="E7EBF5"/>
            <w:vAlign w:val="center"/>
          </w:tcPr>
          <w:p>
            <w:pPr>
              <w:pStyle w:val="12"/>
              <w:jc w:val="both"/>
              <w:rPr>
                <w:rFonts w:eastAsia="宋体"/>
                <w:b/>
                <w:sz w:val="24"/>
                <w:szCs w:val="24"/>
              </w:rPr>
            </w:pPr>
            <w:r>
              <w:rPr>
                <w:rFonts w:eastAsia="宋体"/>
                <w:b/>
                <w:spacing w:val="-5"/>
                <w:sz w:val="24"/>
                <w:szCs w:val="24"/>
              </w:rPr>
              <w:t>1.3</w:t>
            </w:r>
          </w:p>
        </w:tc>
        <w:tc>
          <w:tcPr>
            <w:tcW w:w="8376" w:type="dxa"/>
            <w:shd w:val="clear" w:color="auto" w:fill="E7EBF5"/>
            <w:vAlign w:val="center"/>
          </w:tcPr>
          <w:p>
            <w:pPr>
              <w:pStyle w:val="12"/>
              <w:jc w:val="both"/>
              <w:rPr>
                <w:rFonts w:eastAsia="宋体"/>
                <w:b/>
                <w:sz w:val="24"/>
                <w:szCs w:val="24"/>
                <w:lang w:eastAsia="zh-CN"/>
              </w:rPr>
            </w:pPr>
            <w:r>
              <w:rPr>
                <w:rFonts w:eastAsia="宋体"/>
                <w:b/>
                <w:sz w:val="24"/>
                <w:szCs w:val="24"/>
                <w:lang w:eastAsia="zh-CN"/>
              </w:rPr>
              <w:t>电子支付的良好监管</w:t>
            </w:r>
            <w:r>
              <w:rPr>
                <w:rFonts w:hint="eastAsia" w:eastAsia="宋体"/>
                <w:b/>
                <w:sz w:val="24"/>
                <w:szCs w:val="24"/>
                <w:lang w:eastAsia="zh-CN"/>
              </w:rPr>
              <w:t>措施</w:t>
            </w:r>
            <w:r>
              <w:rPr>
                <w:rFonts w:eastAsia="宋体"/>
                <w:b/>
                <w:sz w:val="24"/>
                <w:szCs w:val="24"/>
                <w:lang w:eastAsia="zh-CN"/>
              </w:rPr>
              <w:t>(12项指标)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723" w:type="dxa"/>
            <w:vAlign w:val="center"/>
          </w:tcPr>
          <w:p>
            <w:pPr>
              <w:pStyle w:val="12"/>
              <w:jc w:val="both"/>
              <w:rPr>
                <w:rFonts w:eastAsia="宋体"/>
                <w:sz w:val="24"/>
                <w:szCs w:val="24"/>
              </w:rPr>
            </w:pPr>
            <w:r>
              <w:rPr>
                <w:rFonts w:eastAsia="宋体"/>
                <w:spacing w:val="-2"/>
                <w:sz w:val="24"/>
                <w:szCs w:val="24"/>
              </w:rPr>
              <w:t>1.3.1</w:t>
            </w:r>
          </w:p>
        </w:tc>
        <w:tc>
          <w:tcPr>
            <w:tcW w:w="8376" w:type="dxa"/>
            <w:vAlign w:val="center"/>
          </w:tcPr>
          <w:p>
            <w:pPr>
              <w:pStyle w:val="12"/>
              <w:jc w:val="both"/>
              <w:rPr>
                <w:rFonts w:eastAsia="宋体"/>
                <w:sz w:val="24"/>
                <w:szCs w:val="24"/>
              </w:rPr>
            </w:pPr>
            <w:r>
              <w:rPr>
                <w:rFonts w:eastAsia="宋体"/>
                <w:sz w:val="24"/>
                <w:szCs w:val="24"/>
              </w:rPr>
              <w:t>风险管理(3个指标)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723" w:type="dxa"/>
            <w:vAlign w:val="center"/>
          </w:tcPr>
          <w:p>
            <w:pPr>
              <w:pStyle w:val="12"/>
              <w:jc w:val="both"/>
              <w:rPr>
                <w:rFonts w:eastAsia="宋体"/>
                <w:sz w:val="24"/>
                <w:szCs w:val="24"/>
              </w:rPr>
            </w:pPr>
            <w:r>
              <w:rPr>
                <w:rFonts w:eastAsia="宋体"/>
                <w:spacing w:val="-2"/>
                <w:sz w:val="24"/>
                <w:szCs w:val="24"/>
              </w:rPr>
              <w:t>1.3.2</w:t>
            </w:r>
          </w:p>
        </w:tc>
        <w:tc>
          <w:tcPr>
            <w:tcW w:w="8376" w:type="dxa"/>
            <w:vAlign w:val="center"/>
          </w:tcPr>
          <w:p>
            <w:pPr>
              <w:pStyle w:val="12"/>
              <w:jc w:val="both"/>
              <w:rPr>
                <w:rFonts w:eastAsia="宋体"/>
                <w:sz w:val="24"/>
                <w:szCs w:val="24"/>
              </w:rPr>
            </w:pPr>
            <w:r>
              <w:rPr>
                <w:rFonts w:eastAsia="宋体"/>
                <w:sz w:val="24"/>
                <w:szCs w:val="24"/>
              </w:rPr>
              <w:t>客户资金保护(2项指标)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723" w:type="dxa"/>
            <w:vAlign w:val="center"/>
          </w:tcPr>
          <w:p>
            <w:pPr>
              <w:pStyle w:val="12"/>
              <w:jc w:val="both"/>
              <w:rPr>
                <w:rFonts w:eastAsia="宋体"/>
                <w:sz w:val="24"/>
                <w:szCs w:val="24"/>
              </w:rPr>
            </w:pPr>
            <w:r>
              <w:rPr>
                <w:rFonts w:eastAsia="宋体"/>
                <w:spacing w:val="-2"/>
                <w:sz w:val="24"/>
                <w:szCs w:val="24"/>
              </w:rPr>
              <w:t>1.3.3</w:t>
            </w:r>
          </w:p>
        </w:tc>
        <w:tc>
          <w:tcPr>
            <w:tcW w:w="8376" w:type="dxa"/>
            <w:vAlign w:val="center"/>
          </w:tcPr>
          <w:p>
            <w:pPr>
              <w:pStyle w:val="12"/>
              <w:jc w:val="both"/>
              <w:rPr>
                <w:rFonts w:eastAsia="宋体"/>
                <w:sz w:val="24"/>
                <w:szCs w:val="24"/>
                <w:lang w:eastAsia="zh-CN"/>
              </w:rPr>
            </w:pPr>
            <w:r>
              <w:rPr>
                <w:rFonts w:eastAsia="宋体"/>
                <w:sz w:val="24"/>
                <w:szCs w:val="24"/>
                <w:lang w:eastAsia="zh-CN"/>
              </w:rPr>
              <w:t>费用、条款和条件的透明度(2个指标)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723" w:type="dxa"/>
            <w:vAlign w:val="center"/>
          </w:tcPr>
          <w:p>
            <w:pPr>
              <w:pStyle w:val="12"/>
              <w:spacing w:before="2"/>
              <w:jc w:val="both"/>
              <w:rPr>
                <w:rFonts w:eastAsia="宋体"/>
                <w:sz w:val="24"/>
                <w:szCs w:val="24"/>
              </w:rPr>
            </w:pPr>
            <w:r>
              <w:rPr>
                <w:rFonts w:eastAsia="宋体"/>
                <w:spacing w:val="-2"/>
                <w:sz w:val="24"/>
                <w:szCs w:val="24"/>
              </w:rPr>
              <w:t>1.3.4</w:t>
            </w:r>
          </w:p>
        </w:tc>
        <w:tc>
          <w:tcPr>
            <w:tcW w:w="8376" w:type="dxa"/>
            <w:vAlign w:val="center"/>
          </w:tcPr>
          <w:p>
            <w:pPr>
              <w:pStyle w:val="12"/>
              <w:spacing w:before="2"/>
              <w:jc w:val="both"/>
              <w:rPr>
                <w:rFonts w:eastAsia="宋体"/>
                <w:sz w:val="24"/>
                <w:szCs w:val="24"/>
                <w:lang w:eastAsia="zh-CN"/>
              </w:rPr>
            </w:pPr>
            <w:r>
              <w:rPr>
                <w:rFonts w:eastAsia="宋体"/>
                <w:sz w:val="24"/>
                <w:szCs w:val="24"/>
                <w:lang w:eastAsia="zh-CN"/>
              </w:rPr>
              <w:t>可靠的追索权和争端解决机制的可用性(2个指标)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jc w:val="center"/>
        </w:trPr>
        <w:tc>
          <w:tcPr>
            <w:tcW w:w="723" w:type="dxa"/>
            <w:vAlign w:val="center"/>
          </w:tcPr>
          <w:p>
            <w:pPr>
              <w:pStyle w:val="12"/>
              <w:jc w:val="both"/>
              <w:rPr>
                <w:rFonts w:eastAsia="宋体"/>
                <w:sz w:val="24"/>
                <w:szCs w:val="24"/>
              </w:rPr>
            </w:pPr>
            <w:r>
              <w:rPr>
                <w:rFonts w:eastAsia="宋体"/>
                <w:spacing w:val="-2"/>
                <w:sz w:val="24"/>
                <w:szCs w:val="24"/>
              </w:rPr>
              <w:t>1.3.5</w:t>
            </w:r>
          </w:p>
        </w:tc>
        <w:tc>
          <w:tcPr>
            <w:tcW w:w="8376" w:type="dxa"/>
            <w:vAlign w:val="center"/>
          </w:tcPr>
          <w:p>
            <w:pPr>
              <w:pStyle w:val="12"/>
              <w:jc w:val="both"/>
              <w:rPr>
                <w:rFonts w:eastAsia="宋体"/>
                <w:sz w:val="24"/>
                <w:szCs w:val="24"/>
                <w:lang w:eastAsia="zh-CN"/>
              </w:rPr>
            </w:pPr>
            <w:r>
              <w:rPr>
                <w:rFonts w:eastAsia="宋体"/>
                <w:sz w:val="24"/>
                <w:szCs w:val="24"/>
                <w:lang w:eastAsia="zh-CN"/>
              </w:rPr>
              <w:t>互操作性和促进竞争(3个指标)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723" w:type="dxa"/>
            <w:shd w:val="clear" w:color="auto" w:fill="E7EBF5"/>
            <w:vAlign w:val="center"/>
          </w:tcPr>
          <w:p>
            <w:pPr>
              <w:pStyle w:val="12"/>
              <w:jc w:val="both"/>
              <w:rPr>
                <w:rFonts w:eastAsia="宋体"/>
                <w:b/>
                <w:sz w:val="24"/>
                <w:szCs w:val="24"/>
              </w:rPr>
            </w:pPr>
            <w:r>
              <w:rPr>
                <w:rFonts w:eastAsia="宋体"/>
                <w:b/>
                <w:spacing w:val="-5"/>
                <w:sz w:val="24"/>
                <w:szCs w:val="24"/>
              </w:rPr>
              <w:t>1.4</w:t>
            </w:r>
          </w:p>
        </w:tc>
        <w:tc>
          <w:tcPr>
            <w:tcW w:w="8376" w:type="dxa"/>
            <w:shd w:val="clear" w:color="auto" w:fill="E7EBF5"/>
            <w:vAlign w:val="center"/>
          </w:tcPr>
          <w:p>
            <w:pPr>
              <w:pStyle w:val="12"/>
              <w:jc w:val="both"/>
              <w:rPr>
                <w:rFonts w:eastAsia="宋体"/>
                <w:b/>
                <w:sz w:val="24"/>
                <w:szCs w:val="24"/>
                <w:lang w:eastAsia="zh-CN"/>
              </w:rPr>
            </w:pPr>
            <w:r>
              <w:rPr>
                <w:rFonts w:eastAsia="宋体"/>
                <w:b/>
                <w:sz w:val="24"/>
                <w:szCs w:val="24"/>
                <w:lang w:eastAsia="zh-CN"/>
              </w:rPr>
              <w:t>绿色融资的良好监管</w:t>
            </w:r>
            <w:r>
              <w:rPr>
                <w:rFonts w:hint="eastAsia" w:eastAsia="宋体"/>
                <w:b/>
                <w:sz w:val="24"/>
                <w:szCs w:val="24"/>
                <w:lang w:eastAsia="zh-CN"/>
              </w:rPr>
              <w:t>措施</w:t>
            </w:r>
            <w:r>
              <w:rPr>
                <w:rFonts w:eastAsia="宋体"/>
                <w:b/>
                <w:sz w:val="24"/>
                <w:szCs w:val="24"/>
                <w:lang w:eastAsia="zh-CN"/>
              </w:rPr>
              <w:t>(5个指标)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723" w:type="dxa"/>
            <w:vAlign w:val="center"/>
          </w:tcPr>
          <w:p>
            <w:pPr>
              <w:pStyle w:val="12"/>
              <w:jc w:val="both"/>
              <w:rPr>
                <w:rFonts w:eastAsia="宋体"/>
                <w:sz w:val="24"/>
                <w:szCs w:val="24"/>
              </w:rPr>
            </w:pPr>
            <w:r>
              <w:rPr>
                <w:rFonts w:eastAsia="宋体"/>
                <w:spacing w:val="-2"/>
                <w:sz w:val="24"/>
                <w:szCs w:val="24"/>
              </w:rPr>
              <w:t>1.4.1</w:t>
            </w:r>
          </w:p>
        </w:tc>
        <w:tc>
          <w:tcPr>
            <w:tcW w:w="8376" w:type="dxa"/>
            <w:vAlign w:val="center"/>
          </w:tcPr>
          <w:p>
            <w:pPr>
              <w:pStyle w:val="12"/>
              <w:jc w:val="both"/>
              <w:rPr>
                <w:rFonts w:eastAsia="宋体"/>
                <w:sz w:val="24"/>
                <w:szCs w:val="24"/>
              </w:rPr>
            </w:pPr>
            <w:r>
              <w:rPr>
                <w:rFonts w:eastAsia="宋体"/>
                <w:sz w:val="24"/>
                <w:szCs w:val="24"/>
              </w:rPr>
              <w:t>风险管理(1个指标)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723" w:type="dxa"/>
            <w:vAlign w:val="center"/>
          </w:tcPr>
          <w:p>
            <w:pPr>
              <w:pStyle w:val="12"/>
              <w:jc w:val="both"/>
              <w:rPr>
                <w:rFonts w:eastAsia="宋体"/>
                <w:sz w:val="24"/>
                <w:szCs w:val="24"/>
              </w:rPr>
            </w:pPr>
            <w:r>
              <w:rPr>
                <w:rFonts w:eastAsia="宋体"/>
                <w:spacing w:val="-2"/>
                <w:sz w:val="24"/>
                <w:szCs w:val="24"/>
              </w:rPr>
              <w:t>1.4.2</w:t>
            </w:r>
          </w:p>
        </w:tc>
        <w:tc>
          <w:tcPr>
            <w:tcW w:w="8376" w:type="dxa"/>
            <w:vAlign w:val="center"/>
          </w:tcPr>
          <w:p>
            <w:pPr>
              <w:pStyle w:val="12"/>
              <w:jc w:val="both"/>
              <w:rPr>
                <w:rFonts w:eastAsia="宋体"/>
                <w:sz w:val="24"/>
                <w:szCs w:val="24"/>
                <w:lang w:eastAsia="zh-CN"/>
              </w:rPr>
            </w:pPr>
            <w:r>
              <w:rPr>
                <w:rFonts w:eastAsia="宋体"/>
                <w:sz w:val="24"/>
                <w:szCs w:val="24"/>
                <w:lang w:eastAsia="zh-CN"/>
              </w:rPr>
              <w:t>披露要求和影响报告(2个指标)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723" w:type="dxa"/>
            <w:vAlign w:val="center"/>
          </w:tcPr>
          <w:p>
            <w:pPr>
              <w:pStyle w:val="12"/>
              <w:spacing w:before="2"/>
              <w:jc w:val="both"/>
              <w:rPr>
                <w:rFonts w:eastAsia="宋体"/>
                <w:sz w:val="24"/>
                <w:szCs w:val="24"/>
              </w:rPr>
            </w:pPr>
            <w:r>
              <w:rPr>
                <w:rFonts w:eastAsia="宋体"/>
                <w:spacing w:val="-2"/>
                <w:sz w:val="24"/>
                <w:szCs w:val="24"/>
              </w:rPr>
              <w:t>1.4.</w:t>
            </w:r>
            <w:r>
              <w:rPr>
                <w:rFonts w:eastAsia="宋体"/>
                <w:spacing w:val="-2"/>
                <w:sz w:val="24"/>
                <w:szCs w:val="24"/>
                <w:lang w:eastAsia="zh-CN"/>
              </w:rPr>
              <w:t>3</w:t>
            </w:r>
          </w:p>
        </w:tc>
        <w:tc>
          <w:tcPr>
            <w:tcW w:w="8376" w:type="dxa"/>
            <w:vAlign w:val="center"/>
          </w:tcPr>
          <w:p>
            <w:pPr>
              <w:pStyle w:val="12"/>
              <w:spacing w:before="2"/>
              <w:jc w:val="both"/>
              <w:rPr>
                <w:rFonts w:eastAsia="宋体"/>
                <w:sz w:val="24"/>
                <w:szCs w:val="24"/>
                <w:lang w:eastAsia="zh-CN"/>
              </w:rPr>
            </w:pPr>
            <w:r>
              <w:rPr>
                <w:rFonts w:eastAsia="宋体"/>
                <w:sz w:val="24"/>
                <w:szCs w:val="24"/>
                <w:lang w:eastAsia="zh-CN"/>
              </w:rPr>
              <w:t>绿色融资的可获得性和采用绿色原则的可行性(2个指标)</w:t>
            </w:r>
          </w:p>
        </w:tc>
      </w:tr>
    </w:tbl>
    <w:p>
      <w:pPr>
        <w:pStyle w:val="5"/>
        <w:spacing w:before="5"/>
        <w:rPr>
          <w:b/>
          <w:lang w:eastAsia="zh-CN"/>
        </w:rPr>
      </w:pPr>
    </w:p>
    <w:p>
      <w:pPr>
        <w:pStyle w:val="11"/>
        <w:tabs>
          <w:tab w:val="left" w:pos="481"/>
        </w:tabs>
        <w:spacing w:line="400" w:lineRule="exact"/>
        <w:ind w:left="0" w:firstLine="0"/>
        <w:outlineLvl w:val="1"/>
        <w:rPr>
          <w:rFonts w:eastAsia="宋体"/>
          <w:b/>
          <w:sz w:val="28"/>
          <w:szCs w:val="28"/>
          <w:lang w:eastAsia="zh-CN"/>
        </w:rPr>
      </w:pPr>
      <w:r>
        <w:rPr>
          <w:rFonts w:eastAsia="宋体"/>
          <w:b/>
          <w:sz w:val="28"/>
          <w:szCs w:val="28"/>
          <w:lang w:eastAsia="zh-CN"/>
        </w:rPr>
        <w:t>1.1商业贷款的良好监管</w:t>
      </w:r>
      <w:r>
        <w:rPr>
          <w:rFonts w:hint="eastAsia" w:eastAsia="宋体"/>
          <w:b/>
          <w:sz w:val="28"/>
          <w:szCs w:val="28"/>
          <w:lang w:eastAsia="zh-CN"/>
        </w:rPr>
        <w:t>措施</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类别1.1分为三个子类别，每个子类别由几个指标组成，每个指标可能又包含几个组成部分。</w:t>
      </w: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1.1.1进行客户尽职调查(CDD)和记录保存的要求</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现代金融法律框架要求银行和其他金融机构等贷款人在招收新客户，以及向这些客户或其业务提供任何融资之前，进行一定程度的尽职调查。</w:t>
      </w:r>
      <w:r>
        <w:rPr>
          <w:rFonts w:eastAsia="宋体"/>
          <w:sz w:val="28"/>
          <w:szCs w:val="28"/>
          <w:vertAlign w:val="superscript"/>
          <w:lang w:eastAsia="zh-CN"/>
        </w:rPr>
        <w:t>12</w:t>
      </w:r>
      <w:r>
        <w:rPr>
          <w:rFonts w:eastAsia="宋体"/>
          <w:sz w:val="28"/>
          <w:szCs w:val="28"/>
          <w:lang w:eastAsia="zh-CN"/>
        </w:rPr>
        <w:t>反洗钱/反恐融资措施，以及与合规/了解客户(KYC)法规相关的措施的演变突出了对几种措施的依赖。</w:t>
      </w:r>
      <w:r>
        <w:rPr>
          <w:rFonts w:eastAsia="宋体"/>
          <w:sz w:val="28"/>
          <w:szCs w:val="28"/>
          <w:vertAlign w:val="superscript"/>
          <w:lang w:eastAsia="zh-CN"/>
        </w:rPr>
        <w:t>13</w:t>
      </w:r>
      <w:r>
        <w:rPr>
          <w:rFonts w:eastAsia="宋体"/>
          <w:sz w:val="28"/>
          <w:szCs w:val="28"/>
          <w:lang w:eastAsia="zh-CN"/>
        </w:rPr>
        <w:t>这些措施包括对现有客户的客户尽职调查(CDD)和其他相关机构采取的步骤，</w:t>
      </w:r>
      <w:r>
        <w:rPr>
          <w:rFonts w:eastAsia="宋体"/>
          <w:sz w:val="28"/>
          <w:szCs w:val="28"/>
          <w:vertAlign w:val="superscript"/>
          <w:lang w:eastAsia="zh-CN"/>
        </w:rPr>
        <w:t>14</w:t>
      </w:r>
      <w:r>
        <w:rPr>
          <w:rFonts w:eastAsia="宋体"/>
          <w:sz w:val="28"/>
          <w:szCs w:val="28"/>
          <w:lang w:eastAsia="zh-CN"/>
        </w:rPr>
        <w:t>在一定时期内维护收集到的有关客户及其业务的信息，并定期更新此类信息，</w:t>
      </w:r>
      <w:r>
        <w:rPr>
          <w:rFonts w:eastAsia="宋体"/>
          <w:sz w:val="28"/>
          <w:szCs w:val="28"/>
          <w:vertAlign w:val="superscript"/>
          <w:lang w:eastAsia="zh-CN"/>
        </w:rPr>
        <w:t>15</w:t>
      </w:r>
      <w:r>
        <w:rPr>
          <w:rFonts w:eastAsia="宋体"/>
          <w:sz w:val="28"/>
          <w:szCs w:val="28"/>
          <w:lang w:eastAsia="zh-CN"/>
        </w:rPr>
        <w:t>特别是当客户被认为是高风险客户时。</w:t>
      </w:r>
      <w:r>
        <w:rPr>
          <w:rFonts w:eastAsia="宋体"/>
          <w:sz w:val="28"/>
          <w:szCs w:val="28"/>
          <w:vertAlign w:val="superscript"/>
          <w:lang w:eastAsia="zh-CN"/>
        </w:rPr>
        <w:t>16</w:t>
      </w:r>
      <w:r>
        <w:rPr>
          <w:rFonts w:eastAsia="宋体"/>
          <w:sz w:val="28"/>
          <w:szCs w:val="28"/>
          <w:lang w:eastAsia="zh-CN"/>
        </w:rPr>
        <w:t>因此，子类别1.1.1有两个指标(表3)。</w:t>
      </w:r>
    </w:p>
    <w:p>
      <w:pPr>
        <w:spacing w:line="400" w:lineRule="exact"/>
        <w:jc w:val="center"/>
        <w:rPr>
          <w:rFonts w:eastAsia="宋体"/>
          <w:b/>
          <w:sz w:val="28"/>
          <w:szCs w:val="28"/>
          <w:lang w:eastAsia="zh-CN"/>
        </w:rPr>
      </w:pPr>
      <w:r>
        <w:rPr>
          <w:rFonts w:eastAsia="宋体"/>
          <w:b/>
          <w:sz w:val="28"/>
          <w:szCs w:val="28"/>
          <w:lang w:eastAsia="zh-CN"/>
        </w:rPr>
        <w:t>表3</w:t>
      </w:r>
      <w:r>
        <w:rPr>
          <w:rFonts w:hint="eastAsia" w:eastAsia="宋体"/>
          <w:b/>
          <w:sz w:val="28"/>
          <w:szCs w:val="28"/>
          <w:lang w:eastAsia="zh-CN"/>
        </w:rPr>
        <w:t xml:space="preserve">. </w:t>
      </w:r>
      <w:r>
        <w:rPr>
          <w:rFonts w:eastAsia="宋体"/>
          <w:b/>
          <w:sz w:val="28"/>
          <w:szCs w:val="28"/>
          <w:lang w:eastAsia="zh-CN"/>
        </w:rPr>
        <w:t>子类别1.1.1</w:t>
      </w:r>
      <w:r>
        <w:rPr>
          <w:rFonts w:hint="eastAsia" w:ascii="Times New Roman Bold" w:hAnsi="Times New Roman Bold" w:eastAsia="Songti SC Bold"/>
          <w:b/>
          <w:color w:val="222222"/>
          <w:sz w:val="28"/>
          <w:szCs w:val="27"/>
          <w:shd w:val="clear" w:color="auto" w:fill="FFFFFF"/>
          <w:lang w:eastAsia="zh-CN"/>
        </w:rPr>
        <w:t>-</w:t>
      </w:r>
      <w:r>
        <w:rPr>
          <w:rFonts w:hint="eastAsia" w:eastAsia="宋体"/>
          <w:b/>
          <w:sz w:val="28"/>
          <w:szCs w:val="28"/>
          <w:lang w:eastAsia="zh-CN"/>
        </w:rPr>
        <w:t>进行客户尽职调查(CDD)和记录保存要求</w:t>
      </w:r>
    </w:p>
    <w:tbl>
      <w:tblPr>
        <w:tblStyle w:val="8"/>
        <w:tblW w:w="8891" w:type="dxa"/>
        <w:tblInd w:w="-1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1"/>
        <w:gridCol w:w="2249"/>
        <w:gridCol w:w="59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681" w:type="dxa"/>
            <w:shd w:val="clear" w:color="auto" w:fill="E7EBF5"/>
            <w:vAlign w:val="center"/>
          </w:tcPr>
          <w:p>
            <w:pPr>
              <w:pStyle w:val="12"/>
              <w:ind w:left="0"/>
              <w:jc w:val="both"/>
              <w:rPr>
                <w:rFonts w:eastAsia="宋体"/>
                <w:sz w:val="24"/>
                <w:szCs w:val="24"/>
                <w:lang w:eastAsia="zh-CN"/>
              </w:rPr>
            </w:pPr>
          </w:p>
        </w:tc>
        <w:tc>
          <w:tcPr>
            <w:tcW w:w="2249"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5961" w:type="dxa"/>
            <w:shd w:val="clear" w:color="auto" w:fill="E7EBF5"/>
            <w:vAlign w:val="center"/>
          </w:tcPr>
          <w:p>
            <w:pPr>
              <w:pStyle w:val="1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43" w:hRule="atLeast"/>
        </w:trPr>
        <w:tc>
          <w:tcPr>
            <w:tcW w:w="681" w:type="dxa"/>
            <w:vAlign w:val="center"/>
          </w:tcPr>
          <w:p>
            <w:pPr>
              <w:pStyle w:val="12"/>
              <w:jc w:val="center"/>
              <w:rPr>
                <w:rFonts w:eastAsia="宋体"/>
                <w:sz w:val="24"/>
                <w:szCs w:val="24"/>
              </w:rPr>
            </w:pPr>
            <w:r>
              <w:rPr>
                <w:rFonts w:eastAsia="宋体"/>
                <w:sz w:val="24"/>
                <w:szCs w:val="24"/>
              </w:rPr>
              <w:t>1</w:t>
            </w:r>
          </w:p>
        </w:tc>
        <w:tc>
          <w:tcPr>
            <w:tcW w:w="2249" w:type="dxa"/>
            <w:vAlign w:val="center"/>
          </w:tcPr>
          <w:p>
            <w:pPr>
              <w:pStyle w:val="12"/>
              <w:spacing w:before="1"/>
              <w:ind w:left="0"/>
              <w:jc w:val="both"/>
              <w:rPr>
                <w:rFonts w:eastAsia="宋体"/>
                <w:b/>
                <w:sz w:val="24"/>
                <w:szCs w:val="24"/>
                <w:lang w:eastAsia="zh-CN"/>
              </w:rPr>
            </w:pPr>
          </w:p>
          <w:p>
            <w:pPr>
              <w:pStyle w:val="12"/>
              <w:ind w:left="105" w:right="138"/>
              <w:jc w:val="both"/>
              <w:rPr>
                <w:rFonts w:eastAsia="宋体"/>
                <w:sz w:val="24"/>
                <w:szCs w:val="24"/>
                <w:lang w:eastAsia="zh-CN"/>
              </w:rPr>
            </w:pPr>
            <w:r>
              <w:rPr>
                <w:rFonts w:eastAsia="宋体"/>
                <w:sz w:val="24"/>
                <w:szCs w:val="24"/>
                <w:lang w:eastAsia="zh-CN"/>
              </w:rPr>
              <w:t>要求进行CDD并验证企业和所有者的身份</w:t>
            </w:r>
          </w:p>
        </w:tc>
        <w:tc>
          <w:tcPr>
            <w:tcW w:w="5961" w:type="dxa"/>
            <w:vAlign w:val="center"/>
          </w:tcPr>
          <w:p>
            <w:pPr>
              <w:pStyle w:val="12"/>
              <w:tabs>
                <w:tab w:val="left" w:pos="449"/>
                <w:tab w:val="left" w:pos="450"/>
              </w:tabs>
              <w:spacing w:before="2"/>
              <w:ind w:left="449" w:hanging="349"/>
              <w:jc w:val="both"/>
              <w:rPr>
                <w:rFonts w:eastAsia="宋体"/>
                <w:sz w:val="24"/>
                <w:szCs w:val="24"/>
                <w:lang w:eastAsia="zh-CN"/>
              </w:rPr>
            </w:pPr>
            <w:r>
              <w:rPr>
                <w:w w:val="99"/>
                <w:sz w:val="24"/>
                <w:szCs w:val="24"/>
                <w:lang w:eastAsia="zh-CN"/>
              </w:rPr>
              <w:t>i)</w:t>
            </w:r>
            <w:r>
              <w:rPr>
                <w:rFonts w:eastAsia="宋体"/>
                <w:sz w:val="24"/>
                <w:szCs w:val="24"/>
                <w:lang w:eastAsia="zh-CN"/>
              </w:rPr>
              <w:t>进行CDD的法律要求</w:t>
            </w:r>
          </w:p>
          <w:p>
            <w:pPr>
              <w:pStyle w:val="12"/>
              <w:tabs>
                <w:tab w:val="left" w:pos="450"/>
              </w:tabs>
              <w:ind w:left="449" w:hanging="349"/>
              <w:jc w:val="both"/>
              <w:rPr>
                <w:rFonts w:eastAsia="宋体"/>
                <w:sz w:val="24"/>
                <w:szCs w:val="24"/>
                <w:lang w:eastAsia="zh-CN"/>
              </w:rPr>
            </w:pPr>
            <w:r>
              <w:rPr>
                <w:w w:val="99"/>
                <w:sz w:val="24"/>
                <w:szCs w:val="24"/>
                <w:lang w:eastAsia="zh-CN"/>
              </w:rPr>
              <w:t>ii)</w:t>
            </w:r>
            <w:r>
              <w:rPr>
                <w:rFonts w:eastAsia="宋体"/>
                <w:sz w:val="24"/>
                <w:szCs w:val="24"/>
                <w:lang w:eastAsia="zh-CN"/>
              </w:rPr>
              <w:t>核实公司身份的要求</w:t>
            </w:r>
          </w:p>
          <w:p>
            <w:pPr>
              <w:pStyle w:val="12"/>
              <w:tabs>
                <w:tab w:val="left" w:pos="450"/>
              </w:tabs>
              <w:ind w:left="449" w:hanging="349"/>
              <w:jc w:val="both"/>
              <w:rPr>
                <w:rFonts w:eastAsia="宋体"/>
                <w:sz w:val="24"/>
                <w:szCs w:val="24"/>
                <w:lang w:eastAsia="zh-CN"/>
              </w:rPr>
            </w:pPr>
            <w:r>
              <w:rPr>
                <w:w w:val="99"/>
                <w:sz w:val="24"/>
                <w:szCs w:val="24"/>
                <w:lang w:eastAsia="zh-CN"/>
              </w:rPr>
              <w:t>iii)</w:t>
            </w:r>
            <w:r>
              <w:rPr>
                <w:rFonts w:eastAsia="宋体"/>
                <w:sz w:val="24"/>
                <w:szCs w:val="24"/>
                <w:lang w:eastAsia="zh-CN"/>
              </w:rPr>
              <w:t>要求核实直接所有权和结构</w:t>
            </w:r>
          </w:p>
          <w:p>
            <w:pPr>
              <w:pStyle w:val="12"/>
              <w:tabs>
                <w:tab w:val="left" w:pos="450"/>
              </w:tabs>
              <w:ind w:left="449" w:hanging="349"/>
              <w:jc w:val="both"/>
              <w:rPr>
                <w:rFonts w:eastAsia="宋体"/>
                <w:sz w:val="24"/>
                <w:szCs w:val="24"/>
                <w:lang w:eastAsia="zh-CN"/>
              </w:rPr>
            </w:pPr>
            <w:r>
              <w:rPr>
                <w:w w:val="99"/>
                <w:sz w:val="24"/>
                <w:szCs w:val="24"/>
                <w:lang w:eastAsia="zh-CN"/>
              </w:rPr>
              <w:t>iv)</w:t>
            </w:r>
            <w:r>
              <w:rPr>
                <w:rFonts w:eastAsia="宋体"/>
                <w:sz w:val="24"/>
                <w:szCs w:val="24"/>
                <w:lang w:eastAsia="zh-CN"/>
              </w:rPr>
              <w:t>核实实益拥有权的要求</w:t>
            </w:r>
          </w:p>
          <w:p>
            <w:pPr>
              <w:pStyle w:val="12"/>
              <w:tabs>
                <w:tab w:val="left" w:pos="450"/>
              </w:tabs>
              <w:spacing w:before="2"/>
              <w:ind w:left="449" w:hanging="349"/>
              <w:jc w:val="both"/>
              <w:rPr>
                <w:rFonts w:eastAsia="宋体"/>
                <w:sz w:val="24"/>
                <w:szCs w:val="24"/>
                <w:lang w:eastAsia="zh-CN"/>
              </w:rPr>
            </w:pPr>
            <w:r>
              <w:rPr>
                <w:w w:val="99"/>
                <w:sz w:val="24"/>
                <w:szCs w:val="24"/>
                <w:lang w:eastAsia="zh-CN"/>
              </w:rPr>
              <w:t>v)</w:t>
            </w:r>
            <w:r>
              <w:rPr>
                <w:rFonts w:eastAsia="宋体"/>
                <w:sz w:val="24"/>
                <w:szCs w:val="24"/>
                <w:lang w:eastAsia="zh-CN"/>
              </w:rPr>
              <w:t>核实贷款用途的要求</w:t>
            </w:r>
          </w:p>
          <w:p>
            <w:pPr>
              <w:pStyle w:val="12"/>
              <w:tabs>
                <w:tab w:val="left" w:pos="450"/>
              </w:tabs>
              <w:ind w:left="449" w:hanging="349"/>
              <w:jc w:val="both"/>
              <w:rPr>
                <w:rFonts w:eastAsia="宋体"/>
                <w:sz w:val="24"/>
                <w:szCs w:val="24"/>
                <w:lang w:eastAsia="zh-CN"/>
              </w:rPr>
            </w:pPr>
            <w:r>
              <w:rPr>
                <w:w w:val="99"/>
                <w:sz w:val="24"/>
                <w:szCs w:val="24"/>
                <w:lang w:eastAsia="zh-CN"/>
              </w:rPr>
              <w:t>vi)</w:t>
            </w:r>
            <w:r>
              <w:rPr>
                <w:rFonts w:eastAsia="宋体"/>
                <w:sz w:val="24"/>
                <w:szCs w:val="24"/>
                <w:lang w:eastAsia="zh-CN"/>
              </w:rPr>
              <w:t>核实企业客户地理位置的要求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681" w:type="dxa"/>
            <w:vAlign w:val="center"/>
          </w:tcPr>
          <w:p>
            <w:pPr>
              <w:pStyle w:val="12"/>
              <w:jc w:val="center"/>
              <w:rPr>
                <w:rFonts w:eastAsia="宋体"/>
                <w:sz w:val="24"/>
                <w:szCs w:val="24"/>
                <w:lang w:eastAsia="zh-CN"/>
              </w:rPr>
            </w:pPr>
            <w:r>
              <w:rPr>
                <w:rFonts w:eastAsia="宋体"/>
                <w:sz w:val="24"/>
                <w:szCs w:val="24"/>
                <w:lang w:eastAsia="zh-CN"/>
              </w:rPr>
              <w:t>2</w:t>
            </w:r>
          </w:p>
        </w:tc>
        <w:tc>
          <w:tcPr>
            <w:tcW w:w="2249" w:type="dxa"/>
            <w:vAlign w:val="center"/>
          </w:tcPr>
          <w:p>
            <w:pPr>
              <w:pStyle w:val="12"/>
              <w:spacing w:before="10"/>
              <w:ind w:left="0"/>
              <w:jc w:val="both"/>
              <w:rPr>
                <w:rFonts w:eastAsia="宋体"/>
                <w:b/>
                <w:sz w:val="24"/>
                <w:szCs w:val="24"/>
                <w:lang w:eastAsia="zh-CN"/>
              </w:rPr>
            </w:pPr>
          </w:p>
          <w:p>
            <w:pPr>
              <w:pStyle w:val="12"/>
              <w:ind w:left="105"/>
              <w:jc w:val="both"/>
              <w:rPr>
                <w:rFonts w:eastAsia="宋体"/>
                <w:sz w:val="24"/>
                <w:szCs w:val="24"/>
                <w:lang w:eastAsia="zh-CN"/>
              </w:rPr>
            </w:pPr>
            <w:r>
              <w:rPr>
                <w:rFonts w:eastAsia="宋体"/>
                <w:sz w:val="24"/>
                <w:szCs w:val="24"/>
                <w:lang w:eastAsia="zh-CN"/>
              </w:rPr>
              <w:t>现有客户的CDD和记录保存</w:t>
            </w:r>
          </w:p>
        </w:tc>
        <w:tc>
          <w:tcPr>
            <w:tcW w:w="5961" w:type="dxa"/>
            <w:vAlign w:val="center"/>
          </w:tcPr>
          <w:p>
            <w:pPr>
              <w:pStyle w:val="12"/>
              <w:tabs>
                <w:tab w:val="left" w:pos="449"/>
                <w:tab w:val="left" w:pos="450"/>
              </w:tabs>
              <w:ind w:left="449" w:hanging="349"/>
              <w:jc w:val="both"/>
              <w:rPr>
                <w:rFonts w:eastAsia="宋体"/>
                <w:sz w:val="24"/>
                <w:szCs w:val="24"/>
                <w:lang w:eastAsia="zh-CN"/>
              </w:rPr>
            </w:pPr>
            <w:r>
              <w:rPr>
                <w:w w:val="99"/>
                <w:sz w:val="24"/>
                <w:szCs w:val="24"/>
                <w:lang w:eastAsia="zh-CN"/>
              </w:rPr>
              <w:t>i)</w:t>
            </w:r>
            <w:r>
              <w:rPr>
                <w:rFonts w:eastAsia="宋体"/>
                <w:sz w:val="24"/>
                <w:szCs w:val="24"/>
                <w:lang w:eastAsia="zh-CN"/>
              </w:rPr>
              <w:t>记录保存-对现有客户的CDD的依赖</w:t>
            </w:r>
          </w:p>
          <w:p>
            <w:pPr>
              <w:pStyle w:val="12"/>
              <w:tabs>
                <w:tab w:val="left" w:pos="450"/>
              </w:tabs>
              <w:ind w:left="449" w:hanging="349"/>
              <w:jc w:val="both"/>
              <w:rPr>
                <w:rFonts w:eastAsia="宋体"/>
                <w:sz w:val="24"/>
                <w:szCs w:val="24"/>
                <w:lang w:eastAsia="zh-CN"/>
              </w:rPr>
            </w:pPr>
            <w:r>
              <w:rPr>
                <w:w w:val="99"/>
                <w:sz w:val="24"/>
                <w:szCs w:val="24"/>
                <w:lang w:eastAsia="zh-CN"/>
              </w:rPr>
              <w:t>ii)</w:t>
            </w:r>
            <w:r>
              <w:rPr>
                <w:rFonts w:eastAsia="宋体"/>
                <w:sz w:val="24"/>
                <w:szCs w:val="24"/>
                <w:lang w:eastAsia="zh-CN"/>
              </w:rPr>
              <w:t>记录保存-对其他机构承担的CDD的依赖(eKYC)</w:t>
            </w:r>
          </w:p>
          <w:p>
            <w:pPr>
              <w:pStyle w:val="12"/>
              <w:tabs>
                <w:tab w:val="left" w:pos="450"/>
              </w:tabs>
              <w:spacing w:before="2"/>
              <w:ind w:left="449" w:hanging="349"/>
              <w:jc w:val="both"/>
              <w:rPr>
                <w:rFonts w:eastAsia="宋体"/>
                <w:sz w:val="24"/>
                <w:szCs w:val="24"/>
                <w:lang w:eastAsia="zh-CN"/>
              </w:rPr>
            </w:pPr>
            <w:r>
              <w:rPr>
                <w:w w:val="99"/>
                <w:sz w:val="24"/>
                <w:szCs w:val="24"/>
                <w:lang w:eastAsia="zh-CN"/>
              </w:rPr>
              <w:t>iii)</w:t>
            </w:r>
            <w:r>
              <w:rPr>
                <w:rFonts w:eastAsia="宋体"/>
                <w:sz w:val="24"/>
                <w:szCs w:val="24"/>
                <w:lang w:eastAsia="zh-CN"/>
              </w:rPr>
              <w:t>记录保存- CDD信息保存5年</w:t>
            </w:r>
          </w:p>
          <w:p>
            <w:pPr>
              <w:pStyle w:val="12"/>
              <w:tabs>
                <w:tab w:val="left" w:pos="450"/>
              </w:tabs>
              <w:ind w:left="449" w:hanging="349"/>
              <w:jc w:val="both"/>
              <w:rPr>
                <w:rFonts w:eastAsia="宋体"/>
                <w:sz w:val="24"/>
                <w:szCs w:val="24"/>
                <w:lang w:eastAsia="zh-CN"/>
              </w:rPr>
            </w:pPr>
            <w:r>
              <w:rPr>
                <w:w w:val="99"/>
                <w:sz w:val="24"/>
                <w:szCs w:val="24"/>
                <w:lang w:eastAsia="zh-CN"/>
              </w:rPr>
              <w:t>iv)</w:t>
            </w:r>
            <w:r>
              <w:rPr>
                <w:rFonts w:eastAsia="宋体"/>
                <w:sz w:val="24"/>
                <w:szCs w:val="24"/>
                <w:lang w:eastAsia="zh-CN"/>
              </w:rPr>
              <w:t>记录保存-高风险客户的持续CDD</w:t>
            </w:r>
          </w:p>
        </w:tc>
      </w:tr>
    </w:tbl>
    <w:p>
      <w:pPr>
        <w:spacing w:line="186" w:lineRule="exact"/>
        <w:jc w:val="both"/>
        <w:rPr>
          <w:rFonts w:eastAsia="宋体"/>
          <w:i/>
          <w:sz w:val="20"/>
          <w:lang w:eastAsia="zh-CN"/>
        </w:rPr>
      </w:pPr>
    </w:p>
    <w:p>
      <w:pPr>
        <w:spacing w:line="400" w:lineRule="exact"/>
        <w:jc w:val="both"/>
        <w:rPr>
          <w:rFonts w:eastAsia="宋体"/>
          <w:sz w:val="24"/>
          <w:szCs w:val="24"/>
          <w:lang w:eastAsia="zh-CN"/>
        </w:rPr>
        <w:sectPr>
          <w:type w:val="continuous"/>
          <w:pgSz w:w="12240" w:h="15840"/>
          <w:pgMar w:top="1440" w:right="1800" w:bottom="1440" w:left="1800" w:header="720" w:footer="720" w:gutter="0"/>
          <w:cols w:space="720" w:num="1"/>
        </w:sectPr>
      </w:pPr>
      <w:r>
        <w:rPr>
          <w:rFonts w:eastAsia="宋体"/>
          <w:i/>
          <w:sz w:val="24"/>
          <w:szCs w:val="24"/>
          <w:lang w:eastAsia="zh-CN"/>
        </w:rPr>
        <w:t>注:</w:t>
      </w:r>
      <w:r>
        <w:rPr>
          <w:rFonts w:eastAsia="宋体"/>
          <w:sz w:val="24"/>
          <w:szCs w:val="24"/>
          <w:lang w:eastAsia="zh-CN"/>
        </w:rPr>
        <w:t>CDD =客户尽职调查。</w:t>
      </w: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1.1.2基于风险的方法和风险因素</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为加强全球保障措施并进一步保护金融体系的完整性，FATF强调对</w:t>
      </w:r>
      <w:r>
        <w:rPr>
          <w:rFonts w:hint="eastAsia" w:eastAsia="宋体"/>
          <w:sz w:val="28"/>
          <w:szCs w:val="28"/>
          <w:lang w:eastAsia="zh-CN"/>
        </w:rPr>
        <w:t>“</w:t>
      </w:r>
      <w:r>
        <w:rPr>
          <w:rFonts w:eastAsia="宋体"/>
          <w:sz w:val="28"/>
          <w:szCs w:val="28"/>
          <w:lang w:eastAsia="zh-CN"/>
        </w:rPr>
        <w:t>反洗钱</w:t>
      </w:r>
      <w:r>
        <w:rPr>
          <w:rFonts w:hint="eastAsia" w:eastAsia="宋体"/>
          <w:sz w:val="28"/>
          <w:szCs w:val="28"/>
          <w:lang w:eastAsia="zh-CN"/>
        </w:rPr>
        <w:t>”</w:t>
      </w:r>
      <w:r>
        <w:rPr>
          <w:rFonts w:eastAsia="宋体"/>
          <w:sz w:val="28"/>
          <w:szCs w:val="28"/>
          <w:lang w:eastAsia="zh-CN"/>
        </w:rPr>
        <w:t>/</w:t>
      </w:r>
      <w:r>
        <w:rPr>
          <w:rFonts w:hint="eastAsia" w:eastAsia="宋体"/>
          <w:sz w:val="28"/>
          <w:szCs w:val="28"/>
          <w:lang w:eastAsia="zh-CN"/>
        </w:rPr>
        <w:t>“</w:t>
      </w:r>
      <w:r>
        <w:rPr>
          <w:rFonts w:eastAsia="宋体"/>
          <w:sz w:val="28"/>
          <w:szCs w:val="28"/>
          <w:lang w:eastAsia="zh-CN"/>
        </w:rPr>
        <w:t>反恐融资</w:t>
      </w:r>
      <w:r>
        <w:rPr>
          <w:rFonts w:hint="eastAsia" w:eastAsia="宋体"/>
          <w:sz w:val="28"/>
          <w:szCs w:val="28"/>
          <w:lang w:eastAsia="zh-CN"/>
        </w:rPr>
        <w:t>”</w:t>
      </w:r>
      <w:r>
        <w:rPr>
          <w:rFonts w:eastAsia="宋体"/>
          <w:sz w:val="28"/>
          <w:szCs w:val="28"/>
          <w:lang w:eastAsia="zh-CN"/>
        </w:rPr>
        <w:t>（AML/CFT）采取基于风险的方法。</w:t>
      </w:r>
      <w:r>
        <w:rPr>
          <w:rFonts w:eastAsia="宋体"/>
          <w:sz w:val="28"/>
          <w:szCs w:val="28"/>
          <w:vertAlign w:val="superscript"/>
          <w:lang w:eastAsia="zh-CN"/>
        </w:rPr>
        <w:t>17</w:t>
      </w:r>
      <w:r>
        <w:rPr>
          <w:rFonts w:eastAsia="宋体"/>
          <w:sz w:val="28"/>
          <w:szCs w:val="28"/>
          <w:lang w:eastAsia="zh-CN"/>
        </w:rPr>
        <w:t>根据这一方法，各经济体、有关当局和金融机构应识别和评估其面临的风险，并采取适当措施有效减轻风险。</w:t>
      </w:r>
      <w:r>
        <w:rPr>
          <w:rFonts w:eastAsia="宋体"/>
          <w:sz w:val="28"/>
          <w:szCs w:val="28"/>
          <w:vertAlign w:val="superscript"/>
          <w:lang w:eastAsia="zh-CN"/>
        </w:rPr>
        <w:t>18</w:t>
      </w:r>
      <w:r>
        <w:rPr>
          <w:rFonts w:eastAsia="宋体"/>
          <w:sz w:val="28"/>
          <w:szCs w:val="28"/>
          <w:lang w:eastAsia="zh-CN"/>
        </w:rPr>
        <w:t>因此，子类别1.1.2有两个指标</w:t>
      </w:r>
      <w:r>
        <w:rPr>
          <w:rFonts w:eastAsia="宋体"/>
          <w:sz w:val="28"/>
          <w:szCs w:val="28"/>
          <w:vertAlign w:val="superscript"/>
          <w:lang w:eastAsia="zh-CN"/>
        </w:rPr>
        <w:t>19</w:t>
      </w:r>
      <w:r>
        <w:rPr>
          <w:rFonts w:eastAsia="宋体"/>
          <w:sz w:val="28"/>
          <w:szCs w:val="28"/>
          <w:lang w:eastAsia="zh-CN"/>
        </w:rPr>
        <w:t>(表4)。</w:t>
      </w:r>
    </w:p>
    <w:p>
      <w:pPr>
        <w:spacing w:after="3" w:line="400" w:lineRule="exact"/>
        <w:jc w:val="center"/>
        <w:rPr>
          <w:rFonts w:eastAsia="宋体"/>
          <w:b/>
          <w:sz w:val="28"/>
          <w:szCs w:val="28"/>
          <w:lang w:eastAsia="zh-CN"/>
        </w:rPr>
      </w:pPr>
      <w:r>
        <w:rPr>
          <w:rFonts w:eastAsia="宋体"/>
          <w:b/>
          <w:sz w:val="28"/>
          <w:szCs w:val="28"/>
          <w:lang w:eastAsia="zh-CN"/>
        </w:rPr>
        <w:t>表4</w:t>
      </w:r>
      <w:r>
        <w:rPr>
          <w:rFonts w:hint="eastAsia" w:eastAsia="宋体"/>
          <w:b/>
          <w:sz w:val="28"/>
          <w:szCs w:val="28"/>
          <w:lang w:eastAsia="zh-CN"/>
        </w:rPr>
        <w:t xml:space="preserve">. </w:t>
      </w:r>
      <w:r>
        <w:rPr>
          <w:rFonts w:eastAsia="宋体"/>
          <w:b/>
          <w:sz w:val="28"/>
          <w:szCs w:val="28"/>
          <w:lang w:eastAsia="zh-CN"/>
        </w:rPr>
        <w:t>子类别1.1.2</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基于风险的方法和风险因素</w:t>
      </w:r>
    </w:p>
    <w:tbl>
      <w:tblPr>
        <w:tblStyle w:val="8"/>
        <w:tblW w:w="8697"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9"/>
        <w:gridCol w:w="2232"/>
        <w:gridCol w:w="60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39" w:type="dxa"/>
            <w:shd w:val="clear" w:color="auto" w:fill="E7EBF5"/>
            <w:vAlign w:val="center"/>
          </w:tcPr>
          <w:p>
            <w:pPr>
              <w:pStyle w:val="12"/>
              <w:ind w:left="0"/>
              <w:jc w:val="center"/>
              <w:rPr>
                <w:rFonts w:eastAsia="宋体"/>
                <w:sz w:val="24"/>
                <w:szCs w:val="24"/>
                <w:lang w:eastAsia="zh-CN"/>
              </w:rPr>
            </w:pPr>
          </w:p>
        </w:tc>
        <w:tc>
          <w:tcPr>
            <w:tcW w:w="2232" w:type="dxa"/>
            <w:shd w:val="clear" w:color="auto" w:fill="E7EBF5"/>
            <w:vAlign w:val="center"/>
          </w:tcPr>
          <w:p>
            <w:pPr>
              <w:pStyle w:val="12"/>
              <w:jc w:val="center"/>
              <w:rPr>
                <w:rFonts w:eastAsia="宋体"/>
                <w:b/>
                <w:sz w:val="24"/>
                <w:szCs w:val="24"/>
              </w:rPr>
            </w:pPr>
            <w:r>
              <w:rPr>
                <w:rFonts w:eastAsia="宋体"/>
                <w:b/>
                <w:spacing w:val="-2"/>
                <w:sz w:val="24"/>
                <w:szCs w:val="24"/>
              </w:rPr>
              <w:t>指标</w:t>
            </w:r>
          </w:p>
        </w:tc>
        <w:tc>
          <w:tcPr>
            <w:tcW w:w="6026" w:type="dxa"/>
            <w:shd w:val="clear" w:color="auto" w:fill="E7EBF5"/>
            <w:vAlign w:val="center"/>
          </w:tcPr>
          <w:p>
            <w:pPr>
              <w:pStyle w:val="1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39" w:type="dxa"/>
            <w:vAlign w:val="center"/>
          </w:tcPr>
          <w:p>
            <w:pPr>
              <w:pStyle w:val="12"/>
              <w:spacing w:before="105"/>
              <w:jc w:val="both"/>
              <w:rPr>
                <w:rFonts w:eastAsia="宋体"/>
                <w:sz w:val="24"/>
                <w:szCs w:val="24"/>
              </w:rPr>
            </w:pPr>
            <w:r>
              <w:rPr>
                <w:rFonts w:eastAsia="宋体"/>
                <w:sz w:val="24"/>
                <w:szCs w:val="24"/>
              </w:rPr>
              <w:t>1</w:t>
            </w:r>
          </w:p>
        </w:tc>
        <w:tc>
          <w:tcPr>
            <w:tcW w:w="2232" w:type="dxa"/>
            <w:vAlign w:val="center"/>
          </w:tcPr>
          <w:p>
            <w:pPr>
              <w:pStyle w:val="12"/>
              <w:jc w:val="both"/>
              <w:rPr>
                <w:rFonts w:eastAsia="宋体"/>
                <w:sz w:val="24"/>
                <w:szCs w:val="24"/>
                <w:lang w:eastAsia="zh-CN"/>
              </w:rPr>
            </w:pPr>
            <w:r>
              <w:rPr>
                <w:rFonts w:eastAsia="宋体"/>
                <w:sz w:val="24"/>
                <w:szCs w:val="24"/>
                <w:lang w:eastAsia="zh-CN"/>
              </w:rPr>
              <w:t>基于风险的方法的可用性</w:t>
            </w:r>
          </w:p>
        </w:tc>
        <w:tc>
          <w:tcPr>
            <w:tcW w:w="6026" w:type="dxa"/>
            <w:vAlign w:val="center"/>
          </w:tcPr>
          <w:p>
            <w:pPr>
              <w:pStyle w:val="12"/>
              <w:spacing w:before="105"/>
              <w:ind w:left="108"/>
              <w:jc w:val="both"/>
              <w:rPr>
                <w:rFonts w:eastAsia="宋体"/>
                <w:sz w:val="24"/>
                <w:szCs w:val="24"/>
                <w:lang w:eastAsia="zh-CN"/>
              </w:rPr>
            </w:pPr>
            <w:r>
              <w:rPr>
                <w:rFonts w:eastAsia="宋体"/>
                <w:sz w:val="24"/>
                <w:szCs w:val="24"/>
                <w:lang w:eastAsia="zh-CN"/>
              </w:rPr>
              <w:t>基于风险的方法的可用性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4" w:hRule="atLeast"/>
        </w:trPr>
        <w:tc>
          <w:tcPr>
            <w:tcW w:w="439" w:type="dxa"/>
            <w:vAlign w:val="center"/>
          </w:tcPr>
          <w:p>
            <w:pPr>
              <w:pStyle w:val="12"/>
              <w:jc w:val="both"/>
              <w:rPr>
                <w:rFonts w:eastAsia="宋体"/>
                <w:sz w:val="24"/>
                <w:szCs w:val="24"/>
              </w:rPr>
            </w:pPr>
            <w:r>
              <w:rPr>
                <w:rFonts w:eastAsia="宋体"/>
                <w:sz w:val="24"/>
                <w:szCs w:val="24"/>
              </w:rPr>
              <w:t>2</w:t>
            </w:r>
          </w:p>
        </w:tc>
        <w:tc>
          <w:tcPr>
            <w:tcW w:w="2232" w:type="dxa"/>
            <w:vAlign w:val="center"/>
          </w:tcPr>
          <w:p>
            <w:pPr>
              <w:pStyle w:val="12"/>
              <w:ind w:left="0"/>
              <w:jc w:val="both"/>
              <w:rPr>
                <w:rFonts w:eastAsia="宋体"/>
                <w:sz w:val="24"/>
                <w:szCs w:val="24"/>
              </w:rPr>
            </w:pPr>
            <w:r>
              <w:rPr>
                <w:rFonts w:eastAsia="宋体"/>
                <w:sz w:val="24"/>
                <w:szCs w:val="24"/>
                <w:lang w:eastAsia="zh-CN"/>
              </w:rPr>
              <w:t>风险因素</w:t>
            </w:r>
          </w:p>
        </w:tc>
        <w:tc>
          <w:tcPr>
            <w:tcW w:w="6026" w:type="dxa"/>
            <w:vAlign w:val="center"/>
          </w:tcPr>
          <w:p>
            <w:pPr>
              <w:pStyle w:val="12"/>
              <w:tabs>
                <w:tab w:val="left" w:pos="468"/>
                <w:tab w:val="left" w:pos="469"/>
              </w:tabs>
              <w:ind w:left="468" w:hanging="361"/>
              <w:jc w:val="both"/>
              <w:rPr>
                <w:rFonts w:eastAsia="宋体"/>
                <w:sz w:val="24"/>
                <w:szCs w:val="24"/>
                <w:lang w:eastAsia="zh-CN"/>
              </w:rPr>
            </w:pPr>
            <w:r>
              <w:rPr>
                <w:w w:val="99"/>
                <w:sz w:val="24"/>
                <w:szCs w:val="24"/>
                <w:lang w:eastAsia="zh-CN"/>
              </w:rPr>
              <w:t>i)</w:t>
            </w:r>
            <w:r>
              <w:rPr>
                <w:rFonts w:eastAsia="宋体"/>
                <w:sz w:val="24"/>
                <w:szCs w:val="24"/>
                <w:lang w:eastAsia="zh-CN"/>
              </w:rPr>
              <w:t>风险因素(客户身份)</w:t>
            </w:r>
          </w:p>
          <w:p>
            <w:pPr>
              <w:pStyle w:val="12"/>
              <w:tabs>
                <w:tab w:val="left" w:pos="469"/>
              </w:tabs>
              <w:ind w:left="468" w:hanging="361"/>
              <w:jc w:val="both"/>
              <w:rPr>
                <w:rFonts w:eastAsia="宋体"/>
                <w:sz w:val="24"/>
                <w:szCs w:val="24"/>
                <w:lang w:eastAsia="zh-CN"/>
              </w:rPr>
            </w:pPr>
            <w:r>
              <w:rPr>
                <w:w w:val="99"/>
                <w:sz w:val="24"/>
                <w:szCs w:val="24"/>
                <w:lang w:eastAsia="zh-CN"/>
              </w:rPr>
              <w:t>ii)</w:t>
            </w:r>
            <w:r>
              <w:rPr>
                <w:rFonts w:eastAsia="宋体"/>
                <w:sz w:val="24"/>
                <w:szCs w:val="24"/>
                <w:lang w:eastAsia="zh-CN"/>
              </w:rPr>
              <w:t>客户风险因素(受益所有人)</w:t>
            </w:r>
          </w:p>
          <w:p>
            <w:pPr>
              <w:pStyle w:val="12"/>
              <w:tabs>
                <w:tab w:val="left" w:pos="469"/>
              </w:tabs>
              <w:spacing w:before="2"/>
              <w:ind w:left="468" w:hanging="361"/>
              <w:jc w:val="both"/>
              <w:rPr>
                <w:rFonts w:eastAsia="宋体"/>
                <w:sz w:val="24"/>
                <w:szCs w:val="24"/>
                <w:lang w:eastAsia="zh-CN"/>
              </w:rPr>
            </w:pPr>
            <w:r>
              <w:rPr>
                <w:w w:val="99"/>
                <w:sz w:val="24"/>
                <w:szCs w:val="24"/>
                <w:lang w:eastAsia="zh-CN"/>
              </w:rPr>
              <w:t>iii)</w:t>
            </w:r>
            <w:r>
              <w:rPr>
                <w:rFonts w:eastAsia="宋体"/>
                <w:sz w:val="24"/>
                <w:szCs w:val="24"/>
                <w:lang w:eastAsia="zh-CN"/>
              </w:rPr>
              <w:t>客户风险因素(所有权结构)</w:t>
            </w:r>
          </w:p>
          <w:p>
            <w:pPr>
              <w:pStyle w:val="12"/>
              <w:tabs>
                <w:tab w:val="left" w:pos="469"/>
              </w:tabs>
              <w:ind w:left="468" w:hanging="361"/>
              <w:jc w:val="both"/>
              <w:rPr>
                <w:rFonts w:eastAsia="宋体"/>
                <w:sz w:val="24"/>
                <w:szCs w:val="24"/>
                <w:lang w:eastAsia="zh-CN"/>
              </w:rPr>
            </w:pPr>
            <w:r>
              <w:rPr>
                <w:w w:val="99"/>
                <w:sz w:val="24"/>
                <w:szCs w:val="24"/>
                <w:lang w:eastAsia="zh-CN"/>
              </w:rPr>
              <w:t>iv)</w:t>
            </w:r>
            <w:r>
              <w:rPr>
                <w:rFonts w:eastAsia="宋体"/>
                <w:sz w:val="24"/>
                <w:szCs w:val="24"/>
                <w:lang w:eastAsia="zh-CN"/>
              </w:rPr>
              <w:t>客户风险因素(参与国际结构)</w:t>
            </w:r>
          </w:p>
          <w:p>
            <w:pPr>
              <w:pStyle w:val="12"/>
              <w:tabs>
                <w:tab w:val="left" w:pos="468"/>
                <w:tab w:val="left" w:pos="469"/>
              </w:tabs>
              <w:ind w:left="468" w:hanging="361"/>
              <w:jc w:val="both"/>
              <w:rPr>
                <w:rFonts w:eastAsia="宋体"/>
                <w:sz w:val="24"/>
                <w:szCs w:val="24"/>
                <w:lang w:eastAsia="zh-CN"/>
              </w:rPr>
            </w:pPr>
            <w:r>
              <w:rPr>
                <w:w w:val="99"/>
                <w:sz w:val="24"/>
                <w:szCs w:val="24"/>
                <w:lang w:eastAsia="zh-CN"/>
              </w:rPr>
              <w:t>v)</w:t>
            </w:r>
            <w:r>
              <w:rPr>
                <w:rFonts w:eastAsia="宋体"/>
                <w:sz w:val="24"/>
                <w:szCs w:val="24"/>
                <w:lang w:eastAsia="zh-CN"/>
              </w:rPr>
              <w:t>客户风险因素(个人资产持有工具)</w:t>
            </w:r>
          </w:p>
          <w:p>
            <w:pPr>
              <w:pStyle w:val="12"/>
              <w:tabs>
                <w:tab w:val="left" w:pos="469"/>
              </w:tabs>
              <w:ind w:left="468" w:hanging="361"/>
              <w:jc w:val="both"/>
              <w:rPr>
                <w:rFonts w:eastAsia="宋体"/>
                <w:sz w:val="24"/>
                <w:szCs w:val="24"/>
                <w:lang w:eastAsia="zh-CN"/>
              </w:rPr>
            </w:pPr>
            <w:r>
              <w:rPr>
                <w:w w:val="99"/>
                <w:sz w:val="24"/>
                <w:szCs w:val="24"/>
                <w:lang w:eastAsia="zh-CN"/>
              </w:rPr>
              <w:t>vi)</w:t>
            </w:r>
            <w:r>
              <w:rPr>
                <w:rFonts w:eastAsia="宋体"/>
                <w:sz w:val="24"/>
                <w:szCs w:val="24"/>
                <w:lang w:eastAsia="zh-CN"/>
              </w:rPr>
              <w:t>客户风险因素(替名股东或</w:t>
            </w:r>
            <w:bookmarkStart w:id="4" w:name="OLE_LINK4"/>
            <w:r>
              <w:rPr>
                <w:rFonts w:eastAsia="宋体"/>
                <w:sz w:val="24"/>
                <w:szCs w:val="24"/>
                <w:lang w:eastAsia="zh-CN"/>
              </w:rPr>
              <w:t>无记名股票</w:t>
            </w:r>
            <w:bookmarkEnd w:id="4"/>
            <w:r>
              <w:rPr>
                <w:rFonts w:eastAsia="宋体"/>
                <w:sz w:val="24"/>
                <w:szCs w:val="24"/>
                <w:lang w:eastAsia="zh-CN"/>
              </w:rPr>
              <w:t>)</w:t>
            </w:r>
          </w:p>
          <w:p>
            <w:pPr>
              <w:pStyle w:val="12"/>
              <w:tabs>
                <w:tab w:val="left" w:pos="469"/>
              </w:tabs>
              <w:spacing w:before="1"/>
              <w:ind w:left="468" w:hanging="361"/>
              <w:jc w:val="both"/>
              <w:rPr>
                <w:rFonts w:eastAsia="宋体"/>
                <w:sz w:val="24"/>
                <w:szCs w:val="24"/>
                <w:lang w:eastAsia="zh-CN"/>
              </w:rPr>
            </w:pPr>
            <w:r>
              <w:rPr>
                <w:w w:val="99"/>
                <w:sz w:val="24"/>
                <w:szCs w:val="24"/>
                <w:lang w:eastAsia="zh-CN"/>
              </w:rPr>
              <w:t>vii)</w:t>
            </w:r>
            <w:r>
              <w:rPr>
                <w:rFonts w:eastAsia="宋体"/>
                <w:sz w:val="24"/>
                <w:szCs w:val="24"/>
                <w:lang w:eastAsia="zh-CN"/>
              </w:rPr>
              <w:t>客户风险因素(在异常情况下开展的业务关系)</w:t>
            </w:r>
          </w:p>
          <w:p>
            <w:pPr>
              <w:pStyle w:val="12"/>
              <w:tabs>
                <w:tab w:val="left" w:pos="469"/>
              </w:tabs>
              <w:ind w:left="468" w:hanging="361"/>
              <w:jc w:val="both"/>
              <w:rPr>
                <w:rFonts w:eastAsia="宋体"/>
                <w:sz w:val="24"/>
                <w:szCs w:val="24"/>
                <w:lang w:eastAsia="zh-CN"/>
              </w:rPr>
            </w:pPr>
            <w:r>
              <w:rPr>
                <w:w w:val="99"/>
                <w:sz w:val="24"/>
                <w:szCs w:val="24"/>
                <w:lang w:eastAsia="zh-CN"/>
              </w:rPr>
              <w:t>viii)</w:t>
            </w:r>
            <w:r>
              <w:rPr>
                <w:rFonts w:eastAsia="宋体"/>
                <w:sz w:val="24"/>
                <w:szCs w:val="24"/>
                <w:lang w:eastAsia="zh-CN"/>
              </w:rPr>
              <w:t>客户风险因素(现金密集型)</w:t>
            </w:r>
          </w:p>
          <w:p>
            <w:pPr>
              <w:pStyle w:val="12"/>
              <w:tabs>
                <w:tab w:val="left" w:pos="469"/>
              </w:tabs>
              <w:ind w:left="468" w:hanging="361"/>
              <w:jc w:val="both"/>
              <w:rPr>
                <w:rFonts w:eastAsia="宋体"/>
                <w:sz w:val="24"/>
                <w:szCs w:val="24"/>
                <w:lang w:eastAsia="zh-CN"/>
              </w:rPr>
            </w:pPr>
            <w:r>
              <w:rPr>
                <w:w w:val="99"/>
                <w:sz w:val="24"/>
                <w:szCs w:val="24"/>
                <w:lang w:eastAsia="zh-CN"/>
              </w:rPr>
              <w:t>ix)</w:t>
            </w:r>
            <w:r>
              <w:rPr>
                <w:rFonts w:eastAsia="宋体"/>
                <w:sz w:val="24"/>
                <w:szCs w:val="24"/>
                <w:lang w:eastAsia="zh-CN"/>
              </w:rPr>
              <w:t>客户风险因素(位于高风险地理位置)</w:t>
            </w:r>
          </w:p>
          <w:p>
            <w:pPr>
              <w:pStyle w:val="12"/>
              <w:tabs>
                <w:tab w:val="left" w:pos="468"/>
                <w:tab w:val="left" w:pos="469"/>
              </w:tabs>
              <w:ind w:left="468" w:hanging="361"/>
              <w:jc w:val="both"/>
              <w:rPr>
                <w:rFonts w:eastAsia="宋体"/>
                <w:sz w:val="24"/>
                <w:szCs w:val="24"/>
                <w:lang w:eastAsia="zh-CN"/>
              </w:rPr>
            </w:pPr>
            <w:r>
              <w:rPr>
                <w:w w:val="99"/>
                <w:sz w:val="24"/>
                <w:szCs w:val="24"/>
                <w:lang w:eastAsia="zh-CN"/>
              </w:rPr>
              <w:t>x)</w:t>
            </w:r>
            <w:r>
              <w:rPr>
                <w:rFonts w:eastAsia="宋体"/>
                <w:sz w:val="24"/>
                <w:szCs w:val="24"/>
                <w:lang w:eastAsia="zh-CN"/>
              </w:rPr>
              <w:t>风险因素(产品、服务、交付渠道)</w:t>
            </w:r>
          </w:p>
          <w:p>
            <w:pPr>
              <w:pStyle w:val="12"/>
              <w:tabs>
                <w:tab w:val="left" w:pos="469"/>
              </w:tabs>
              <w:spacing w:before="2"/>
              <w:ind w:left="468" w:hanging="361"/>
              <w:jc w:val="both"/>
              <w:rPr>
                <w:rFonts w:eastAsia="宋体"/>
                <w:sz w:val="24"/>
                <w:szCs w:val="24"/>
                <w:lang w:eastAsia="zh-CN"/>
              </w:rPr>
            </w:pPr>
            <w:r>
              <w:rPr>
                <w:w w:val="99"/>
                <w:sz w:val="24"/>
                <w:szCs w:val="24"/>
                <w:lang w:eastAsia="zh-CN"/>
              </w:rPr>
              <w:t>xi)</w:t>
            </w:r>
            <w:r>
              <w:rPr>
                <w:rFonts w:eastAsia="宋体"/>
                <w:sz w:val="24"/>
                <w:szCs w:val="24"/>
                <w:lang w:eastAsia="zh-CN"/>
              </w:rPr>
              <w:t>产品风险因素(私人银行)</w:t>
            </w:r>
          </w:p>
          <w:p>
            <w:pPr>
              <w:pStyle w:val="12"/>
              <w:tabs>
                <w:tab w:val="left" w:pos="469"/>
              </w:tabs>
              <w:ind w:left="468" w:hanging="361"/>
              <w:jc w:val="both"/>
              <w:rPr>
                <w:rFonts w:eastAsia="宋体"/>
                <w:sz w:val="24"/>
                <w:szCs w:val="24"/>
                <w:lang w:eastAsia="zh-CN"/>
              </w:rPr>
            </w:pPr>
            <w:r>
              <w:rPr>
                <w:w w:val="99"/>
                <w:sz w:val="24"/>
                <w:szCs w:val="24"/>
                <w:lang w:eastAsia="zh-CN"/>
              </w:rPr>
              <w:t>xii)</w:t>
            </w:r>
            <w:r>
              <w:rPr>
                <w:rFonts w:eastAsia="宋体"/>
                <w:sz w:val="24"/>
                <w:szCs w:val="24"/>
                <w:lang w:eastAsia="zh-CN"/>
              </w:rPr>
              <w:t>产品风险因素(匿名交易)</w:t>
            </w:r>
          </w:p>
          <w:p>
            <w:pPr>
              <w:pStyle w:val="12"/>
              <w:tabs>
                <w:tab w:val="left" w:pos="469"/>
              </w:tabs>
              <w:ind w:left="468" w:hanging="361"/>
              <w:jc w:val="both"/>
              <w:rPr>
                <w:rFonts w:eastAsia="宋体"/>
                <w:sz w:val="24"/>
                <w:szCs w:val="24"/>
                <w:lang w:eastAsia="zh-CN"/>
              </w:rPr>
            </w:pPr>
            <w:r>
              <w:rPr>
                <w:w w:val="99"/>
                <w:sz w:val="24"/>
                <w:szCs w:val="24"/>
                <w:lang w:eastAsia="zh-CN"/>
              </w:rPr>
              <w:t>xiii)</w:t>
            </w:r>
            <w:r>
              <w:rPr>
                <w:rFonts w:eastAsia="宋体"/>
                <w:sz w:val="24"/>
                <w:szCs w:val="24"/>
                <w:lang w:eastAsia="zh-CN"/>
              </w:rPr>
              <w:t>产品风险因素(来历不明的款项)</w:t>
            </w:r>
          </w:p>
          <w:p>
            <w:pPr>
              <w:pStyle w:val="12"/>
              <w:tabs>
                <w:tab w:val="left" w:pos="469"/>
              </w:tabs>
              <w:ind w:left="468" w:hanging="361"/>
              <w:jc w:val="both"/>
              <w:rPr>
                <w:rFonts w:eastAsia="宋体"/>
                <w:sz w:val="24"/>
                <w:szCs w:val="24"/>
                <w:lang w:eastAsia="zh-CN"/>
              </w:rPr>
            </w:pPr>
            <w:r>
              <w:rPr>
                <w:w w:val="99"/>
                <w:sz w:val="24"/>
                <w:szCs w:val="24"/>
                <w:lang w:eastAsia="zh-CN"/>
              </w:rPr>
              <w:t>xiv)</w:t>
            </w:r>
            <w:r>
              <w:rPr>
                <w:rFonts w:eastAsia="宋体"/>
                <w:sz w:val="24"/>
                <w:szCs w:val="24"/>
                <w:lang w:eastAsia="zh-CN"/>
              </w:rPr>
              <w:t>产品风险因素(非面对面关系和交易)</w:t>
            </w:r>
          </w:p>
          <w:p>
            <w:pPr>
              <w:pStyle w:val="12"/>
              <w:tabs>
                <w:tab w:val="left" w:pos="469"/>
              </w:tabs>
              <w:spacing w:before="2"/>
              <w:ind w:left="468" w:hanging="361"/>
              <w:jc w:val="both"/>
              <w:rPr>
                <w:rFonts w:eastAsia="宋体"/>
                <w:sz w:val="24"/>
                <w:szCs w:val="24"/>
                <w:lang w:eastAsia="zh-CN"/>
              </w:rPr>
            </w:pPr>
            <w:r>
              <w:rPr>
                <w:w w:val="99"/>
                <w:sz w:val="24"/>
                <w:szCs w:val="24"/>
                <w:lang w:eastAsia="zh-CN"/>
              </w:rPr>
              <w:t>xv)</w:t>
            </w:r>
            <w:r>
              <w:rPr>
                <w:rFonts w:eastAsia="宋体"/>
                <w:sz w:val="24"/>
                <w:szCs w:val="24"/>
                <w:lang w:eastAsia="zh-CN"/>
              </w:rPr>
              <w:t>产品风险因素(高风险地理位置的经营)</w:t>
            </w:r>
          </w:p>
        </w:tc>
      </w:tr>
    </w:tbl>
    <w:p>
      <w:pPr>
        <w:pStyle w:val="5"/>
        <w:spacing w:before="3" w:line="400" w:lineRule="exact"/>
        <w:ind w:firstLine="562" w:firstLineChars="200"/>
        <w:rPr>
          <w:rFonts w:eastAsia="宋体"/>
          <w:b/>
          <w:sz w:val="28"/>
          <w:szCs w:val="28"/>
          <w:lang w:eastAsia="zh-CN"/>
        </w:rPr>
      </w:pP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1.1.3</w:t>
      </w:r>
      <w:r>
        <w:rPr>
          <w:rFonts w:hint="eastAsia" w:eastAsia="宋体"/>
          <w:b/>
          <w:sz w:val="28"/>
          <w:szCs w:val="28"/>
          <w:lang w:eastAsia="zh-CN"/>
        </w:rPr>
        <w:t>加</w:t>
      </w:r>
      <w:r>
        <w:rPr>
          <w:rFonts w:eastAsia="宋体"/>
          <w:b/>
          <w:sz w:val="28"/>
          <w:szCs w:val="28"/>
          <w:lang w:eastAsia="zh-CN"/>
        </w:rPr>
        <w:t>强和简化CDD措施的可用性</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并非所有客户都面临相同的风险，因此，在执行CDD措施时，经济体的法规将需要不同的流程，具体取决于客户的风险水平。</w:t>
      </w:r>
      <w:r>
        <w:rPr>
          <w:rFonts w:eastAsia="宋体"/>
          <w:sz w:val="28"/>
          <w:szCs w:val="28"/>
          <w:vertAlign w:val="superscript"/>
          <w:lang w:eastAsia="zh-CN"/>
        </w:rPr>
        <w:t>20</w:t>
      </w:r>
      <w:r>
        <w:rPr>
          <w:rFonts w:eastAsia="宋体"/>
          <w:sz w:val="28"/>
          <w:szCs w:val="28"/>
          <w:lang w:eastAsia="zh-CN"/>
        </w:rPr>
        <w:t>因此，在对客户进行风险评估之后，在一个经济体中提供简化和增强的CDD措施将简化低风险企业的流程，同时</w:t>
      </w:r>
      <w:bookmarkStart w:id="5" w:name="OLE_LINK5"/>
      <w:r>
        <w:rPr>
          <w:rFonts w:eastAsia="宋体"/>
          <w:sz w:val="28"/>
          <w:szCs w:val="28"/>
          <w:lang w:eastAsia="zh-CN"/>
        </w:rPr>
        <w:t>对风险较高的企业采用更有力和深入的审查流程</w:t>
      </w:r>
      <w:bookmarkEnd w:id="5"/>
      <w:r>
        <w:rPr>
          <w:rFonts w:eastAsia="宋体"/>
          <w:sz w:val="28"/>
          <w:szCs w:val="28"/>
          <w:lang w:eastAsia="zh-CN"/>
        </w:rPr>
        <w:t>。</w:t>
      </w:r>
      <w:r>
        <w:rPr>
          <w:rFonts w:eastAsia="宋体"/>
          <w:sz w:val="28"/>
          <w:szCs w:val="28"/>
          <w:vertAlign w:val="superscript"/>
          <w:lang w:eastAsia="zh-CN"/>
        </w:rPr>
        <w:t>21</w:t>
      </w:r>
      <w:r>
        <w:rPr>
          <w:rFonts w:eastAsia="宋体"/>
          <w:sz w:val="28"/>
          <w:szCs w:val="28"/>
          <w:lang w:eastAsia="zh-CN"/>
        </w:rPr>
        <w:t>因此，子类别1.1.3有两个指标(表5)。</w:t>
      </w:r>
    </w:p>
    <w:p>
      <w:pPr>
        <w:spacing w:line="400" w:lineRule="exact"/>
        <w:jc w:val="center"/>
        <w:rPr>
          <w:rFonts w:eastAsia="宋体"/>
          <w:b/>
          <w:sz w:val="28"/>
          <w:szCs w:val="28"/>
          <w:lang w:eastAsia="zh-CN"/>
        </w:rPr>
      </w:pPr>
      <w:r>
        <w:rPr>
          <w:rFonts w:eastAsia="宋体"/>
          <w:b/>
          <w:sz w:val="28"/>
          <w:szCs w:val="28"/>
          <w:lang w:eastAsia="zh-CN"/>
        </w:rPr>
        <w:t>表5</w:t>
      </w:r>
      <w:r>
        <w:rPr>
          <w:rFonts w:hint="eastAsia" w:eastAsia="宋体"/>
          <w:b/>
          <w:sz w:val="28"/>
          <w:szCs w:val="28"/>
          <w:lang w:eastAsia="zh-CN"/>
        </w:rPr>
        <w:t xml:space="preserve">. </w:t>
      </w:r>
      <w:r>
        <w:rPr>
          <w:rFonts w:eastAsia="宋体"/>
          <w:b/>
          <w:sz w:val="28"/>
          <w:szCs w:val="28"/>
          <w:lang w:eastAsia="zh-CN"/>
        </w:rPr>
        <w:t>子类别1.1.3</w:t>
      </w:r>
      <w:r>
        <w:rPr>
          <w:rFonts w:hint="eastAsia" w:ascii="Times New Roman Bold" w:hAnsi="Times New Roman Bold" w:eastAsia="Songti SC Bold"/>
          <w:b/>
          <w:color w:val="222222"/>
          <w:sz w:val="28"/>
          <w:szCs w:val="27"/>
          <w:shd w:val="clear" w:color="auto" w:fill="FFFFFF"/>
          <w:lang w:eastAsia="zh-CN"/>
        </w:rPr>
        <w:t>-</w:t>
      </w:r>
      <w:r>
        <w:rPr>
          <w:rFonts w:hint="eastAsia" w:eastAsia="宋体"/>
          <w:b/>
          <w:sz w:val="28"/>
          <w:szCs w:val="28"/>
          <w:lang w:eastAsia="zh-CN"/>
        </w:rPr>
        <w:t>加</w:t>
      </w:r>
      <w:r>
        <w:rPr>
          <w:rFonts w:eastAsia="宋体"/>
          <w:b/>
          <w:sz w:val="28"/>
          <w:szCs w:val="28"/>
          <w:lang w:eastAsia="zh-CN"/>
        </w:rPr>
        <w:t>强和简化CDD措施的可用性</w:t>
      </w:r>
    </w:p>
    <w:tbl>
      <w:tblPr>
        <w:tblStyle w:val="8"/>
        <w:tblW w:w="8375"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5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2"/>
              <w:ind w:left="0"/>
              <w:jc w:val="center"/>
              <w:rPr>
                <w:rFonts w:eastAsia="宋体"/>
                <w:sz w:val="24"/>
                <w:szCs w:val="24"/>
                <w:lang w:eastAsia="zh-CN"/>
              </w:rPr>
            </w:pPr>
          </w:p>
        </w:tc>
        <w:tc>
          <w:tcPr>
            <w:tcW w:w="2249" w:type="dxa"/>
            <w:shd w:val="clear" w:color="auto" w:fill="E7EBF5"/>
            <w:vAlign w:val="center"/>
          </w:tcPr>
          <w:p>
            <w:pPr>
              <w:pStyle w:val="12"/>
              <w:spacing w:before="2"/>
              <w:ind w:left="105"/>
              <w:jc w:val="center"/>
              <w:rPr>
                <w:rFonts w:eastAsia="宋体"/>
                <w:b/>
                <w:sz w:val="24"/>
                <w:szCs w:val="24"/>
              </w:rPr>
            </w:pPr>
            <w:r>
              <w:rPr>
                <w:rFonts w:eastAsia="宋体"/>
                <w:b/>
                <w:spacing w:val="-2"/>
                <w:sz w:val="24"/>
                <w:szCs w:val="24"/>
              </w:rPr>
              <w:t>指标</w:t>
            </w:r>
          </w:p>
        </w:tc>
        <w:tc>
          <w:tcPr>
            <w:tcW w:w="5680" w:type="dxa"/>
            <w:shd w:val="clear" w:color="auto" w:fill="E7EBF5"/>
            <w:vAlign w:val="center"/>
          </w:tcPr>
          <w:p>
            <w:pPr>
              <w:pStyle w:val="12"/>
              <w:spacing w:before="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spacing w:before="103"/>
              <w:jc w:val="both"/>
              <w:rPr>
                <w:rFonts w:eastAsia="宋体"/>
                <w:sz w:val="24"/>
                <w:szCs w:val="24"/>
              </w:rPr>
            </w:pPr>
            <w:r>
              <w:rPr>
                <w:rFonts w:eastAsia="宋体"/>
                <w:sz w:val="24"/>
                <w:szCs w:val="24"/>
              </w:rPr>
              <w:t>1</w:t>
            </w:r>
          </w:p>
        </w:tc>
        <w:tc>
          <w:tcPr>
            <w:tcW w:w="2249" w:type="dxa"/>
            <w:vAlign w:val="center"/>
          </w:tcPr>
          <w:p>
            <w:pPr>
              <w:pStyle w:val="12"/>
              <w:spacing w:before="103"/>
              <w:ind w:left="105"/>
              <w:jc w:val="both"/>
              <w:rPr>
                <w:rFonts w:eastAsia="宋体"/>
                <w:sz w:val="24"/>
                <w:szCs w:val="24"/>
              </w:rPr>
            </w:pPr>
            <w:r>
              <w:rPr>
                <w:rFonts w:eastAsia="宋体"/>
                <w:sz w:val="24"/>
                <w:szCs w:val="24"/>
              </w:rPr>
              <w:t>简化</w:t>
            </w:r>
            <w:r>
              <w:rPr>
                <w:rFonts w:eastAsia="宋体"/>
                <w:sz w:val="24"/>
                <w:szCs w:val="24"/>
                <w:lang w:eastAsia="zh-CN"/>
              </w:rPr>
              <w:t>的</w:t>
            </w:r>
            <w:r>
              <w:rPr>
                <w:rFonts w:eastAsia="宋体"/>
                <w:sz w:val="24"/>
                <w:szCs w:val="24"/>
              </w:rPr>
              <w:t>CDD</w:t>
            </w:r>
          </w:p>
        </w:tc>
        <w:tc>
          <w:tcPr>
            <w:tcW w:w="5680" w:type="dxa"/>
            <w:vAlign w:val="center"/>
          </w:tcPr>
          <w:p>
            <w:pPr>
              <w:pStyle w:val="12"/>
              <w:tabs>
                <w:tab w:val="left" w:pos="454"/>
                <w:tab w:val="left" w:pos="455"/>
              </w:tabs>
              <w:ind w:left="454" w:hanging="361"/>
              <w:jc w:val="both"/>
              <w:rPr>
                <w:rFonts w:eastAsia="宋体"/>
                <w:sz w:val="24"/>
                <w:szCs w:val="24"/>
                <w:lang w:eastAsia="zh-CN"/>
              </w:rPr>
            </w:pPr>
            <w:r>
              <w:rPr>
                <w:w w:val="99"/>
                <w:sz w:val="24"/>
                <w:szCs w:val="24"/>
                <w:lang w:eastAsia="zh-CN"/>
              </w:rPr>
              <w:t>i)</w:t>
            </w:r>
            <w:r>
              <w:rPr>
                <w:rFonts w:eastAsia="宋体"/>
                <w:sz w:val="24"/>
                <w:szCs w:val="24"/>
                <w:lang w:eastAsia="zh-CN"/>
              </w:rPr>
              <w:t>针对低风险客户简化AML/CFT CDD审查</w:t>
            </w:r>
          </w:p>
          <w:p>
            <w:pPr>
              <w:pStyle w:val="12"/>
              <w:tabs>
                <w:tab w:val="left" w:pos="455"/>
              </w:tabs>
              <w:ind w:left="454" w:hanging="361"/>
              <w:jc w:val="both"/>
              <w:rPr>
                <w:rFonts w:eastAsia="宋体"/>
                <w:sz w:val="24"/>
                <w:szCs w:val="24"/>
                <w:lang w:eastAsia="zh-CN"/>
              </w:rPr>
            </w:pPr>
            <w:r>
              <w:rPr>
                <w:w w:val="99"/>
                <w:sz w:val="24"/>
                <w:szCs w:val="24"/>
                <w:lang w:eastAsia="zh-CN"/>
              </w:rPr>
              <w:t>ii)</w:t>
            </w:r>
            <w:r>
              <w:rPr>
                <w:rFonts w:eastAsia="宋体"/>
                <w:sz w:val="24"/>
                <w:szCs w:val="24"/>
                <w:lang w:eastAsia="zh-CN"/>
              </w:rPr>
              <w:t>确定低风险客户的监管指导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12"/>
              <w:spacing w:before="103"/>
              <w:jc w:val="both"/>
              <w:rPr>
                <w:rFonts w:eastAsia="宋体"/>
                <w:sz w:val="24"/>
                <w:szCs w:val="24"/>
              </w:rPr>
            </w:pPr>
            <w:r>
              <w:rPr>
                <w:rFonts w:eastAsia="宋体"/>
                <w:sz w:val="24"/>
                <w:szCs w:val="24"/>
              </w:rPr>
              <w:t>2</w:t>
            </w:r>
          </w:p>
        </w:tc>
        <w:tc>
          <w:tcPr>
            <w:tcW w:w="2249" w:type="dxa"/>
            <w:vAlign w:val="center"/>
          </w:tcPr>
          <w:p>
            <w:pPr>
              <w:pStyle w:val="12"/>
              <w:spacing w:before="103"/>
              <w:ind w:left="105"/>
              <w:jc w:val="both"/>
              <w:rPr>
                <w:rFonts w:eastAsia="宋体"/>
                <w:sz w:val="24"/>
                <w:szCs w:val="24"/>
              </w:rPr>
            </w:pPr>
            <w:r>
              <w:rPr>
                <w:rFonts w:eastAsia="宋体"/>
                <w:sz w:val="24"/>
                <w:szCs w:val="24"/>
                <w:lang w:eastAsia="zh-CN"/>
              </w:rPr>
              <w:t>加</w:t>
            </w:r>
            <w:r>
              <w:rPr>
                <w:rFonts w:eastAsia="宋体"/>
                <w:sz w:val="24"/>
                <w:szCs w:val="24"/>
              </w:rPr>
              <w:t>强</w:t>
            </w:r>
            <w:r>
              <w:rPr>
                <w:rFonts w:eastAsia="宋体"/>
                <w:sz w:val="24"/>
                <w:szCs w:val="24"/>
                <w:lang w:eastAsia="zh-CN"/>
              </w:rPr>
              <w:t>的</w:t>
            </w:r>
            <w:r>
              <w:rPr>
                <w:rFonts w:eastAsia="宋体"/>
                <w:sz w:val="24"/>
                <w:szCs w:val="24"/>
              </w:rPr>
              <w:t>CDD</w:t>
            </w:r>
          </w:p>
        </w:tc>
        <w:tc>
          <w:tcPr>
            <w:tcW w:w="5680" w:type="dxa"/>
            <w:vAlign w:val="center"/>
          </w:tcPr>
          <w:p>
            <w:pPr>
              <w:pStyle w:val="12"/>
              <w:tabs>
                <w:tab w:val="left" w:pos="454"/>
                <w:tab w:val="left" w:pos="455"/>
              </w:tabs>
              <w:ind w:left="454" w:hanging="361"/>
              <w:jc w:val="both"/>
              <w:rPr>
                <w:rFonts w:eastAsia="宋体"/>
                <w:sz w:val="24"/>
                <w:szCs w:val="24"/>
                <w:lang w:eastAsia="zh-CN"/>
              </w:rPr>
            </w:pPr>
            <w:r>
              <w:rPr>
                <w:w w:val="99"/>
                <w:sz w:val="24"/>
                <w:szCs w:val="24"/>
                <w:lang w:eastAsia="zh-CN"/>
              </w:rPr>
              <w:t>i)</w:t>
            </w:r>
            <w:r>
              <w:rPr>
                <w:rFonts w:eastAsia="宋体"/>
                <w:sz w:val="24"/>
                <w:szCs w:val="24"/>
                <w:lang w:eastAsia="zh-CN"/>
              </w:rPr>
              <w:t>针对高风险客户加强AML/CFT CDD审查</w:t>
            </w:r>
          </w:p>
          <w:p>
            <w:pPr>
              <w:pStyle w:val="12"/>
              <w:tabs>
                <w:tab w:val="left" w:pos="455"/>
              </w:tabs>
              <w:ind w:left="454" w:hanging="361"/>
              <w:jc w:val="both"/>
              <w:rPr>
                <w:rFonts w:eastAsia="宋体"/>
                <w:sz w:val="24"/>
                <w:szCs w:val="24"/>
                <w:lang w:eastAsia="zh-CN"/>
              </w:rPr>
            </w:pPr>
            <w:r>
              <w:rPr>
                <w:w w:val="99"/>
                <w:sz w:val="24"/>
                <w:szCs w:val="24"/>
                <w:lang w:eastAsia="zh-CN"/>
              </w:rPr>
              <w:t>ii)</w:t>
            </w:r>
            <w:r>
              <w:rPr>
                <w:rFonts w:eastAsia="宋体"/>
                <w:sz w:val="24"/>
                <w:szCs w:val="24"/>
                <w:lang w:eastAsia="zh-CN"/>
              </w:rPr>
              <w:t>确定高风险客户的监管指导</w:t>
            </w:r>
          </w:p>
        </w:tc>
      </w:tr>
    </w:tbl>
    <w:p>
      <w:pPr>
        <w:spacing w:before="1"/>
        <w:ind w:left="120"/>
        <w:jc w:val="both"/>
        <w:rPr>
          <w:sz w:val="23"/>
          <w:lang w:eastAsia="zh-CN"/>
        </w:rPr>
      </w:pPr>
      <w:r>
        <w:rPr>
          <w:rFonts w:eastAsia="宋体"/>
          <w:i/>
          <w:sz w:val="24"/>
          <w:szCs w:val="24"/>
          <w:lang w:eastAsia="zh-CN"/>
        </w:rPr>
        <w:t>注:</w:t>
      </w:r>
      <w:r>
        <w:rPr>
          <w:rFonts w:eastAsia="宋体"/>
          <w:sz w:val="24"/>
          <w:szCs w:val="24"/>
          <w:lang w:eastAsia="zh-CN"/>
        </w:rPr>
        <w:t>AML/CFT =反洗钱/打击资助恐怖主义</w:t>
      </w:r>
      <w:r>
        <w:rPr>
          <w:rFonts w:hint="eastAsia" w:eastAsia="宋体"/>
          <w:sz w:val="24"/>
          <w:szCs w:val="24"/>
          <w:lang w:eastAsia="zh-CN"/>
        </w:rPr>
        <w:t>；</w:t>
      </w:r>
      <w:r>
        <w:rPr>
          <w:rFonts w:eastAsia="宋体"/>
          <w:sz w:val="24"/>
          <w:szCs w:val="24"/>
          <w:lang w:eastAsia="zh-CN"/>
        </w:rPr>
        <w:t>CDD =客户尽职调查。</w:t>
      </w:r>
    </w:p>
    <w:p>
      <w:pPr>
        <w:pStyle w:val="5"/>
        <w:spacing w:before="3"/>
        <w:rPr>
          <w:sz w:val="23"/>
          <w:lang w:eastAsia="zh-CN"/>
        </w:rPr>
      </w:pPr>
    </w:p>
    <w:p>
      <w:pPr>
        <w:pStyle w:val="11"/>
        <w:tabs>
          <w:tab w:val="left" w:pos="841"/>
        </w:tabs>
        <w:spacing w:line="400" w:lineRule="exact"/>
        <w:ind w:left="0" w:firstLine="0"/>
        <w:outlineLvl w:val="1"/>
        <w:rPr>
          <w:rFonts w:eastAsia="宋体"/>
          <w:b/>
          <w:sz w:val="28"/>
          <w:szCs w:val="28"/>
          <w:lang w:eastAsia="zh-CN"/>
        </w:rPr>
      </w:pPr>
      <w:r>
        <w:rPr>
          <w:rFonts w:eastAsia="宋体"/>
          <w:b/>
          <w:sz w:val="28"/>
          <w:szCs w:val="28"/>
          <w:lang w:eastAsia="zh-CN"/>
        </w:rPr>
        <w:t>1.2担保交易的良好监管实践</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类别1.2分为三个子类，由几个指标组成，每个指标又有几个组成部分。</w:t>
      </w: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1.2.1统一的担保交易法律框架</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在这种方法下，所有担保交易，无论如何计价，都被归类为担保权利，并受到相同的法律框架的约束。对担保交易采用一种综合的、功能性的方法，为担保目的提供了灵活的合同安排，允许借款人尽可能多地使用其流动资产作为抵押品来获得信贷。</w:t>
      </w:r>
      <w:r>
        <w:rPr>
          <w:rFonts w:eastAsia="宋体"/>
          <w:sz w:val="28"/>
          <w:szCs w:val="28"/>
          <w:vertAlign w:val="superscript"/>
          <w:lang w:eastAsia="zh-CN"/>
        </w:rPr>
        <w:t>22</w:t>
      </w:r>
      <w:r>
        <w:rPr>
          <w:rFonts w:eastAsia="宋体"/>
          <w:sz w:val="28"/>
          <w:szCs w:val="28"/>
          <w:lang w:eastAsia="zh-CN"/>
        </w:rPr>
        <w:t>它还允许注册法人和非注册法人实体在不赋予任何特定类别的债务人或债权人特殊利益或权利的情况下，创建或获取动产抵押品。</w:t>
      </w:r>
      <w:r>
        <w:rPr>
          <w:rFonts w:eastAsia="宋体"/>
          <w:sz w:val="28"/>
          <w:szCs w:val="28"/>
          <w:vertAlign w:val="superscript"/>
          <w:lang w:eastAsia="zh-CN"/>
        </w:rPr>
        <w:t>23,24</w:t>
      </w:r>
      <w:r>
        <w:rPr>
          <w:rFonts w:eastAsia="宋体"/>
          <w:sz w:val="28"/>
          <w:szCs w:val="28"/>
          <w:lang w:eastAsia="zh-CN"/>
        </w:rPr>
        <w:t>这种方法有助于避免可能造成差距和不一致的多重法律制度。此外，统一的法律框架可能更容易实施，因为它不需要调整或参考其他法律。此外，它可以降低贷款风险，并有助于建立更稳定的金融环境。因此，子类别1.2.1 -担保交易统一法律框架只有一个指标(表6)。</w:t>
      </w:r>
    </w:p>
    <w:p>
      <w:pPr>
        <w:pStyle w:val="5"/>
        <w:spacing w:line="400" w:lineRule="exact"/>
        <w:jc w:val="center"/>
        <w:rPr>
          <w:rFonts w:eastAsia="宋体"/>
          <w:sz w:val="28"/>
          <w:szCs w:val="28"/>
          <w:lang w:eastAsia="zh-CN"/>
        </w:rPr>
      </w:pPr>
    </w:p>
    <w:p>
      <w:pPr>
        <w:spacing w:line="400" w:lineRule="exact"/>
        <w:jc w:val="center"/>
        <w:rPr>
          <w:rFonts w:eastAsia="宋体"/>
          <w:b/>
          <w:sz w:val="28"/>
          <w:szCs w:val="28"/>
          <w:lang w:eastAsia="zh-CN"/>
        </w:rPr>
      </w:pPr>
      <w:r>
        <w:rPr>
          <w:rFonts w:eastAsia="宋体"/>
          <w:b/>
          <w:sz w:val="28"/>
          <w:szCs w:val="28"/>
          <w:lang w:eastAsia="zh-CN"/>
        </w:rPr>
        <w:t>表6</w:t>
      </w:r>
      <w:r>
        <w:rPr>
          <w:rFonts w:hint="eastAsia" w:eastAsia="宋体"/>
          <w:b/>
          <w:sz w:val="28"/>
          <w:szCs w:val="28"/>
          <w:lang w:eastAsia="zh-CN"/>
        </w:rPr>
        <w:t xml:space="preserve">. </w:t>
      </w:r>
      <w:r>
        <w:rPr>
          <w:rFonts w:eastAsia="宋体"/>
          <w:b/>
          <w:sz w:val="28"/>
          <w:szCs w:val="28"/>
          <w:lang w:eastAsia="zh-CN"/>
        </w:rPr>
        <w:t>子类别1.2.1</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担保交易的统一法律框架</w:t>
      </w:r>
    </w:p>
    <w:tbl>
      <w:tblPr>
        <w:tblStyle w:val="8"/>
        <w:tblW w:w="8392"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5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6" w:hRule="atLeast"/>
        </w:trPr>
        <w:tc>
          <w:tcPr>
            <w:tcW w:w="446" w:type="dxa"/>
            <w:shd w:val="clear" w:color="auto" w:fill="E7EBF5"/>
            <w:vAlign w:val="center"/>
          </w:tcPr>
          <w:p>
            <w:pPr>
              <w:pStyle w:val="12"/>
              <w:ind w:left="0"/>
              <w:jc w:val="both"/>
              <w:rPr>
                <w:rFonts w:eastAsia="宋体"/>
                <w:sz w:val="24"/>
                <w:szCs w:val="24"/>
                <w:lang w:eastAsia="zh-CN"/>
              </w:rPr>
            </w:pPr>
          </w:p>
        </w:tc>
        <w:tc>
          <w:tcPr>
            <w:tcW w:w="2249"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5697" w:type="dxa"/>
            <w:shd w:val="clear" w:color="auto" w:fill="E7EBF5"/>
            <w:vAlign w:val="center"/>
          </w:tcPr>
          <w:p>
            <w:pPr>
              <w:pStyle w:val="1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2" w:hRule="atLeast"/>
        </w:trPr>
        <w:tc>
          <w:tcPr>
            <w:tcW w:w="446" w:type="dxa"/>
            <w:vAlign w:val="center"/>
          </w:tcPr>
          <w:p>
            <w:pPr>
              <w:pStyle w:val="12"/>
              <w:jc w:val="both"/>
              <w:rPr>
                <w:rFonts w:eastAsia="宋体"/>
                <w:sz w:val="24"/>
                <w:szCs w:val="24"/>
              </w:rPr>
            </w:pPr>
            <w:r>
              <w:rPr>
                <w:rFonts w:eastAsia="宋体"/>
                <w:sz w:val="24"/>
                <w:szCs w:val="24"/>
              </w:rPr>
              <w:t>1</w:t>
            </w:r>
          </w:p>
        </w:tc>
        <w:tc>
          <w:tcPr>
            <w:tcW w:w="2249" w:type="dxa"/>
            <w:vAlign w:val="center"/>
          </w:tcPr>
          <w:p>
            <w:pPr>
              <w:pStyle w:val="12"/>
              <w:spacing w:before="1"/>
              <w:ind w:left="105" w:right="138"/>
              <w:jc w:val="both"/>
              <w:rPr>
                <w:rFonts w:eastAsia="宋体"/>
                <w:sz w:val="24"/>
                <w:szCs w:val="24"/>
                <w:lang w:eastAsia="zh-CN"/>
              </w:rPr>
            </w:pPr>
            <w:r>
              <w:rPr>
                <w:rFonts w:eastAsia="宋体"/>
                <w:sz w:val="24"/>
                <w:szCs w:val="24"/>
                <w:lang w:eastAsia="zh-CN"/>
              </w:rPr>
              <w:t>担保交易的统一法律框架</w:t>
            </w:r>
          </w:p>
        </w:tc>
        <w:tc>
          <w:tcPr>
            <w:tcW w:w="5697" w:type="dxa"/>
            <w:vAlign w:val="center"/>
          </w:tcPr>
          <w:p>
            <w:pPr>
              <w:pStyle w:val="12"/>
              <w:tabs>
                <w:tab w:val="left" w:pos="454"/>
                <w:tab w:val="left" w:pos="455"/>
              </w:tabs>
              <w:ind w:left="454" w:hanging="361"/>
              <w:jc w:val="both"/>
              <w:rPr>
                <w:rFonts w:eastAsia="宋体"/>
                <w:sz w:val="24"/>
                <w:szCs w:val="24"/>
                <w:lang w:eastAsia="zh-CN"/>
              </w:rPr>
            </w:pPr>
            <w:r>
              <w:rPr>
                <w:rFonts w:eastAsia="宋体"/>
                <w:w w:val="99"/>
                <w:sz w:val="24"/>
                <w:szCs w:val="24"/>
                <w:lang w:eastAsia="zh-CN"/>
              </w:rPr>
              <w:t>i)</w:t>
            </w:r>
            <w:r>
              <w:rPr>
                <w:rFonts w:eastAsia="宋体"/>
                <w:sz w:val="24"/>
                <w:szCs w:val="24"/>
                <w:lang w:eastAsia="zh-CN"/>
              </w:rPr>
              <w:t>统一法律框架</w:t>
            </w:r>
          </w:p>
          <w:p>
            <w:pPr>
              <w:pStyle w:val="12"/>
              <w:tabs>
                <w:tab w:val="left" w:pos="455"/>
              </w:tabs>
              <w:spacing w:before="2"/>
              <w:ind w:left="454" w:hanging="361"/>
              <w:jc w:val="both"/>
              <w:rPr>
                <w:rFonts w:eastAsia="宋体"/>
                <w:sz w:val="24"/>
                <w:szCs w:val="24"/>
                <w:lang w:eastAsia="zh-CN"/>
              </w:rPr>
            </w:pPr>
            <w:r>
              <w:rPr>
                <w:rFonts w:eastAsia="宋体"/>
                <w:w w:val="99"/>
                <w:sz w:val="24"/>
                <w:szCs w:val="24"/>
                <w:lang w:eastAsia="zh-CN"/>
              </w:rPr>
              <w:t>ii)</w:t>
            </w:r>
            <w:r>
              <w:rPr>
                <w:rFonts w:eastAsia="宋体"/>
                <w:sz w:val="24"/>
                <w:szCs w:val="24"/>
                <w:lang w:eastAsia="zh-CN"/>
              </w:rPr>
              <w:t>信托所有权转让</w:t>
            </w:r>
          </w:p>
          <w:p>
            <w:pPr>
              <w:pStyle w:val="12"/>
              <w:tabs>
                <w:tab w:val="left" w:pos="455"/>
              </w:tabs>
              <w:ind w:left="454" w:hanging="361"/>
              <w:jc w:val="both"/>
              <w:rPr>
                <w:rFonts w:eastAsia="宋体"/>
                <w:sz w:val="24"/>
                <w:szCs w:val="24"/>
                <w:lang w:eastAsia="zh-CN"/>
              </w:rPr>
            </w:pPr>
            <w:r>
              <w:rPr>
                <w:rFonts w:eastAsia="宋体"/>
                <w:w w:val="99"/>
                <w:sz w:val="24"/>
                <w:szCs w:val="24"/>
                <w:lang w:eastAsia="zh-CN"/>
              </w:rPr>
              <w:t>iii)</w:t>
            </w:r>
            <w:r>
              <w:rPr>
                <w:rFonts w:eastAsia="宋体"/>
                <w:sz w:val="24"/>
                <w:szCs w:val="24"/>
                <w:lang w:eastAsia="zh-CN"/>
              </w:rPr>
              <w:t>融资租赁协议</w:t>
            </w:r>
          </w:p>
          <w:p>
            <w:pPr>
              <w:pStyle w:val="12"/>
              <w:tabs>
                <w:tab w:val="left" w:pos="455"/>
              </w:tabs>
              <w:ind w:left="454" w:hanging="361"/>
              <w:jc w:val="both"/>
              <w:rPr>
                <w:rFonts w:eastAsia="宋体"/>
                <w:sz w:val="24"/>
                <w:szCs w:val="24"/>
                <w:lang w:eastAsia="zh-CN"/>
              </w:rPr>
            </w:pPr>
            <w:r>
              <w:rPr>
                <w:rFonts w:eastAsia="宋体"/>
                <w:w w:val="99"/>
                <w:sz w:val="24"/>
                <w:szCs w:val="24"/>
                <w:lang w:eastAsia="zh-CN"/>
              </w:rPr>
              <w:t>iv)</w:t>
            </w:r>
            <w:r>
              <w:rPr>
                <w:rFonts w:eastAsia="宋体"/>
                <w:sz w:val="24"/>
                <w:szCs w:val="24"/>
                <w:lang w:eastAsia="zh-CN"/>
              </w:rPr>
              <w:t>应收款转让及应收款直接转让</w:t>
            </w:r>
          </w:p>
          <w:p>
            <w:pPr>
              <w:pStyle w:val="12"/>
              <w:tabs>
                <w:tab w:val="left" w:pos="454"/>
                <w:tab w:val="left" w:pos="455"/>
              </w:tabs>
              <w:ind w:left="454" w:hanging="361"/>
              <w:jc w:val="both"/>
              <w:rPr>
                <w:rFonts w:eastAsia="宋体"/>
                <w:sz w:val="24"/>
                <w:szCs w:val="24"/>
                <w:lang w:eastAsia="zh-CN"/>
              </w:rPr>
            </w:pPr>
            <w:bookmarkStart w:id="6" w:name="OLE_LINK6"/>
            <w:r>
              <w:rPr>
                <w:rFonts w:eastAsia="宋体"/>
                <w:w w:val="99"/>
                <w:sz w:val="24"/>
                <w:szCs w:val="24"/>
                <w:lang w:eastAsia="zh-CN"/>
              </w:rPr>
              <w:t>v)</w:t>
            </w:r>
            <w:r>
              <w:rPr>
                <w:rFonts w:eastAsia="宋体"/>
                <w:sz w:val="24"/>
                <w:szCs w:val="24"/>
                <w:lang w:eastAsia="zh-CN"/>
              </w:rPr>
              <w:t>所有权销售保留</w:t>
            </w:r>
          </w:p>
          <w:bookmarkEnd w:id="6"/>
          <w:p>
            <w:pPr>
              <w:pStyle w:val="12"/>
              <w:tabs>
                <w:tab w:val="left" w:pos="455"/>
              </w:tabs>
              <w:spacing w:before="1"/>
              <w:ind w:left="454" w:hanging="361"/>
              <w:jc w:val="both"/>
              <w:rPr>
                <w:rFonts w:eastAsia="宋体"/>
                <w:i/>
                <w:sz w:val="24"/>
                <w:szCs w:val="24"/>
                <w:lang w:eastAsia="zh-CN"/>
              </w:rPr>
            </w:pPr>
            <w:r>
              <w:rPr>
                <w:rFonts w:eastAsia="宋体"/>
                <w:iCs/>
                <w:w w:val="99"/>
                <w:sz w:val="24"/>
                <w:szCs w:val="24"/>
                <w:lang w:eastAsia="zh-CN"/>
              </w:rPr>
              <w:t>vi)</w:t>
            </w:r>
            <w:r>
              <w:rPr>
                <w:rFonts w:eastAsia="宋体"/>
                <w:sz w:val="24"/>
                <w:szCs w:val="24"/>
                <w:lang w:eastAsia="zh-CN"/>
              </w:rPr>
              <w:t>法人及非法人债务人</w:t>
            </w:r>
            <w:r>
              <w:rPr>
                <w:rFonts w:hint="eastAsia" w:eastAsia="宋体"/>
                <w:sz w:val="24"/>
                <w:szCs w:val="24"/>
                <w:lang w:eastAsia="zh-CN"/>
              </w:rPr>
              <w:t>和</w:t>
            </w:r>
            <w:r>
              <w:rPr>
                <w:rFonts w:eastAsia="宋体"/>
                <w:sz w:val="24"/>
                <w:szCs w:val="24"/>
                <w:lang w:eastAsia="zh-CN"/>
              </w:rPr>
              <w:t>债权人</w:t>
            </w:r>
          </w:p>
        </w:tc>
      </w:tr>
    </w:tbl>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1.2.2可担保的动产、债务和义务的类型</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为了促进企业和个人获得融资，至关重要的是，他们能够对不同类型的流动资产(包括有形和无形、当前或未来的资产)授予担保权益。制定法规，使公司和个人在获得贷款时能够使用多种类型的动产，这使他们有能力将这些资产的全部价值转化为生产性用途，从而有可能增加他们可获得的信贷量并降低此类信贷的成本。此外，将所有类型的动产纳入同一制度，并允许设保人以通用术语描述此类资产，使当事方能够避免在担保权设定时进行昂贵的调查，或避免此后就任何特定类型的资产是否受该制度管辖提起昂贵的诉讼。这不仅有助于企业的灵活性，而且通过促进向私营部门提供安全可靠的贷款，有助于社会的整体利益。</w:t>
      </w:r>
      <w:r>
        <w:rPr>
          <w:rFonts w:eastAsia="宋体"/>
          <w:sz w:val="28"/>
          <w:szCs w:val="28"/>
          <w:vertAlign w:val="superscript"/>
          <w:lang w:eastAsia="zh-CN"/>
        </w:rPr>
        <w:t>25,26</w:t>
      </w:r>
      <w:r>
        <w:rPr>
          <w:rFonts w:eastAsia="宋体"/>
          <w:sz w:val="28"/>
          <w:szCs w:val="28"/>
          <w:lang w:eastAsia="zh-CN"/>
        </w:rPr>
        <w:t>因此，子类别1.2.2有四个指标(表7)。</w:t>
      </w:r>
    </w:p>
    <w:p>
      <w:pPr>
        <w:pStyle w:val="5"/>
        <w:spacing w:line="400" w:lineRule="exact"/>
        <w:ind w:firstLine="560" w:firstLineChars="200"/>
        <w:jc w:val="both"/>
        <w:rPr>
          <w:rFonts w:eastAsia="宋体"/>
          <w:sz w:val="28"/>
          <w:szCs w:val="28"/>
          <w:lang w:eastAsia="zh-CN"/>
        </w:rPr>
      </w:pPr>
    </w:p>
    <w:p>
      <w:pPr>
        <w:spacing w:line="400" w:lineRule="exact"/>
        <w:jc w:val="center"/>
        <w:rPr>
          <w:rFonts w:eastAsia="宋体"/>
          <w:b/>
          <w:sz w:val="28"/>
          <w:szCs w:val="28"/>
          <w:lang w:eastAsia="zh-CN"/>
        </w:rPr>
      </w:pPr>
      <w:r>
        <w:rPr>
          <w:rFonts w:eastAsia="宋体"/>
          <w:b/>
          <w:sz w:val="28"/>
          <w:szCs w:val="28"/>
          <w:lang w:eastAsia="zh-CN"/>
        </w:rPr>
        <w:t>表7</w:t>
      </w:r>
      <w:r>
        <w:rPr>
          <w:rFonts w:hint="eastAsia" w:eastAsia="宋体"/>
          <w:b/>
          <w:sz w:val="28"/>
          <w:szCs w:val="28"/>
          <w:lang w:eastAsia="zh-CN"/>
        </w:rPr>
        <w:t xml:space="preserve">. </w:t>
      </w:r>
      <w:r>
        <w:rPr>
          <w:rFonts w:eastAsia="宋体"/>
          <w:b/>
          <w:sz w:val="28"/>
          <w:szCs w:val="28"/>
          <w:lang w:eastAsia="zh-CN"/>
        </w:rPr>
        <w:t>子类别1.2.2</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可担保的动产、债务和义务的类型</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56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2"/>
              <w:ind w:left="0"/>
              <w:jc w:val="both"/>
              <w:rPr>
                <w:rFonts w:eastAsia="宋体"/>
                <w:sz w:val="24"/>
                <w:szCs w:val="24"/>
                <w:lang w:eastAsia="zh-CN"/>
              </w:rPr>
            </w:pPr>
          </w:p>
        </w:tc>
        <w:tc>
          <w:tcPr>
            <w:tcW w:w="2249"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5674" w:type="dxa"/>
            <w:shd w:val="clear" w:color="auto" w:fill="E7EBF5"/>
            <w:vAlign w:val="center"/>
          </w:tcPr>
          <w:p>
            <w:pPr>
              <w:pStyle w:val="1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6" w:type="dxa"/>
            <w:vAlign w:val="center"/>
          </w:tcPr>
          <w:p>
            <w:pPr>
              <w:pStyle w:val="12"/>
              <w:spacing w:before="159"/>
              <w:jc w:val="both"/>
              <w:rPr>
                <w:rFonts w:eastAsia="宋体"/>
                <w:sz w:val="24"/>
                <w:szCs w:val="24"/>
              </w:rPr>
            </w:pPr>
            <w:r>
              <w:rPr>
                <w:rFonts w:eastAsia="宋体"/>
                <w:sz w:val="24"/>
                <w:szCs w:val="24"/>
              </w:rPr>
              <w:t>1</w:t>
            </w:r>
          </w:p>
        </w:tc>
        <w:tc>
          <w:tcPr>
            <w:tcW w:w="2249" w:type="dxa"/>
            <w:vAlign w:val="center"/>
          </w:tcPr>
          <w:p>
            <w:pPr>
              <w:pStyle w:val="12"/>
              <w:ind w:left="105"/>
              <w:jc w:val="both"/>
              <w:rPr>
                <w:rFonts w:eastAsia="宋体"/>
                <w:sz w:val="24"/>
                <w:szCs w:val="24"/>
                <w:lang w:eastAsia="zh-CN"/>
              </w:rPr>
            </w:pPr>
            <w:bookmarkStart w:id="7" w:name="OLE_LINK7"/>
            <w:r>
              <w:rPr>
                <w:rFonts w:eastAsia="宋体"/>
                <w:sz w:val="24"/>
                <w:szCs w:val="24"/>
                <w:lang w:eastAsia="zh-CN"/>
              </w:rPr>
              <w:t>单一类动产的担保权益</w:t>
            </w:r>
            <w:bookmarkEnd w:id="7"/>
          </w:p>
        </w:tc>
        <w:tc>
          <w:tcPr>
            <w:tcW w:w="5674" w:type="dxa"/>
            <w:vAlign w:val="center"/>
          </w:tcPr>
          <w:p>
            <w:pPr>
              <w:pStyle w:val="12"/>
              <w:tabs>
                <w:tab w:val="left" w:pos="454"/>
                <w:tab w:val="left" w:pos="455"/>
              </w:tabs>
              <w:ind w:left="454" w:hanging="347"/>
              <w:jc w:val="both"/>
              <w:rPr>
                <w:rFonts w:eastAsia="宋体"/>
                <w:sz w:val="24"/>
                <w:szCs w:val="24"/>
                <w:lang w:eastAsia="zh-CN"/>
              </w:rPr>
            </w:pPr>
            <w:r>
              <w:rPr>
                <w:w w:val="99"/>
                <w:sz w:val="24"/>
                <w:szCs w:val="24"/>
                <w:lang w:eastAsia="zh-CN"/>
              </w:rPr>
              <w:t>i)</w:t>
            </w:r>
            <w:r>
              <w:rPr>
                <w:rFonts w:eastAsia="宋体"/>
                <w:sz w:val="24"/>
                <w:szCs w:val="24"/>
                <w:lang w:eastAsia="zh-CN"/>
              </w:rPr>
              <w:t>应收帐款的担保权益</w:t>
            </w:r>
          </w:p>
          <w:p>
            <w:pPr>
              <w:pStyle w:val="12"/>
              <w:tabs>
                <w:tab w:val="left" w:pos="455"/>
              </w:tabs>
              <w:ind w:left="454" w:hanging="347"/>
              <w:jc w:val="both"/>
              <w:rPr>
                <w:rFonts w:eastAsia="宋体"/>
                <w:sz w:val="24"/>
                <w:szCs w:val="24"/>
                <w:lang w:eastAsia="zh-CN"/>
              </w:rPr>
            </w:pPr>
            <w:r>
              <w:rPr>
                <w:w w:val="99"/>
                <w:sz w:val="24"/>
                <w:szCs w:val="24"/>
                <w:lang w:eastAsia="zh-CN"/>
              </w:rPr>
              <w:t>ii)</w:t>
            </w:r>
            <w:r>
              <w:rPr>
                <w:rFonts w:hint="eastAsia" w:eastAsia="宋体"/>
                <w:sz w:val="24"/>
                <w:szCs w:val="24"/>
                <w:lang w:eastAsia="zh-CN"/>
              </w:rPr>
              <w:t>应收账款</w:t>
            </w:r>
            <w:r>
              <w:rPr>
                <w:rFonts w:eastAsia="宋体"/>
                <w:sz w:val="24"/>
                <w:szCs w:val="24"/>
                <w:lang w:eastAsia="zh-CN"/>
              </w:rPr>
              <w:t>担保抵押品的说明</w:t>
            </w:r>
          </w:p>
          <w:p>
            <w:pPr>
              <w:pStyle w:val="12"/>
              <w:tabs>
                <w:tab w:val="left" w:pos="455"/>
              </w:tabs>
              <w:ind w:left="454" w:hanging="347"/>
              <w:jc w:val="both"/>
              <w:rPr>
                <w:rFonts w:eastAsia="宋体"/>
                <w:sz w:val="24"/>
                <w:szCs w:val="24"/>
                <w:lang w:eastAsia="zh-CN"/>
              </w:rPr>
            </w:pPr>
            <w:r>
              <w:rPr>
                <w:w w:val="99"/>
                <w:sz w:val="24"/>
                <w:szCs w:val="24"/>
                <w:lang w:eastAsia="zh-CN"/>
              </w:rPr>
              <w:t>iii)</w:t>
            </w:r>
            <w:r>
              <w:rPr>
                <w:rFonts w:eastAsia="宋体"/>
                <w:sz w:val="24"/>
                <w:szCs w:val="24"/>
                <w:lang w:eastAsia="zh-CN"/>
              </w:rPr>
              <w:t>库存担保权益</w:t>
            </w:r>
          </w:p>
          <w:p>
            <w:pPr>
              <w:pStyle w:val="12"/>
              <w:tabs>
                <w:tab w:val="left" w:pos="455"/>
              </w:tabs>
              <w:ind w:left="454" w:hanging="347"/>
              <w:jc w:val="both"/>
              <w:rPr>
                <w:rFonts w:eastAsia="宋体"/>
                <w:sz w:val="24"/>
                <w:szCs w:val="24"/>
                <w:lang w:eastAsia="zh-CN"/>
              </w:rPr>
            </w:pPr>
            <w:r>
              <w:rPr>
                <w:w w:val="99"/>
                <w:sz w:val="24"/>
                <w:szCs w:val="24"/>
                <w:lang w:eastAsia="zh-CN"/>
              </w:rPr>
              <w:t>iv)</w:t>
            </w:r>
            <w:r>
              <w:rPr>
                <w:rFonts w:eastAsia="宋体"/>
                <w:sz w:val="24"/>
                <w:szCs w:val="24"/>
                <w:lang w:eastAsia="zh-CN"/>
              </w:rPr>
              <w:t>库存限制</w:t>
            </w:r>
          </w:p>
          <w:p>
            <w:pPr>
              <w:pStyle w:val="12"/>
              <w:tabs>
                <w:tab w:val="left" w:pos="455"/>
              </w:tabs>
              <w:spacing w:before="2"/>
              <w:ind w:left="454" w:hanging="347"/>
              <w:jc w:val="both"/>
              <w:rPr>
                <w:rFonts w:eastAsia="宋体"/>
                <w:sz w:val="24"/>
                <w:szCs w:val="24"/>
                <w:lang w:eastAsia="zh-CN"/>
              </w:rPr>
            </w:pPr>
            <w:r>
              <w:rPr>
                <w:w w:val="99"/>
                <w:sz w:val="24"/>
                <w:szCs w:val="24"/>
                <w:lang w:eastAsia="zh-CN"/>
              </w:rPr>
              <w:t>v)</w:t>
            </w:r>
            <w:r>
              <w:rPr>
                <w:rFonts w:hint="eastAsia" w:eastAsia="宋体"/>
                <w:sz w:val="24"/>
                <w:szCs w:val="24"/>
                <w:lang w:eastAsia="zh-CN"/>
              </w:rPr>
              <w:t>库存</w:t>
            </w:r>
            <w:r>
              <w:rPr>
                <w:rFonts w:eastAsia="宋体"/>
                <w:sz w:val="24"/>
                <w:szCs w:val="24"/>
                <w:lang w:eastAsia="zh-CN"/>
              </w:rPr>
              <w:t>担保抵押品描述（</w:t>
            </w:r>
            <w:r>
              <w:rPr>
                <w:rFonts w:hint="eastAsia" w:eastAsia="宋体"/>
                <w:sz w:val="24"/>
                <w:szCs w:val="24"/>
                <w:lang w:eastAsia="zh-CN"/>
              </w:rPr>
              <w:t>该部分标黄处</w:t>
            </w:r>
            <w:r>
              <w:rPr>
                <w:rFonts w:eastAsia="宋体"/>
                <w:sz w:val="24"/>
                <w:szCs w:val="24"/>
                <w:lang w:eastAsia="zh-CN"/>
              </w:rPr>
              <w:t>英文一样）</w:t>
            </w:r>
          </w:p>
          <w:p>
            <w:pPr>
              <w:pStyle w:val="12"/>
              <w:tabs>
                <w:tab w:val="left" w:pos="455"/>
              </w:tabs>
              <w:ind w:left="454" w:hanging="347"/>
              <w:jc w:val="both"/>
              <w:rPr>
                <w:rFonts w:eastAsia="宋体"/>
                <w:sz w:val="24"/>
                <w:szCs w:val="24"/>
                <w:lang w:eastAsia="zh-CN"/>
              </w:rPr>
            </w:pPr>
            <w:r>
              <w:rPr>
                <w:w w:val="99"/>
                <w:sz w:val="24"/>
                <w:szCs w:val="24"/>
                <w:lang w:eastAsia="zh-CN"/>
              </w:rPr>
              <w:t>vi)</w:t>
            </w:r>
            <w:r>
              <w:rPr>
                <w:rFonts w:eastAsia="宋体"/>
                <w:sz w:val="24"/>
                <w:szCs w:val="24"/>
                <w:lang w:eastAsia="zh-CN"/>
              </w:rPr>
              <w:t>对有形动产(存货除外)的担保权益</w:t>
            </w:r>
          </w:p>
          <w:p>
            <w:pPr>
              <w:pStyle w:val="12"/>
              <w:tabs>
                <w:tab w:val="left" w:pos="455"/>
              </w:tabs>
              <w:ind w:left="454" w:hanging="347"/>
              <w:jc w:val="both"/>
              <w:rPr>
                <w:rFonts w:eastAsia="宋体"/>
                <w:sz w:val="24"/>
                <w:szCs w:val="24"/>
                <w:lang w:eastAsia="zh-CN"/>
              </w:rPr>
            </w:pPr>
            <w:r>
              <w:rPr>
                <w:w w:val="99"/>
                <w:sz w:val="24"/>
                <w:szCs w:val="24"/>
                <w:lang w:eastAsia="zh-CN"/>
              </w:rPr>
              <w:t>vii)</w:t>
            </w:r>
            <w:r>
              <w:rPr>
                <w:rFonts w:hint="eastAsia" w:eastAsia="宋体"/>
                <w:sz w:val="24"/>
                <w:szCs w:val="24"/>
                <w:lang w:eastAsia="zh-CN"/>
              </w:rPr>
              <w:t>有形动产</w:t>
            </w:r>
            <w:r>
              <w:rPr>
                <w:rFonts w:eastAsia="宋体"/>
                <w:sz w:val="24"/>
                <w:szCs w:val="24"/>
                <w:lang w:eastAsia="zh-CN"/>
              </w:rPr>
              <w:t>担保物</w:t>
            </w:r>
            <w:r>
              <w:rPr>
                <w:rFonts w:hint="eastAsia" w:eastAsia="宋体"/>
                <w:sz w:val="24"/>
                <w:szCs w:val="24"/>
                <w:lang w:eastAsia="zh-CN"/>
              </w:rPr>
              <w:t>的</w:t>
            </w:r>
            <w:r>
              <w:rPr>
                <w:rFonts w:eastAsia="宋体"/>
                <w:sz w:val="24"/>
                <w:szCs w:val="24"/>
                <w:lang w:eastAsia="zh-CN"/>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2"/>
              <w:jc w:val="both"/>
              <w:rPr>
                <w:rFonts w:eastAsia="宋体"/>
                <w:sz w:val="24"/>
                <w:szCs w:val="24"/>
              </w:rPr>
            </w:pPr>
            <w:r>
              <w:rPr>
                <w:rFonts w:eastAsia="宋体"/>
                <w:sz w:val="24"/>
                <w:szCs w:val="24"/>
              </w:rPr>
              <w:t>2</w:t>
            </w:r>
          </w:p>
        </w:tc>
        <w:tc>
          <w:tcPr>
            <w:tcW w:w="2249" w:type="dxa"/>
            <w:vAlign w:val="center"/>
          </w:tcPr>
          <w:p>
            <w:pPr>
              <w:pStyle w:val="12"/>
              <w:ind w:left="105" w:right="138"/>
              <w:jc w:val="both"/>
              <w:rPr>
                <w:rFonts w:eastAsia="宋体"/>
                <w:sz w:val="24"/>
                <w:szCs w:val="24"/>
                <w:lang w:eastAsia="zh-CN"/>
              </w:rPr>
            </w:pPr>
            <w:bookmarkStart w:id="8" w:name="OLE_LINK8"/>
            <w:r>
              <w:rPr>
                <w:rFonts w:eastAsia="宋体"/>
                <w:sz w:val="24"/>
                <w:szCs w:val="24"/>
                <w:lang w:eastAsia="zh-CN"/>
              </w:rPr>
              <w:t>混合动产中的担保权</w:t>
            </w:r>
            <w:bookmarkEnd w:id="8"/>
            <w:r>
              <w:rPr>
                <w:rFonts w:eastAsia="宋体"/>
                <w:sz w:val="24"/>
                <w:szCs w:val="24"/>
                <w:lang w:eastAsia="zh-CN"/>
              </w:rPr>
              <w:t>益</w:t>
            </w:r>
          </w:p>
        </w:tc>
        <w:tc>
          <w:tcPr>
            <w:tcW w:w="5674" w:type="dxa"/>
            <w:vAlign w:val="center"/>
          </w:tcPr>
          <w:p>
            <w:pPr>
              <w:pStyle w:val="12"/>
              <w:tabs>
                <w:tab w:val="left" w:pos="454"/>
                <w:tab w:val="left" w:pos="455"/>
              </w:tabs>
              <w:spacing w:before="2"/>
              <w:ind w:left="454" w:hanging="347"/>
              <w:jc w:val="both"/>
              <w:rPr>
                <w:rFonts w:eastAsia="宋体"/>
                <w:sz w:val="24"/>
                <w:szCs w:val="24"/>
                <w:lang w:eastAsia="zh-CN"/>
              </w:rPr>
            </w:pPr>
            <w:r>
              <w:rPr>
                <w:w w:val="99"/>
                <w:sz w:val="24"/>
                <w:szCs w:val="24"/>
                <w:lang w:eastAsia="zh-CN"/>
              </w:rPr>
              <w:t>i)</w:t>
            </w:r>
            <w:r>
              <w:rPr>
                <w:rFonts w:eastAsia="宋体"/>
                <w:sz w:val="24"/>
                <w:szCs w:val="24"/>
                <w:lang w:eastAsia="zh-CN"/>
              </w:rPr>
              <w:t>混合动产担保权益</w:t>
            </w:r>
          </w:p>
          <w:p>
            <w:pPr>
              <w:pStyle w:val="12"/>
              <w:tabs>
                <w:tab w:val="left" w:pos="455"/>
              </w:tabs>
              <w:ind w:left="454" w:hanging="347"/>
              <w:jc w:val="both"/>
              <w:rPr>
                <w:rFonts w:eastAsia="宋体"/>
                <w:sz w:val="24"/>
                <w:szCs w:val="24"/>
                <w:lang w:eastAsia="zh-CN"/>
              </w:rPr>
            </w:pPr>
            <w:r>
              <w:rPr>
                <w:w w:val="99"/>
                <w:sz w:val="24"/>
                <w:szCs w:val="24"/>
                <w:lang w:eastAsia="zh-CN"/>
              </w:rPr>
              <w:t>ii)</w:t>
            </w:r>
            <w:r>
              <w:rPr>
                <w:rFonts w:eastAsia="宋体"/>
                <w:sz w:val="24"/>
                <w:szCs w:val="24"/>
                <w:lang w:eastAsia="zh-CN"/>
              </w:rPr>
              <w:t>对资产的限制</w:t>
            </w:r>
          </w:p>
          <w:p>
            <w:pPr>
              <w:pStyle w:val="12"/>
              <w:tabs>
                <w:tab w:val="left" w:pos="455"/>
              </w:tabs>
              <w:ind w:left="454" w:hanging="347"/>
              <w:jc w:val="both"/>
              <w:rPr>
                <w:rFonts w:eastAsia="宋体"/>
                <w:sz w:val="24"/>
                <w:szCs w:val="24"/>
              </w:rPr>
            </w:pPr>
            <w:r>
              <w:rPr>
                <w:w w:val="99"/>
                <w:sz w:val="24"/>
                <w:szCs w:val="24"/>
              </w:rPr>
              <w:t>iii)</w:t>
            </w:r>
            <w:r>
              <w:rPr>
                <w:rFonts w:eastAsia="宋体"/>
                <w:sz w:val="24"/>
                <w:szCs w:val="24"/>
              </w:rPr>
              <w:t>抵押品说明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12"/>
              <w:jc w:val="both"/>
              <w:rPr>
                <w:rFonts w:eastAsia="宋体"/>
                <w:sz w:val="24"/>
                <w:szCs w:val="24"/>
              </w:rPr>
            </w:pPr>
            <w:r>
              <w:rPr>
                <w:rFonts w:eastAsia="宋体"/>
                <w:sz w:val="24"/>
                <w:szCs w:val="24"/>
              </w:rPr>
              <w:t>3.</w:t>
            </w:r>
          </w:p>
        </w:tc>
        <w:tc>
          <w:tcPr>
            <w:tcW w:w="2249" w:type="dxa"/>
            <w:vAlign w:val="center"/>
          </w:tcPr>
          <w:p>
            <w:pPr>
              <w:pStyle w:val="12"/>
              <w:ind w:left="105"/>
              <w:jc w:val="both"/>
              <w:rPr>
                <w:rFonts w:eastAsia="宋体"/>
                <w:sz w:val="24"/>
                <w:szCs w:val="24"/>
              </w:rPr>
            </w:pPr>
            <w:r>
              <w:rPr>
                <w:rFonts w:eastAsia="宋体"/>
                <w:sz w:val="24"/>
                <w:szCs w:val="24"/>
              </w:rPr>
              <w:t>未来资产的担保权益</w:t>
            </w:r>
          </w:p>
        </w:tc>
        <w:tc>
          <w:tcPr>
            <w:tcW w:w="5674" w:type="dxa"/>
            <w:vAlign w:val="center"/>
          </w:tcPr>
          <w:p>
            <w:pPr>
              <w:pStyle w:val="12"/>
              <w:tabs>
                <w:tab w:val="left" w:pos="454"/>
                <w:tab w:val="left" w:pos="455"/>
              </w:tabs>
              <w:spacing w:before="2"/>
              <w:ind w:left="454" w:hanging="347"/>
              <w:jc w:val="both"/>
              <w:rPr>
                <w:rFonts w:eastAsia="宋体"/>
                <w:sz w:val="24"/>
                <w:szCs w:val="24"/>
                <w:lang w:eastAsia="zh-CN"/>
              </w:rPr>
            </w:pPr>
            <w:r>
              <w:rPr>
                <w:w w:val="99"/>
                <w:sz w:val="24"/>
                <w:szCs w:val="24"/>
                <w:lang w:eastAsia="zh-CN"/>
              </w:rPr>
              <w:t>i)</w:t>
            </w:r>
            <w:r>
              <w:rPr>
                <w:rFonts w:eastAsia="宋体"/>
                <w:sz w:val="24"/>
                <w:szCs w:val="24"/>
                <w:lang w:eastAsia="zh-CN"/>
              </w:rPr>
              <w:t>未来资产的担保权益</w:t>
            </w:r>
          </w:p>
          <w:p>
            <w:pPr>
              <w:pStyle w:val="12"/>
              <w:tabs>
                <w:tab w:val="left" w:pos="455"/>
              </w:tabs>
              <w:ind w:left="454" w:hanging="347"/>
              <w:jc w:val="both"/>
              <w:rPr>
                <w:rFonts w:eastAsia="宋体"/>
                <w:sz w:val="24"/>
                <w:szCs w:val="24"/>
                <w:lang w:eastAsia="zh-CN"/>
              </w:rPr>
            </w:pPr>
            <w:r>
              <w:rPr>
                <w:w w:val="99"/>
                <w:sz w:val="24"/>
                <w:szCs w:val="24"/>
                <w:lang w:eastAsia="zh-CN"/>
              </w:rPr>
              <w:t>ii)</w:t>
            </w:r>
            <w:r>
              <w:rPr>
                <w:rFonts w:eastAsia="宋体"/>
                <w:sz w:val="24"/>
                <w:szCs w:val="24"/>
                <w:lang w:eastAsia="zh-CN"/>
              </w:rPr>
              <w:t>对未来取得的财产的担保权益</w:t>
            </w:r>
          </w:p>
          <w:p>
            <w:pPr>
              <w:pStyle w:val="12"/>
              <w:tabs>
                <w:tab w:val="left" w:pos="455"/>
              </w:tabs>
              <w:ind w:left="454" w:right="139" w:hanging="346"/>
              <w:jc w:val="both"/>
              <w:rPr>
                <w:rFonts w:eastAsia="宋体"/>
                <w:sz w:val="24"/>
                <w:szCs w:val="24"/>
                <w:lang w:eastAsia="zh-CN"/>
              </w:rPr>
            </w:pPr>
            <w:r>
              <w:rPr>
                <w:w w:val="99"/>
                <w:sz w:val="24"/>
                <w:szCs w:val="24"/>
                <w:lang w:eastAsia="zh-CN"/>
              </w:rPr>
              <w:t>iii)</w:t>
            </w:r>
            <w:r>
              <w:rPr>
                <w:rFonts w:eastAsia="宋体"/>
                <w:sz w:val="24"/>
                <w:szCs w:val="24"/>
                <w:lang w:eastAsia="zh-CN"/>
              </w:rPr>
              <w:t>自动将抵押品扩展到产品、收益和原始抵押品的替代品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1" w:hRule="atLeast"/>
        </w:trPr>
        <w:tc>
          <w:tcPr>
            <w:tcW w:w="446" w:type="dxa"/>
            <w:vAlign w:val="center"/>
          </w:tcPr>
          <w:p>
            <w:pPr>
              <w:pStyle w:val="12"/>
              <w:jc w:val="both"/>
              <w:rPr>
                <w:rFonts w:eastAsia="宋体"/>
                <w:sz w:val="24"/>
                <w:szCs w:val="24"/>
              </w:rPr>
            </w:pPr>
            <w:r>
              <w:rPr>
                <w:rFonts w:eastAsia="宋体"/>
                <w:sz w:val="24"/>
                <w:szCs w:val="24"/>
              </w:rPr>
              <w:t>4</w:t>
            </w:r>
          </w:p>
        </w:tc>
        <w:tc>
          <w:tcPr>
            <w:tcW w:w="2249" w:type="dxa"/>
            <w:vAlign w:val="center"/>
          </w:tcPr>
          <w:p>
            <w:pPr>
              <w:pStyle w:val="12"/>
              <w:ind w:left="105"/>
              <w:jc w:val="both"/>
              <w:rPr>
                <w:rFonts w:eastAsia="宋体"/>
                <w:sz w:val="24"/>
                <w:szCs w:val="24"/>
              </w:rPr>
            </w:pPr>
            <w:r>
              <w:rPr>
                <w:rFonts w:eastAsia="宋体"/>
                <w:sz w:val="24"/>
                <w:szCs w:val="24"/>
              </w:rPr>
              <w:t>债务和义务</w:t>
            </w:r>
          </w:p>
        </w:tc>
        <w:tc>
          <w:tcPr>
            <w:tcW w:w="5674" w:type="dxa"/>
            <w:vAlign w:val="center"/>
          </w:tcPr>
          <w:p>
            <w:pPr>
              <w:pStyle w:val="12"/>
              <w:tabs>
                <w:tab w:val="left" w:pos="449"/>
                <w:tab w:val="left" w:pos="450"/>
              </w:tabs>
              <w:spacing w:before="2"/>
              <w:ind w:left="449" w:hanging="342"/>
              <w:jc w:val="both"/>
              <w:rPr>
                <w:rFonts w:eastAsia="宋体"/>
                <w:sz w:val="24"/>
                <w:szCs w:val="24"/>
                <w:lang w:eastAsia="zh-CN"/>
              </w:rPr>
            </w:pPr>
            <w:r>
              <w:rPr>
                <w:rFonts w:eastAsia="宋体"/>
                <w:spacing w:val="-1"/>
                <w:w w:val="99"/>
                <w:sz w:val="24"/>
                <w:szCs w:val="24"/>
                <w:lang w:eastAsia="zh-CN"/>
              </w:rPr>
              <w:t>i)</w:t>
            </w:r>
            <w:r>
              <w:rPr>
                <w:rFonts w:eastAsia="宋体"/>
                <w:sz w:val="24"/>
                <w:szCs w:val="24"/>
                <w:lang w:eastAsia="zh-CN"/>
              </w:rPr>
              <w:t>当前和未来的债务和义务</w:t>
            </w:r>
          </w:p>
          <w:p>
            <w:pPr>
              <w:pStyle w:val="12"/>
              <w:tabs>
                <w:tab w:val="left" w:pos="449"/>
                <w:tab w:val="left" w:pos="450"/>
              </w:tabs>
              <w:spacing w:before="2"/>
              <w:ind w:left="449" w:hanging="342"/>
              <w:jc w:val="both"/>
              <w:rPr>
                <w:rFonts w:eastAsia="宋体"/>
                <w:sz w:val="24"/>
                <w:szCs w:val="24"/>
                <w:lang w:eastAsia="zh-CN"/>
              </w:rPr>
            </w:pPr>
            <w:r>
              <w:rPr>
                <w:rFonts w:eastAsia="宋体"/>
                <w:spacing w:val="-1"/>
                <w:w w:val="99"/>
                <w:sz w:val="24"/>
                <w:szCs w:val="24"/>
                <w:lang w:eastAsia="zh-CN"/>
              </w:rPr>
              <w:t>ii)</w:t>
            </w:r>
            <w:r>
              <w:rPr>
                <w:rFonts w:eastAsia="宋体"/>
                <w:sz w:val="24"/>
                <w:szCs w:val="24"/>
                <w:lang w:eastAsia="zh-CN"/>
              </w:rPr>
              <w:t>固定债务和义务</w:t>
            </w:r>
          </w:p>
          <w:p>
            <w:pPr>
              <w:pStyle w:val="12"/>
              <w:tabs>
                <w:tab w:val="left" w:pos="450"/>
              </w:tabs>
              <w:ind w:left="449" w:hanging="342"/>
              <w:jc w:val="both"/>
              <w:rPr>
                <w:rFonts w:eastAsia="宋体"/>
                <w:sz w:val="24"/>
                <w:szCs w:val="24"/>
                <w:lang w:eastAsia="zh-CN"/>
              </w:rPr>
            </w:pPr>
            <w:r>
              <w:rPr>
                <w:rFonts w:eastAsia="宋体"/>
                <w:spacing w:val="-1"/>
                <w:w w:val="99"/>
                <w:sz w:val="24"/>
                <w:szCs w:val="24"/>
                <w:lang w:eastAsia="zh-CN"/>
              </w:rPr>
              <w:t>iii)</w:t>
            </w:r>
            <w:r>
              <w:rPr>
                <w:rFonts w:eastAsia="宋体"/>
                <w:sz w:val="24"/>
                <w:szCs w:val="24"/>
                <w:lang w:eastAsia="zh-CN"/>
              </w:rPr>
              <w:t>有条件债务和义务</w:t>
            </w:r>
          </w:p>
          <w:p>
            <w:pPr>
              <w:pStyle w:val="12"/>
              <w:tabs>
                <w:tab w:val="left" w:pos="450"/>
              </w:tabs>
              <w:ind w:left="449" w:hanging="342"/>
              <w:jc w:val="both"/>
              <w:rPr>
                <w:rFonts w:eastAsia="宋体"/>
                <w:sz w:val="24"/>
                <w:szCs w:val="24"/>
                <w:lang w:eastAsia="zh-CN"/>
              </w:rPr>
            </w:pPr>
            <w:r>
              <w:rPr>
                <w:rFonts w:eastAsia="宋体"/>
                <w:spacing w:val="-1"/>
                <w:w w:val="99"/>
                <w:sz w:val="24"/>
                <w:szCs w:val="24"/>
                <w:lang w:eastAsia="zh-CN"/>
              </w:rPr>
              <w:t>iv)</w:t>
            </w:r>
            <w:r>
              <w:rPr>
                <w:rFonts w:eastAsia="宋体"/>
                <w:sz w:val="24"/>
                <w:szCs w:val="24"/>
                <w:lang w:eastAsia="zh-CN"/>
              </w:rPr>
              <w:t>浮动债务和义务</w:t>
            </w:r>
          </w:p>
          <w:p>
            <w:pPr>
              <w:pStyle w:val="12"/>
              <w:tabs>
                <w:tab w:val="left" w:pos="450"/>
              </w:tabs>
              <w:ind w:left="449" w:hanging="342"/>
              <w:jc w:val="both"/>
              <w:rPr>
                <w:rFonts w:eastAsia="宋体"/>
                <w:sz w:val="24"/>
                <w:szCs w:val="24"/>
                <w:lang w:eastAsia="zh-CN"/>
              </w:rPr>
            </w:pPr>
            <w:r>
              <w:rPr>
                <w:rFonts w:eastAsia="宋体"/>
                <w:spacing w:val="-1"/>
                <w:w w:val="99"/>
                <w:sz w:val="24"/>
                <w:szCs w:val="24"/>
                <w:lang w:eastAsia="zh-CN"/>
              </w:rPr>
              <w:t>v)</w:t>
            </w:r>
            <w:r>
              <w:rPr>
                <w:rFonts w:eastAsia="宋体"/>
                <w:sz w:val="24"/>
                <w:szCs w:val="24"/>
                <w:lang w:eastAsia="zh-CN"/>
              </w:rPr>
              <w:t>债务和义务的描述</w:t>
            </w:r>
          </w:p>
        </w:tc>
      </w:tr>
    </w:tbl>
    <w:p>
      <w:pPr>
        <w:spacing w:line="186" w:lineRule="exact"/>
        <w:rPr>
          <w:sz w:val="18"/>
          <w:lang w:eastAsia="zh-CN"/>
        </w:rPr>
        <w:sectPr>
          <w:pgSz w:w="12240" w:h="15840"/>
          <w:pgMar w:top="1440" w:right="1800" w:bottom="1440" w:left="1800" w:header="720" w:footer="720" w:gutter="0"/>
          <w:cols w:space="720" w:num="1"/>
        </w:sectPr>
      </w:pPr>
    </w:p>
    <w:p>
      <w:pPr>
        <w:pStyle w:val="11"/>
        <w:tabs>
          <w:tab w:val="left" w:pos="841"/>
        </w:tabs>
        <w:spacing w:line="400" w:lineRule="exact"/>
        <w:ind w:left="0" w:firstLine="0"/>
        <w:outlineLvl w:val="2"/>
        <w:rPr>
          <w:rFonts w:eastAsia="宋体"/>
          <w:b/>
          <w:sz w:val="28"/>
          <w:szCs w:val="28"/>
          <w:lang w:eastAsia="zh-CN"/>
        </w:rPr>
      </w:pPr>
      <w:r>
        <w:rPr>
          <w:rFonts w:eastAsia="宋体"/>
          <w:b/>
          <w:spacing w:val="-2"/>
          <w:sz w:val="28"/>
          <w:szCs w:val="28"/>
          <w:lang w:eastAsia="zh-CN"/>
        </w:rPr>
        <w:t>1.2.3优先</w:t>
      </w:r>
      <w:r>
        <w:rPr>
          <w:rFonts w:hint="eastAsia" w:eastAsia="宋体"/>
          <w:b/>
          <w:spacing w:val="-2"/>
          <w:sz w:val="28"/>
          <w:szCs w:val="28"/>
          <w:lang w:eastAsia="zh-CN"/>
        </w:rPr>
        <w:t>权</w:t>
      </w:r>
      <w:r>
        <w:rPr>
          <w:rFonts w:eastAsia="宋体"/>
          <w:b/>
          <w:spacing w:val="-2"/>
          <w:sz w:val="28"/>
          <w:szCs w:val="28"/>
          <w:lang w:eastAsia="zh-CN"/>
        </w:rPr>
        <w:t>/执行</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通过制定明确透明的规则来确定债权人的权利，在贷款违约的情况下确定债权人的优先权制度，对于促进获得融资和降低贷款成本至关重要。这种方法促进制定精确的规则，以管理与</w:t>
      </w:r>
      <w:bookmarkStart w:id="9" w:name="OLE_LINK9"/>
      <w:r>
        <w:rPr>
          <w:rFonts w:eastAsia="宋体"/>
          <w:sz w:val="28"/>
          <w:szCs w:val="28"/>
          <w:lang w:eastAsia="zh-CN"/>
        </w:rPr>
        <w:t>竞争性索赔人权利</w:t>
      </w:r>
      <w:bookmarkEnd w:id="9"/>
      <w:r>
        <w:rPr>
          <w:rFonts w:eastAsia="宋体"/>
          <w:sz w:val="28"/>
          <w:szCs w:val="28"/>
          <w:lang w:eastAsia="zh-CN"/>
        </w:rPr>
        <w:t>之间的任何可能的优先权冲突，并尽可能避免产生任何超过现有担保权的后期权利。为有关各方提供同意通过公开和/或私人拍卖在法庭外强制执行担保权益的选择权，可以减轻司法部门的一些压力，并减少案件积压的风险。这可使执行过程更加高效和灵活。</w:t>
      </w:r>
      <w:r>
        <w:rPr>
          <w:rFonts w:eastAsia="宋体"/>
          <w:sz w:val="28"/>
          <w:szCs w:val="28"/>
          <w:vertAlign w:val="superscript"/>
          <w:lang w:eastAsia="zh-CN"/>
        </w:rPr>
        <w:t>27,28</w:t>
      </w:r>
      <w:r>
        <w:rPr>
          <w:rFonts w:eastAsia="宋体"/>
          <w:sz w:val="28"/>
          <w:szCs w:val="28"/>
          <w:lang w:eastAsia="zh-CN"/>
        </w:rPr>
        <w:t>因此，子类别1.2.3有两个指标(表8)。</w:t>
      </w:r>
    </w:p>
    <w:p>
      <w:pPr>
        <w:pStyle w:val="5"/>
        <w:spacing w:line="400" w:lineRule="exact"/>
        <w:rPr>
          <w:rFonts w:eastAsia="宋体"/>
          <w:sz w:val="28"/>
          <w:szCs w:val="28"/>
          <w:lang w:eastAsia="zh-CN"/>
        </w:rPr>
      </w:pPr>
    </w:p>
    <w:p>
      <w:pPr>
        <w:spacing w:line="400" w:lineRule="exact"/>
        <w:jc w:val="center"/>
        <w:rPr>
          <w:rFonts w:eastAsia="宋体"/>
          <w:b/>
          <w:sz w:val="28"/>
          <w:szCs w:val="28"/>
        </w:rPr>
      </w:pPr>
      <w:r>
        <w:rPr>
          <w:rFonts w:eastAsia="宋体"/>
          <w:b/>
          <w:sz w:val="28"/>
          <w:szCs w:val="28"/>
        </w:rPr>
        <w:t>表8</w:t>
      </w:r>
      <w:r>
        <w:rPr>
          <w:rFonts w:hint="eastAsia" w:eastAsia="宋体"/>
          <w:b/>
          <w:sz w:val="28"/>
          <w:szCs w:val="28"/>
          <w:lang w:eastAsia="zh-CN"/>
        </w:rPr>
        <w:t xml:space="preserve">. </w:t>
      </w:r>
      <w:r>
        <w:rPr>
          <w:rFonts w:eastAsia="宋体"/>
          <w:b/>
          <w:sz w:val="28"/>
          <w:szCs w:val="28"/>
        </w:rPr>
        <w:t>子类1.2.3</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优先</w:t>
      </w:r>
      <w:r>
        <w:rPr>
          <w:rFonts w:hint="eastAsia" w:eastAsia="宋体"/>
          <w:b/>
          <w:sz w:val="28"/>
          <w:szCs w:val="28"/>
          <w:lang w:eastAsia="zh-CN"/>
        </w:rPr>
        <w:t>权</w:t>
      </w:r>
      <w:r>
        <w:rPr>
          <w:rFonts w:eastAsia="宋体"/>
          <w:b/>
          <w:sz w:val="28"/>
          <w:szCs w:val="28"/>
        </w:rPr>
        <w:t>/执行</w:t>
      </w:r>
    </w:p>
    <w:tbl>
      <w:tblPr>
        <w:tblStyle w:val="8"/>
        <w:tblW w:w="8513"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58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 w:hRule="atLeast"/>
        </w:trPr>
        <w:tc>
          <w:tcPr>
            <w:tcW w:w="446" w:type="dxa"/>
            <w:shd w:val="clear" w:color="auto" w:fill="E7EBF5"/>
            <w:vAlign w:val="center"/>
          </w:tcPr>
          <w:p>
            <w:pPr>
              <w:pStyle w:val="12"/>
              <w:ind w:left="0"/>
              <w:jc w:val="both"/>
              <w:rPr>
                <w:rFonts w:eastAsia="宋体"/>
                <w:sz w:val="24"/>
                <w:szCs w:val="24"/>
              </w:rPr>
            </w:pPr>
          </w:p>
        </w:tc>
        <w:tc>
          <w:tcPr>
            <w:tcW w:w="2249" w:type="dxa"/>
            <w:shd w:val="clear" w:color="auto" w:fill="E7EBF5"/>
            <w:vAlign w:val="center"/>
          </w:tcPr>
          <w:p>
            <w:pPr>
              <w:pStyle w:val="12"/>
              <w:spacing w:before="2"/>
              <w:ind w:left="105"/>
              <w:jc w:val="center"/>
              <w:rPr>
                <w:rFonts w:eastAsia="宋体"/>
                <w:b/>
                <w:sz w:val="24"/>
                <w:szCs w:val="24"/>
              </w:rPr>
            </w:pPr>
            <w:r>
              <w:rPr>
                <w:rFonts w:eastAsia="宋体"/>
                <w:b/>
                <w:spacing w:val="-2"/>
                <w:sz w:val="24"/>
                <w:szCs w:val="24"/>
              </w:rPr>
              <w:t>指标</w:t>
            </w:r>
          </w:p>
        </w:tc>
        <w:tc>
          <w:tcPr>
            <w:tcW w:w="5818" w:type="dxa"/>
            <w:shd w:val="clear" w:color="auto" w:fill="E7EBF5"/>
            <w:vAlign w:val="center"/>
          </w:tcPr>
          <w:p>
            <w:pPr>
              <w:pStyle w:val="12"/>
              <w:spacing w:before="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hRule="atLeast"/>
        </w:trPr>
        <w:tc>
          <w:tcPr>
            <w:tcW w:w="446" w:type="dxa"/>
            <w:vAlign w:val="center"/>
          </w:tcPr>
          <w:p>
            <w:pPr>
              <w:pStyle w:val="12"/>
              <w:spacing w:before="103"/>
              <w:jc w:val="both"/>
              <w:rPr>
                <w:rFonts w:eastAsia="宋体"/>
                <w:sz w:val="24"/>
                <w:szCs w:val="24"/>
              </w:rPr>
            </w:pPr>
            <w:r>
              <w:rPr>
                <w:rFonts w:eastAsia="宋体"/>
                <w:sz w:val="24"/>
                <w:szCs w:val="24"/>
              </w:rPr>
              <w:t>1</w:t>
            </w:r>
          </w:p>
        </w:tc>
        <w:tc>
          <w:tcPr>
            <w:tcW w:w="2249" w:type="dxa"/>
            <w:vAlign w:val="center"/>
          </w:tcPr>
          <w:p>
            <w:pPr>
              <w:pStyle w:val="12"/>
              <w:ind w:left="105"/>
              <w:jc w:val="both"/>
              <w:rPr>
                <w:rFonts w:eastAsia="宋体"/>
                <w:sz w:val="24"/>
                <w:szCs w:val="24"/>
                <w:lang w:eastAsia="zh-CN"/>
              </w:rPr>
            </w:pPr>
            <w:bookmarkStart w:id="10" w:name="OLE_LINK19"/>
            <w:r>
              <w:rPr>
                <w:rFonts w:eastAsia="宋体"/>
                <w:sz w:val="24"/>
                <w:szCs w:val="24"/>
                <w:lang w:eastAsia="zh-CN"/>
              </w:rPr>
              <w:t>破产或破产之外的债权优先权</w:t>
            </w:r>
            <w:bookmarkEnd w:id="10"/>
          </w:p>
        </w:tc>
        <w:tc>
          <w:tcPr>
            <w:tcW w:w="5818" w:type="dxa"/>
            <w:vAlign w:val="center"/>
          </w:tcPr>
          <w:p>
            <w:pPr>
              <w:pStyle w:val="12"/>
              <w:tabs>
                <w:tab w:val="left" w:pos="454"/>
                <w:tab w:val="left" w:pos="455"/>
              </w:tabs>
              <w:ind w:left="454" w:hanging="347"/>
              <w:jc w:val="both"/>
              <w:rPr>
                <w:rFonts w:eastAsia="宋体"/>
                <w:sz w:val="24"/>
                <w:szCs w:val="24"/>
                <w:lang w:eastAsia="zh-CN"/>
              </w:rPr>
            </w:pPr>
            <w:r>
              <w:rPr>
                <w:w w:val="99"/>
                <w:sz w:val="24"/>
                <w:szCs w:val="24"/>
                <w:lang w:eastAsia="zh-CN"/>
              </w:rPr>
              <w:t>i)</w:t>
            </w:r>
            <w:r>
              <w:rPr>
                <w:rFonts w:eastAsia="宋体"/>
                <w:sz w:val="24"/>
                <w:szCs w:val="24"/>
                <w:lang w:eastAsia="zh-CN"/>
              </w:rPr>
              <w:t>破产或破产外索赔的优先权</w:t>
            </w:r>
          </w:p>
          <w:p>
            <w:pPr>
              <w:pStyle w:val="12"/>
              <w:tabs>
                <w:tab w:val="left" w:pos="455"/>
              </w:tabs>
              <w:ind w:left="454" w:hanging="347"/>
              <w:jc w:val="both"/>
              <w:rPr>
                <w:rFonts w:eastAsia="宋体"/>
                <w:sz w:val="24"/>
                <w:szCs w:val="24"/>
                <w:lang w:eastAsia="zh-CN"/>
              </w:rPr>
            </w:pPr>
            <w:r>
              <w:rPr>
                <w:w w:val="99"/>
                <w:sz w:val="24"/>
                <w:szCs w:val="24"/>
                <w:lang w:eastAsia="zh-CN"/>
              </w:rPr>
              <w:t>ii)</w:t>
            </w:r>
            <w:r>
              <w:rPr>
                <w:rFonts w:eastAsia="宋体"/>
                <w:sz w:val="24"/>
                <w:szCs w:val="24"/>
                <w:lang w:eastAsia="zh-CN"/>
              </w:rPr>
              <w:t>不同类型债权人索赔的排名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7" w:hRule="atLeast"/>
        </w:trPr>
        <w:tc>
          <w:tcPr>
            <w:tcW w:w="446" w:type="dxa"/>
            <w:vAlign w:val="center"/>
          </w:tcPr>
          <w:p>
            <w:pPr>
              <w:pStyle w:val="12"/>
              <w:jc w:val="both"/>
              <w:rPr>
                <w:rFonts w:eastAsia="宋体"/>
                <w:sz w:val="24"/>
                <w:szCs w:val="24"/>
              </w:rPr>
            </w:pPr>
            <w:r>
              <w:rPr>
                <w:rFonts w:eastAsia="宋体"/>
                <w:sz w:val="24"/>
                <w:szCs w:val="24"/>
              </w:rPr>
              <w:t>2</w:t>
            </w:r>
          </w:p>
        </w:tc>
        <w:tc>
          <w:tcPr>
            <w:tcW w:w="2249" w:type="dxa"/>
            <w:vAlign w:val="center"/>
          </w:tcPr>
          <w:p>
            <w:pPr>
              <w:pStyle w:val="12"/>
              <w:spacing w:before="10"/>
              <w:ind w:left="0"/>
              <w:jc w:val="both"/>
              <w:rPr>
                <w:rFonts w:eastAsia="宋体"/>
                <w:b/>
                <w:sz w:val="24"/>
                <w:szCs w:val="24"/>
              </w:rPr>
            </w:pPr>
          </w:p>
          <w:p>
            <w:pPr>
              <w:pStyle w:val="12"/>
              <w:ind w:left="105"/>
              <w:jc w:val="both"/>
              <w:rPr>
                <w:rFonts w:eastAsia="宋体"/>
                <w:sz w:val="24"/>
                <w:szCs w:val="24"/>
              </w:rPr>
            </w:pPr>
            <w:r>
              <w:rPr>
                <w:rFonts w:eastAsia="宋体"/>
                <w:sz w:val="24"/>
                <w:szCs w:val="24"/>
              </w:rPr>
              <w:t>担保权益的强制执行</w:t>
            </w:r>
          </w:p>
        </w:tc>
        <w:tc>
          <w:tcPr>
            <w:tcW w:w="5818" w:type="dxa"/>
            <w:vAlign w:val="center"/>
          </w:tcPr>
          <w:p>
            <w:pPr>
              <w:pStyle w:val="12"/>
              <w:tabs>
                <w:tab w:val="left" w:pos="454"/>
                <w:tab w:val="left" w:pos="455"/>
              </w:tabs>
              <w:ind w:left="454" w:hanging="347"/>
              <w:jc w:val="both"/>
              <w:rPr>
                <w:rFonts w:eastAsia="宋体"/>
                <w:sz w:val="24"/>
                <w:szCs w:val="24"/>
                <w:lang w:eastAsia="zh-CN"/>
              </w:rPr>
            </w:pPr>
            <w:r>
              <w:rPr>
                <w:w w:val="99"/>
                <w:sz w:val="24"/>
                <w:szCs w:val="24"/>
                <w:lang w:eastAsia="zh-CN"/>
              </w:rPr>
              <w:t>i)</w:t>
            </w:r>
            <w:r>
              <w:rPr>
                <w:rFonts w:eastAsia="宋体"/>
                <w:sz w:val="24"/>
                <w:szCs w:val="24"/>
                <w:lang w:eastAsia="zh-CN"/>
              </w:rPr>
              <w:t>担保权益的执行</w:t>
            </w:r>
          </w:p>
          <w:p>
            <w:pPr>
              <w:pStyle w:val="12"/>
              <w:tabs>
                <w:tab w:val="left" w:pos="455"/>
              </w:tabs>
              <w:ind w:left="454" w:hanging="347"/>
              <w:jc w:val="both"/>
              <w:rPr>
                <w:rFonts w:eastAsia="宋体"/>
                <w:sz w:val="24"/>
                <w:szCs w:val="24"/>
                <w:lang w:eastAsia="zh-CN"/>
              </w:rPr>
            </w:pPr>
            <w:r>
              <w:rPr>
                <w:w w:val="99"/>
                <w:sz w:val="24"/>
                <w:szCs w:val="24"/>
                <w:lang w:eastAsia="zh-CN"/>
              </w:rPr>
              <w:t>ii)</w:t>
            </w:r>
            <w:r>
              <w:rPr>
                <w:rFonts w:eastAsia="宋体"/>
                <w:sz w:val="24"/>
                <w:szCs w:val="24"/>
                <w:lang w:eastAsia="zh-CN"/>
              </w:rPr>
              <w:t>公开拍卖的可行性</w:t>
            </w:r>
          </w:p>
          <w:p>
            <w:pPr>
              <w:pStyle w:val="12"/>
              <w:tabs>
                <w:tab w:val="left" w:pos="455"/>
              </w:tabs>
              <w:ind w:left="454" w:hanging="361"/>
              <w:jc w:val="both"/>
              <w:rPr>
                <w:rFonts w:eastAsia="宋体"/>
                <w:sz w:val="24"/>
                <w:szCs w:val="24"/>
                <w:lang w:eastAsia="zh-CN"/>
              </w:rPr>
            </w:pPr>
            <w:r>
              <w:rPr>
                <w:w w:val="99"/>
                <w:sz w:val="24"/>
                <w:szCs w:val="24"/>
                <w:lang w:eastAsia="zh-CN"/>
              </w:rPr>
              <w:t>iii)</w:t>
            </w:r>
            <w:r>
              <w:rPr>
                <w:rFonts w:eastAsia="宋体"/>
                <w:sz w:val="24"/>
                <w:szCs w:val="24"/>
                <w:lang w:eastAsia="zh-CN"/>
              </w:rPr>
              <w:t>私人拍卖的可用性</w:t>
            </w:r>
          </w:p>
          <w:p>
            <w:pPr>
              <w:pStyle w:val="12"/>
              <w:tabs>
                <w:tab w:val="left" w:pos="455"/>
              </w:tabs>
              <w:ind w:left="454" w:hanging="361"/>
              <w:jc w:val="both"/>
              <w:rPr>
                <w:rFonts w:eastAsia="宋体"/>
                <w:sz w:val="24"/>
                <w:szCs w:val="24"/>
                <w:lang w:eastAsia="zh-CN"/>
              </w:rPr>
            </w:pPr>
            <w:r>
              <w:rPr>
                <w:w w:val="99"/>
                <w:sz w:val="24"/>
                <w:szCs w:val="24"/>
                <w:lang w:eastAsia="zh-CN"/>
              </w:rPr>
              <w:t>iv)</w:t>
            </w:r>
            <w:r>
              <w:rPr>
                <w:rFonts w:eastAsia="宋体"/>
                <w:sz w:val="24"/>
                <w:szCs w:val="24"/>
                <w:lang w:eastAsia="zh-CN"/>
              </w:rPr>
              <w:t>协议委员会的可用性</w:t>
            </w:r>
          </w:p>
        </w:tc>
      </w:tr>
    </w:tbl>
    <w:p>
      <w:pPr>
        <w:pStyle w:val="5"/>
        <w:spacing w:line="400" w:lineRule="exact"/>
        <w:rPr>
          <w:rFonts w:eastAsia="宋体"/>
          <w:b/>
          <w:sz w:val="28"/>
          <w:szCs w:val="28"/>
          <w:lang w:eastAsia="zh-CN"/>
        </w:rPr>
      </w:pPr>
    </w:p>
    <w:p>
      <w:pPr>
        <w:pStyle w:val="11"/>
        <w:tabs>
          <w:tab w:val="left" w:pos="841"/>
        </w:tabs>
        <w:spacing w:line="400" w:lineRule="exact"/>
        <w:ind w:left="0" w:firstLine="0"/>
        <w:outlineLvl w:val="1"/>
        <w:rPr>
          <w:rFonts w:eastAsia="宋体"/>
          <w:b/>
          <w:sz w:val="28"/>
          <w:szCs w:val="28"/>
          <w:lang w:eastAsia="zh-CN"/>
        </w:rPr>
      </w:pPr>
      <w:r>
        <w:rPr>
          <w:rFonts w:eastAsia="宋体"/>
          <w:b/>
          <w:sz w:val="28"/>
          <w:szCs w:val="28"/>
          <w:lang w:eastAsia="zh-CN"/>
        </w:rPr>
        <w:t>1.3电子支付的良好规管实践</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1.3类分为5个子类，由若干指标组成，每一个指标又有若干组成部分。</w:t>
      </w: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1.3.1风险管理</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健全的电子支付监管框架对于维持货币体系的完整性和保障金融稳定至关重要。</w:t>
      </w:r>
      <w:r>
        <w:rPr>
          <w:rFonts w:eastAsia="宋体"/>
          <w:sz w:val="28"/>
          <w:szCs w:val="28"/>
          <w:vertAlign w:val="superscript"/>
          <w:lang w:eastAsia="zh-CN"/>
        </w:rPr>
        <w:t>29</w:t>
      </w:r>
      <w:r>
        <w:rPr>
          <w:rFonts w:eastAsia="宋体"/>
          <w:sz w:val="28"/>
          <w:szCs w:val="28"/>
          <w:lang w:eastAsia="zh-CN"/>
        </w:rPr>
        <w:t>特别是，拥有适当的风险管理措施对于确保电子转账的安全性、效率和稳定性至关重要。</w:t>
      </w:r>
      <w:r>
        <w:rPr>
          <w:rFonts w:eastAsia="宋体"/>
          <w:sz w:val="28"/>
          <w:szCs w:val="28"/>
          <w:vertAlign w:val="superscript"/>
          <w:lang w:eastAsia="zh-CN"/>
        </w:rPr>
        <w:t>30</w:t>
      </w:r>
      <w:r>
        <w:rPr>
          <w:rFonts w:eastAsia="宋体"/>
          <w:sz w:val="28"/>
          <w:szCs w:val="28"/>
          <w:lang w:eastAsia="zh-CN"/>
        </w:rPr>
        <w:t>防止欺诈、促进信息和网络安全，确保数据和操作过程</w:t>
      </w:r>
      <w:r>
        <w:rPr>
          <w:rFonts w:eastAsia="宋体"/>
          <w:sz w:val="28"/>
          <w:szCs w:val="28"/>
          <w:vertAlign w:val="superscript"/>
          <w:lang w:eastAsia="zh-CN"/>
        </w:rPr>
        <w:t>31</w:t>
      </w:r>
      <w:r>
        <w:rPr>
          <w:rFonts w:eastAsia="宋体"/>
          <w:spacing w:val="-13"/>
          <w:sz w:val="28"/>
          <w:szCs w:val="28"/>
          <w:lang w:eastAsia="zh-CN"/>
        </w:rPr>
        <w:t>的保护的完整性、真实性和保密性等的措施，增强用户对这些服务的信心，并使整个电子支付系统更加安全。</w:t>
      </w:r>
      <w:r>
        <w:rPr>
          <w:rFonts w:eastAsia="宋体"/>
          <w:sz w:val="28"/>
          <w:szCs w:val="28"/>
          <w:vertAlign w:val="superscript"/>
          <w:lang w:eastAsia="zh-CN"/>
        </w:rPr>
        <w:t>32</w:t>
      </w:r>
      <w:r>
        <w:rPr>
          <w:rFonts w:eastAsia="宋体"/>
          <w:sz w:val="28"/>
          <w:szCs w:val="28"/>
          <w:lang w:eastAsia="zh-CN"/>
        </w:rPr>
        <w:t>因此，子类别1.3.1有三个指标(表9)。</w:t>
      </w:r>
    </w:p>
    <w:p>
      <w:pPr>
        <w:pStyle w:val="5"/>
        <w:spacing w:line="400" w:lineRule="exact"/>
        <w:rPr>
          <w:lang w:eastAsia="zh-CN"/>
        </w:rPr>
      </w:pPr>
    </w:p>
    <w:p>
      <w:pPr>
        <w:spacing w:line="400" w:lineRule="exact"/>
        <w:jc w:val="center"/>
        <w:rPr>
          <w:rFonts w:eastAsia="宋体"/>
          <w:b/>
          <w:sz w:val="28"/>
          <w:szCs w:val="28"/>
          <w:lang w:eastAsia="zh-CN"/>
        </w:rPr>
      </w:pPr>
      <w:r>
        <w:rPr>
          <w:rFonts w:eastAsia="宋体"/>
          <w:b/>
          <w:sz w:val="28"/>
          <w:szCs w:val="28"/>
          <w:lang w:eastAsia="zh-CN"/>
        </w:rPr>
        <w:t>表9</w:t>
      </w:r>
      <w:r>
        <w:rPr>
          <w:rFonts w:hint="eastAsia" w:eastAsia="宋体"/>
          <w:b/>
          <w:sz w:val="28"/>
          <w:szCs w:val="28"/>
          <w:lang w:eastAsia="zh-CN"/>
        </w:rPr>
        <w:t xml:space="preserve">. </w:t>
      </w:r>
      <w:r>
        <w:rPr>
          <w:rFonts w:eastAsia="宋体"/>
          <w:b/>
          <w:sz w:val="28"/>
          <w:szCs w:val="28"/>
          <w:lang w:eastAsia="zh-CN"/>
        </w:rPr>
        <w:t>子类别1.3.1</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风险管理</w:t>
      </w:r>
    </w:p>
    <w:tbl>
      <w:tblPr>
        <w:tblStyle w:val="8"/>
        <w:tblW w:w="8386"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56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2"/>
              <w:ind w:left="0"/>
              <w:jc w:val="both"/>
              <w:rPr>
                <w:rFonts w:eastAsia="宋体"/>
                <w:sz w:val="24"/>
                <w:szCs w:val="24"/>
                <w:lang w:eastAsia="zh-CN"/>
              </w:rPr>
            </w:pPr>
          </w:p>
        </w:tc>
        <w:tc>
          <w:tcPr>
            <w:tcW w:w="2249" w:type="dxa"/>
            <w:shd w:val="clear" w:color="auto" w:fill="E7EBF5"/>
            <w:vAlign w:val="center"/>
          </w:tcPr>
          <w:p>
            <w:pPr>
              <w:pStyle w:val="12"/>
              <w:spacing w:before="2"/>
              <w:ind w:left="105"/>
              <w:jc w:val="center"/>
              <w:rPr>
                <w:rFonts w:eastAsia="宋体"/>
                <w:b/>
                <w:sz w:val="24"/>
                <w:szCs w:val="24"/>
              </w:rPr>
            </w:pPr>
            <w:r>
              <w:rPr>
                <w:rFonts w:eastAsia="宋体"/>
                <w:b/>
                <w:spacing w:val="-2"/>
                <w:sz w:val="24"/>
                <w:szCs w:val="24"/>
              </w:rPr>
              <w:t>指标</w:t>
            </w:r>
          </w:p>
        </w:tc>
        <w:tc>
          <w:tcPr>
            <w:tcW w:w="5691" w:type="dxa"/>
            <w:shd w:val="clear" w:color="auto" w:fill="E7EBF5"/>
            <w:vAlign w:val="center"/>
          </w:tcPr>
          <w:p>
            <w:pPr>
              <w:pStyle w:val="12"/>
              <w:spacing w:before="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12"/>
              <w:spacing w:before="103"/>
              <w:jc w:val="both"/>
              <w:rPr>
                <w:rFonts w:eastAsia="宋体"/>
                <w:sz w:val="24"/>
                <w:szCs w:val="24"/>
              </w:rPr>
            </w:pPr>
            <w:r>
              <w:rPr>
                <w:rFonts w:eastAsia="宋体"/>
                <w:sz w:val="24"/>
                <w:szCs w:val="24"/>
              </w:rPr>
              <w:t>1</w:t>
            </w:r>
          </w:p>
        </w:tc>
        <w:tc>
          <w:tcPr>
            <w:tcW w:w="2249" w:type="dxa"/>
            <w:vAlign w:val="center"/>
          </w:tcPr>
          <w:p>
            <w:pPr>
              <w:pStyle w:val="12"/>
              <w:ind w:left="105"/>
              <w:jc w:val="both"/>
              <w:rPr>
                <w:rFonts w:eastAsia="宋体"/>
                <w:sz w:val="24"/>
                <w:szCs w:val="24"/>
              </w:rPr>
            </w:pPr>
            <w:r>
              <w:rPr>
                <w:rFonts w:eastAsia="宋体"/>
                <w:sz w:val="24"/>
                <w:szCs w:val="24"/>
              </w:rPr>
              <w:t>外部审</w:t>
            </w:r>
            <w:r>
              <w:rPr>
                <w:rFonts w:eastAsia="宋体"/>
                <w:sz w:val="24"/>
                <w:szCs w:val="24"/>
                <w:lang w:eastAsia="zh-CN"/>
              </w:rPr>
              <w:t>查</w:t>
            </w:r>
            <w:r>
              <w:rPr>
                <w:rFonts w:eastAsia="宋体"/>
                <w:sz w:val="24"/>
                <w:szCs w:val="24"/>
              </w:rPr>
              <w:t>和内部控制</w:t>
            </w:r>
          </w:p>
        </w:tc>
        <w:tc>
          <w:tcPr>
            <w:tcW w:w="5691" w:type="dxa"/>
            <w:vAlign w:val="center"/>
          </w:tcPr>
          <w:p>
            <w:pPr>
              <w:pStyle w:val="12"/>
              <w:tabs>
                <w:tab w:val="left" w:pos="449"/>
                <w:tab w:val="left" w:pos="450"/>
              </w:tabs>
              <w:ind w:left="449" w:hanging="349"/>
              <w:jc w:val="both"/>
              <w:rPr>
                <w:rFonts w:eastAsia="宋体"/>
                <w:sz w:val="24"/>
                <w:szCs w:val="24"/>
                <w:lang w:eastAsia="zh-CN"/>
              </w:rPr>
            </w:pPr>
            <w:r>
              <w:rPr>
                <w:w w:val="99"/>
                <w:sz w:val="24"/>
                <w:szCs w:val="24"/>
                <w:lang w:eastAsia="zh-CN"/>
              </w:rPr>
              <w:t>i)</w:t>
            </w:r>
            <w:r>
              <w:rPr>
                <w:rFonts w:eastAsia="宋体"/>
                <w:sz w:val="24"/>
                <w:szCs w:val="24"/>
                <w:lang w:eastAsia="zh-CN"/>
              </w:rPr>
              <w:t>支付服务提供商(PSP)的监管合规性外部审查</w:t>
            </w:r>
          </w:p>
          <w:p>
            <w:pPr>
              <w:pStyle w:val="12"/>
              <w:tabs>
                <w:tab w:val="left" w:pos="450"/>
              </w:tabs>
              <w:ind w:left="449" w:hanging="349"/>
              <w:jc w:val="both"/>
              <w:rPr>
                <w:rFonts w:eastAsia="宋体"/>
                <w:sz w:val="24"/>
                <w:szCs w:val="24"/>
                <w:lang w:eastAsia="zh-CN"/>
              </w:rPr>
            </w:pPr>
            <w:r>
              <w:rPr>
                <w:w w:val="99"/>
                <w:sz w:val="24"/>
                <w:szCs w:val="24"/>
                <w:lang w:eastAsia="zh-CN"/>
              </w:rPr>
              <w:t>ii)</w:t>
            </w:r>
            <w:r>
              <w:rPr>
                <w:rFonts w:eastAsia="宋体"/>
                <w:sz w:val="24"/>
                <w:szCs w:val="24"/>
                <w:lang w:eastAsia="zh-CN"/>
              </w:rPr>
              <w:t>内部控制的实施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2"/>
              <w:jc w:val="both"/>
              <w:rPr>
                <w:rFonts w:eastAsia="宋体"/>
                <w:sz w:val="24"/>
                <w:szCs w:val="24"/>
              </w:rPr>
            </w:pPr>
            <w:r>
              <w:rPr>
                <w:rFonts w:eastAsia="宋体"/>
                <w:sz w:val="24"/>
                <w:szCs w:val="24"/>
              </w:rPr>
              <w:t>2</w:t>
            </w:r>
          </w:p>
        </w:tc>
        <w:tc>
          <w:tcPr>
            <w:tcW w:w="2249" w:type="dxa"/>
            <w:vAlign w:val="center"/>
          </w:tcPr>
          <w:p>
            <w:pPr>
              <w:pStyle w:val="12"/>
              <w:spacing w:before="105"/>
              <w:ind w:left="105" w:right="811"/>
              <w:jc w:val="both"/>
              <w:rPr>
                <w:rFonts w:eastAsia="宋体"/>
                <w:sz w:val="24"/>
                <w:szCs w:val="24"/>
              </w:rPr>
            </w:pPr>
            <w:r>
              <w:rPr>
                <w:rFonts w:eastAsia="宋体"/>
                <w:sz w:val="24"/>
                <w:szCs w:val="24"/>
              </w:rPr>
              <w:t>网络安全和运营风险</w:t>
            </w:r>
          </w:p>
        </w:tc>
        <w:tc>
          <w:tcPr>
            <w:tcW w:w="5691" w:type="dxa"/>
            <w:vAlign w:val="center"/>
          </w:tcPr>
          <w:p>
            <w:pPr>
              <w:pStyle w:val="12"/>
              <w:tabs>
                <w:tab w:val="left" w:pos="449"/>
                <w:tab w:val="left" w:pos="450"/>
              </w:tabs>
              <w:spacing w:before="105"/>
              <w:ind w:left="449" w:hanging="349"/>
              <w:jc w:val="both"/>
              <w:rPr>
                <w:rFonts w:eastAsia="宋体"/>
                <w:sz w:val="24"/>
                <w:szCs w:val="24"/>
              </w:rPr>
            </w:pPr>
            <w:r>
              <w:rPr>
                <w:w w:val="99"/>
                <w:sz w:val="24"/>
                <w:szCs w:val="24"/>
              </w:rPr>
              <w:t>i)</w:t>
            </w:r>
            <w:r>
              <w:rPr>
                <w:rFonts w:eastAsia="宋体"/>
                <w:sz w:val="24"/>
                <w:szCs w:val="24"/>
              </w:rPr>
              <w:t>网络安全要求</w:t>
            </w:r>
          </w:p>
          <w:p>
            <w:pPr>
              <w:pStyle w:val="12"/>
              <w:tabs>
                <w:tab w:val="left" w:pos="450"/>
              </w:tabs>
              <w:ind w:left="449" w:hanging="349"/>
              <w:jc w:val="both"/>
              <w:rPr>
                <w:rFonts w:eastAsia="宋体"/>
                <w:sz w:val="24"/>
                <w:szCs w:val="24"/>
              </w:rPr>
            </w:pPr>
            <w:r>
              <w:rPr>
                <w:w w:val="99"/>
                <w:sz w:val="24"/>
                <w:szCs w:val="24"/>
              </w:rPr>
              <w:t>ii)</w:t>
            </w:r>
            <w:r>
              <w:rPr>
                <w:rFonts w:eastAsia="宋体"/>
                <w:sz w:val="24"/>
                <w:szCs w:val="24"/>
              </w:rPr>
              <w:t>应急计划需求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446" w:type="dxa"/>
            <w:vAlign w:val="center"/>
          </w:tcPr>
          <w:p>
            <w:pPr>
              <w:pStyle w:val="12"/>
              <w:spacing w:before="148"/>
              <w:jc w:val="both"/>
              <w:rPr>
                <w:rFonts w:eastAsia="宋体"/>
                <w:sz w:val="24"/>
                <w:szCs w:val="24"/>
              </w:rPr>
            </w:pPr>
            <w:r>
              <w:rPr>
                <w:rFonts w:eastAsia="宋体"/>
                <w:sz w:val="24"/>
                <w:szCs w:val="24"/>
              </w:rPr>
              <w:t>3</w:t>
            </w:r>
          </w:p>
        </w:tc>
        <w:tc>
          <w:tcPr>
            <w:tcW w:w="2249" w:type="dxa"/>
            <w:vAlign w:val="center"/>
          </w:tcPr>
          <w:p>
            <w:pPr>
              <w:pStyle w:val="12"/>
              <w:spacing w:before="148"/>
              <w:ind w:left="105"/>
              <w:jc w:val="both"/>
              <w:rPr>
                <w:rFonts w:eastAsia="宋体"/>
                <w:sz w:val="24"/>
                <w:szCs w:val="24"/>
              </w:rPr>
            </w:pPr>
            <w:r>
              <w:rPr>
                <w:rFonts w:eastAsia="宋体"/>
                <w:sz w:val="24"/>
                <w:szCs w:val="24"/>
              </w:rPr>
              <w:t>流动性风险</w:t>
            </w:r>
          </w:p>
        </w:tc>
        <w:tc>
          <w:tcPr>
            <w:tcW w:w="5691" w:type="dxa"/>
            <w:vAlign w:val="center"/>
          </w:tcPr>
          <w:p>
            <w:pPr>
              <w:pStyle w:val="12"/>
              <w:tabs>
                <w:tab w:val="left" w:pos="449"/>
                <w:tab w:val="left" w:pos="450"/>
              </w:tabs>
              <w:spacing w:before="45"/>
              <w:ind w:left="449" w:hanging="349"/>
              <w:jc w:val="both"/>
              <w:rPr>
                <w:rFonts w:eastAsia="宋体"/>
                <w:sz w:val="24"/>
                <w:szCs w:val="24"/>
                <w:lang w:eastAsia="zh-CN"/>
              </w:rPr>
            </w:pPr>
            <w:r>
              <w:rPr>
                <w:w w:val="99"/>
                <w:sz w:val="24"/>
                <w:szCs w:val="24"/>
                <w:lang w:eastAsia="zh-CN"/>
              </w:rPr>
              <w:t>i)</w:t>
            </w:r>
            <w:r>
              <w:rPr>
                <w:rFonts w:eastAsia="宋体"/>
                <w:sz w:val="24"/>
                <w:szCs w:val="24"/>
                <w:lang w:eastAsia="zh-CN"/>
              </w:rPr>
              <w:t>确保客户获得资金的要求</w:t>
            </w:r>
          </w:p>
          <w:p>
            <w:pPr>
              <w:pStyle w:val="12"/>
              <w:tabs>
                <w:tab w:val="left" w:pos="450"/>
              </w:tabs>
              <w:ind w:left="449" w:hanging="349"/>
              <w:jc w:val="both"/>
              <w:rPr>
                <w:rFonts w:eastAsia="宋体"/>
                <w:sz w:val="24"/>
                <w:szCs w:val="24"/>
                <w:lang w:eastAsia="zh-CN"/>
              </w:rPr>
            </w:pPr>
            <w:r>
              <w:rPr>
                <w:w w:val="99"/>
                <w:sz w:val="24"/>
                <w:szCs w:val="24"/>
                <w:lang w:eastAsia="zh-CN"/>
              </w:rPr>
              <w:t>ii)</w:t>
            </w:r>
            <w:r>
              <w:rPr>
                <w:rFonts w:eastAsia="宋体"/>
                <w:sz w:val="24"/>
                <w:szCs w:val="24"/>
                <w:lang w:eastAsia="zh-CN"/>
              </w:rPr>
              <w:t>客户使用限制</w:t>
            </w:r>
          </w:p>
        </w:tc>
      </w:tr>
    </w:tbl>
    <w:p>
      <w:pPr>
        <w:pStyle w:val="5"/>
        <w:spacing w:before="10"/>
        <w:rPr>
          <w:b/>
          <w:sz w:val="21"/>
          <w:lang w:eastAsia="zh-CN"/>
        </w:rPr>
      </w:pP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1.3.2客户资金保护</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保护使用电子支付的客户的资金对于确保支付系统的安全性和可靠性以及维护用户的信心至关重要。</w:t>
      </w:r>
      <w:r>
        <w:rPr>
          <w:rFonts w:eastAsia="宋体"/>
          <w:sz w:val="28"/>
          <w:szCs w:val="28"/>
          <w:vertAlign w:val="superscript"/>
          <w:lang w:eastAsia="zh-CN"/>
        </w:rPr>
        <w:t>33</w:t>
      </w:r>
      <w:r>
        <w:rPr>
          <w:rFonts w:eastAsia="宋体"/>
          <w:sz w:val="28"/>
          <w:szCs w:val="28"/>
          <w:lang w:eastAsia="zh-CN"/>
        </w:rPr>
        <w:t>它是整个金融消费者保护框架的基本组成部分，包括涵盖用户和支付服务提供商(PSP)的义务，</w:t>
      </w:r>
      <w:r>
        <w:rPr>
          <w:rFonts w:eastAsia="宋体"/>
          <w:sz w:val="28"/>
          <w:szCs w:val="28"/>
          <w:vertAlign w:val="superscript"/>
          <w:lang w:eastAsia="zh-CN"/>
        </w:rPr>
        <w:t>34</w:t>
      </w:r>
      <w:r>
        <w:rPr>
          <w:rFonts w:eastAsia="宋体"/>
          <w:spacing w:val="-14"/>
          <w:sz w:val="28"/>
          <w:szCs w:val="28"/>
          <w:lang w:eastAsia="zh-CN"/>
        </w:rPr>
        <w:t>欺诈或未经授权的支付，交易的取消或修改，以及保护资金的保险要求等安排。</w:t>
      </w:r>
      <w:r>
        <w:rPr>
          <w:rFonts w:eastAsia="宋体"/>
          <w:sz w:val="28"/>
          <w:szCs w:val="28"/>
          <w:vertAlign w:val="superscript"/>
          <w:lang w:eastAsia="zh-CN"/>
        </w:rPr>
        <w:t>35</w:t>
      </w:r>
      <w:r>
        <w:rPr>
          <w:rFonts w:eastAsia="宋体"/>
          <w:sz w:val="28"/>
          <w:szCs w:val="28"/>
          <w:lang w:eastAsia="zh-CN"/>
        </w:rPr>
        <w:t>因此，子类别1.3.2有两个指标(表10)。</w:t>
      </w:r>
    </w:p>
    <w:p>
      <w:pPr>
        <w:spacing w:line="400" w:lineRule="exact"/>
        <w:jc w:val="center"/>
        <w:rPr>
          <w:rFonts w:eastAsia="宋体"/>
          <w:b/>
          <w:sz w:val="28"/>
          <w:szCs w:val="28"/>
          <w:lang w:eastAsia="zh-CN"/>
        </w:rPr>
      </w:pPr>
      <w:r>
        <w:rPr>
          <w:rFonts w:eastAsia="宋体"/>
          <w:b/>
          <w:sz w:val="28"/>
          <w:szCs w:val="28"/>
          <w:lang w:eastAsia="zh-CN"/>
        </w:rPr>
        <w:t>表10</w:t>
      </w:r>
      <w:r>
        <w:rPr>
          <w:rFonts w:hint="eastAsia" w:eastAsia="宋体"/>
          <w:b/>
          <w:sz w:val="28"/>
          <w:szCs w:val="28"/>
          <w:lang w:eastAsia="zh-CN"/>
        </w:rPr>
        <w:t xml:space="preserve">. </w:t>
      </w:r>
      <w:r>
        <w:rPr>
          <w:rFonts w:eastAsia="宋体"/>
          <w:b/>
          <w:sz w:val="28"/>
          <w:szCs w:val="28"/>
          <w:lang w:eastAsia="zh-CN"/>
        </w:rPr>
        <w:t>子类别1.3.2</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客户资金的保护</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57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2"/>
              <w:ind w:left="0"/>
              <w:jc w:val="both"/>
              <w:rPr>
                <w:rFonts w:eastAsia="宋体"/>
                <w:sz w:val="24"/>
                <w:szCs w:val="24"/>
                <w:lang w:eastAsia="zh-CN"/>
              </w:rPr>
            </w:pPr>
          </w:p>
        </w:tc>
        <w:tc>
          <w:tcPr>
            <w:tcW w:w="2249" w:type="dxa"/>
            <w:shd w:val="clear" w:color="auto" w:fill="E7EBF5"/>
            <w:vAlign w:val="center"/>
          </w:tcPr>
          <w:p>
            <w:pPr>
              <w:pStyle w:val="12"/>
              <w:spacing w:before="2"/>
              <w:ind w:left="105"/>
              <w:jc w:val="center"/>
              <w:rPr>
                <w:rFonts w:eastAsia="宋体"/>
                <w:b/>
                <w:sz w:val="24"/>
                <w:szCs w:val="24"/>
              </w:rPr>
            </w:pPr>
            <w:r>
              <w:rPr>
                <w:rFonts w:eastAsia="宋体"/>
                <w:b/>
                <w:spacing w:val="-2"/>
                <w:sz w:val="24"/>
                <w:szCs w:val="24"/>
              </w:rPr>
              <w:t>指标</w:t>
            </w:r>
          </w:p>
        </w:tc>
        <w:tc>
          <w:tcPr>
            <w:tcW w:w="5743" w:type="dxa"/>
            <w:shd w:val="clear" w:color="auto" w:fill="E7EBF5"/>
            <w:vAlign w:val="center"/>
          </w:tcPr>
          <w:p>
            <w:pPr>
              <w:pStyle w:val="12"/>
              <w:spacing w:before="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12"/>
              <w:jc w:val="both"/>
              <w:rPr>
                <w:rFonts w:eastAsia="宋体"/>
                <w:sz w:val="24"/>
                <w:szCs w:val="24"/>
              </w:rPr>
            </w:pPr>
            <w:r>
              <w:rPr>
                <w:rFonts w:eastAsia="宋体"/>
                <w:sz w:val="24"/>
                <w:szCs w:val="24"/>
              </w:rPr>
              <w:t>1</w:t>
            </w:r>
          </w:p>
        </w:tc>
        <w:tc>
          <w:tcPr>
            <w:tcW w:w="2249" w:type="dxa"/>
            <w:vAlign w:val="center"/>
          </w:tcPr>
          <w:p>
            <w:pPr>
              <w:pStyle w:val="12"/>
              <w:ind w:left="105"/>
              <w:jc w:val="both"/>
              <w:rPr>
                <w:rFonts w:eastAsia="宋体"/>
                <w:sz w:val="24"/>
                <w:szCs w:val="24"/>
                <w:lang w:eastAsia="zh-CN"/>
              </w:rPr>
            </w:pPr>
            <w:r>
              <w:rPr>
                <w:rFonts w:eastAsia="宋体"/>
                <w:sz w:val="24"/>
                <w:szCs w:val="24"/>
                <w:lang w:eastAsia="zh-CN"/>
              </w:rPr>
              <w:t>用户和支付服务提供商(PSP)的义务</w:t>
            </w:r>
          </w:p>
        </w:tc>
        <w:tc>
          <w:tcPr>
            <w:tcW w:w="5743" w:type="dxa"/>
            <w:vAlign w:val="center"/>
          </w:tcPr>
          <w:p>
            <w:pPr>
              <w:pStyle w:val="12"/>
              <w:tabs>
                <w:tab w:val="left" w:pos="454"/>
                <w:tab w:val="left" w:pos="455"/>
              </w:tabs>
              <w:ind w:left="454" w:hanging="347"/>
              <w:jc w:val="both"/>
              <w:rPr>
                <w:rFonts w:eastAsia="宋体"/>
                <w:sz w:val="24"/>
                <w:szCs w:val="24"/>
                <w:lang w:eastAsia="zh-CN"/>
              </w:rPr>
            </w:pPr>
            <w:r>
              <w:rPr>
                <w:w w:val="99"/>
                <w:sz w:val="24"/>
                <w:szCs w:val="24"/>
                <w:lang w:eastAsia="zh-CN"/>
              </w:rPr>
              <w:t>i)</w:t>
            </w:r>
            <w:r>
              <w:rPr>
                <w:rFonts w:eastAsia="宋体"/>
                <w:sz w:val="24"/>
                <w:szCs w:val="24"/>
                <w:lang w:eastAsia="zh-CN"/>
              </w:rPr>
              <w:t>对支付工具的使用和对支付账户访问的限制</w:t>
            </w:r>
          </w:p>
          <w:p>
            <w:pPr>
              <w:pStyle w:val="12"/>
              <w:tabs>
                <w:tab w:val="left" w:pos="455"/>
              </w:tabs>
              <w:ind w:left="454" w:hanging="347"/>
              <w:jc w:val="both"/>
              <w:rPr>
                <w:rFonts w:eastAsia="宋体"/>
                <w:sz w:val="24"/>
                <w:szCs w:val="24"/>
                <w:lang w:eastAsia="zh-CN"/>
              </w:rPr>
            </w:pPr>
            <w:r>
              <w:rPr>
                <w:w w:val="99"/>
                <w:sz w:val="24"/>
                <w:szCs w:val="24"/>
                <w:lang w:eastAsia="zh-CN"/>
              </w:rPr>
              <w:t>ii)</w:t>
            </w:r>
            <w:r>
              <w:rPr>
                <w:rFonts w:eastAsia="宋体"/>
                <w:sz w:val="24"/>
                <w:szCs w:val="24"/>
                <w:lang w:eastAsia="zh-CN"/>
              </w:rPr>
              <w:t>用户在支付工具和安全凭证方面的义务</w:t>
            </w:r>
          </w:p>
          <w:p>
            <w:pPr>
              <w:pStyle w:val="12"/>
              <w:tabs>
                <w:tab w:val="left" w:pos="455"/>
              </w:tabs>
              <w:ind w:left="454" w:right="101" w:hanging="346"/>
              <w:jc w:val="both"/>
              <w:rPr>
                <w:rFonts w:eastAsia="宋体"/>
                <w:sz w:val="24"/>
                <w:szCs w:val="24"/>
                <w:lang w:eastAsia="zh-CN"/>
              </w:rPr>
            </w:pPr>
            <w:r>
              <w:rPr>
                <w:w w:val="99"/>
                <w:sz w:val="24"/>
                <w:szCs w:val="24"/>
                <w:lang w:eastAsia="zh-CN"/>
              </w:rPr>
              <w:t>iii)</w:t>
            </w:r>
            <w:r>
              <w:rPr>
                <w:rFonts w:eastAsia="宋体"/>
                <w:sz w:val="24"/>
                <w:szCs w:val="24"/>
                <w:lang w:eastAsia="zh-CN"/>
              </w:rPr>
              <w:t>PSP在支付交易执行之前验证支付服务用户的身份(认证)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2"/>
              <w:spacing w:before="138"/>
              <w:jc w:val="both"/>
              <w:rPr>
                <w:rFonts w:eastAsia="宋体"/>
                <w:sz w:val="24"/>
                <w:szCs w:val="24"/>
              </w:rPr>
            </w:pPr>
            <w:r>
              <w:rPr>
                <w:rFonts w:eastAsia="宋体"/>
                <w:sz w:val="24"/>
                <w:szCs w:val="24"/>
              </w:rPr>
              <w:t>2</w:t>
            </w:r>
          </w:p>
        </w:tc>
        <w:tc>
          <w:tcPr>
            <w:tcW w:w="2249" w:type="dxa"/>
            <w:vAlign w:val="center"/>
          </w:tcPr>
          <w:p>
            <w:pPr>
              <w:pStyle w:val="12"/>
              <w:spacing w:before="1"/>
              <w:ind w:left="0"/>
              <w:jc w:val="both"/>
              <w:rPr>
                <w:rFonts w:eastAsia="宋体"/>
                <w:b/>
                <w:sz w:val="24"/>
                <w:szCs w:val="24"/>
                <w:lang w:eastAsia="zh-CN"/>
              </w:rPr>
            </w:pPr>
          </w:p>
          <w:p>
            <w:pPr>
              <w:pStyle w:val="12"/>
              <w:ind w:left="105" w:right="138"/>
              <w:jc w:val="both"/>
              <w:rPr>
                <w:rFonts w:eastAsia="宋体"/>
                <w:sz w:val="24"/>
                <w:szCs w:val="24"/>
                <w:lang w:eastAsia="zh-CN"/>
              </w:rPr>
            </w:pPr>
            <w:r>
              <w:rPr>
                <w:rFonts w:eastAsia="宋体"/>
                <w:sz w:val="24"/>
                <w:szCs w:val="24"/>
                <w:lang w:eastAsia="zh-CN"/>
              </w:rPr>
              <w:t>取消错误交易，保护非银行PSP持有的资金，以及未经授权付款的责任</w:t>
            </w:r>
          </w:p>
        </w:tc>
        <w:tc>
          <w:tcPr>
            <w:tcW w:w="5743" w:type="dxa"/>
            <w:vAlign w:val="center"/>
          </w:tcPr>
          <w:p>
            <w:pPr>
              <w:pStyle w:val="12"/>
              <w:tabs>
                <w:tab w:val="left" w:pos="454"/>
                <w:tab w:val="left" w:pos="455"/>
              </w:tabs>
              <w:ind w:left="454" w:right="101" w:hanging="346"/>
              <w:jc w:val="both"/>
              <w:rPr>
                <w:rFonts w:eastAsia="宋体"/>
                <w:sz w:val="24"/>
                <w:szCs w:val="24"/>
                <w:lang w:eastAsia="zh-CN"/>
              </w:rPr>
            </w:pPr>
            <w:r>
              <w:rPr>
                <w:w w:val="99"/>
                <w:sz w:val="24"/>
                <w:szCs w:val="24"/>
                <w:lang w:eastAsia="zh-CN"/>
              </w:rPr>
              <w:t>i)</w:t>
            </w:r>
            <w:r>
              <w:rPr>
                <w:rFonts w:eastAsia="宋体"/>
                <w:sz w:val="24"/>
                <w:szCs w:val="24"/>
                <w:lang w:eastAsia="zh-CN"/>
              </w:rPr>
              <w:t>允许付款人单方面取消或修改支付交易，直到处理时间结束</w:t>
            </w:r>
          </w:p>
          <w:p>
            <w:pPr>
              <w:pStyle w:val="12"/>
              <w:tabs>
                <w:tab w:val="left" w:pos="455"/>
              </w:tabs>
              <w:spacing w:before="1"/>
              <w:ind w:left="454" w:hanging="347"/>
              <w:jc w:val="both"/>
              <w:rPr>
                <w:rFonts w:eastAsia="宋体"/>
                <w:sz w:val="24"/>
                <w:szCs w:val="24"/>
                <w:lang w:eastAsia="zh-CN"/>
              </w:rPr>
            </w:pPr>
            <w:r>
              <w:rPr>
                <w:w w:val="99"/>
                <w:sz w:val="24"/>
                <w:szCs w:val="24"/>
                <w:lang w:eastAsia="zh-CN"/>
              </w:rPr>
              <w:t>ii)</w:t>
            </w:r>
            <w:r>
              <w:rPr>
                <w:rFonts w:eastAsia="宋体"/>
                <w:sz w:val="24"/>
                <w:szCs w:val="24"/>
                <w:lang w:eastAsia="zh-CN"/>
              </w:rPr>
              <w:t>保护非银行PSP持有的客户资金</w:t>
            </w:r>
          </w:p>
          <w:p>
            <w:pPr>
              <w:pStyle w:val="12"/>
              <w:tabs>
                <w:tab w:val="left" w:pos="455"/>
              </w:tabs>
              <w:ind w:left="454" w:hanging="347"/>
              <w:jc w:val="both"/>
              <w:rPr>
                <w:rFonts w:eastAsia="宋体"/>
                <w:sz w:val="24"/>
                <w:szCs w:val="24"/>
                <w:lang w:eastAsia="zh-CN"/>
              </w:rPr>
            </w:pPr>
            <w:r>
              <w:rPr>
                <w:w w:val="99"/>
                <w:sz w:val="24"/>
                <w:szCs w:val="24"/>
                <w:lang w:eastAsia="zh-CN"/>
              </w:rPr>
              <w:t>iii)</w:t>
            </w:r>
            <w:r>
              <w:rPr>
                <w:rFonts w:eastAsia="宋体"/>
                <w:sz w:val="24"/>
                <w:szCs w:val="24"/>
                <w:lang w:eastAsia="zh-CN"/>
              </w:rPr>
              <w:t>非银行PSP持有的客户资金的保险要求</w:t>
            </w:r>
          </w:p>
          <w:p>
            <w:pPr>
              <w:pStyle w:val="12"/>
              <w:tabs>
                <w:tab w:val="left" w:pos="455"/>
              </w:tabs>
              <w:ind w:left="454" w:hanging="347"/>
              <w:jc w:val="both"/>
              <w:rPr>
                <w:rFonts w:eastAsia="宋体"/>
                <w:sz w:val="24"/>
                <w:szCs w:val="24"/>
                <w:lang w:eastAsia="zh-CN"/>
              </w:rPr>
            </w:pPr>
            <w:r>
              <w:rPr>
                <w:w w:val="99"/>
                <w:sz w:val="24"/>
                <w:szCs w:val="24"/>
                <w:lang w:eastAsia="zh-CN"/>
              </w:rPr>
              <w:t>iv)</w:t>
            </w:r>
            <w:r>
              <w:rPr>
                <w:rFonts w:eastAsia="宋体"/>
                <w:sz w:val="24"/>
                <w:szCs w:val="24"/>
                <w:lang w:eastAsia="zh-CN"/>
              </w:rPr>
              <w:t>关于可疑活动的通知要求</w:t>
            </w:r>
          </w:p>
          <w:p>
            <w:pPr>
              <w:pStyle w:val="12"/>
              <w:tabs>
                <w:tab w:val="left" w:pos="455"/>
              </w:tabs>
              <w:spacing w:before="2"/>
              <w:ind w:left="454" w:hanging="347"/>
              <w:jc w:val="both"/>
              <w:rPr>
                <w:rFonts w:eastAsia="宋体"/>
                <w:sz w:val="24"/>
                <w:szCs w:val="24"/>
                <w:lang w:eastAsia="zh-CN"/>
              </w:rPr>
            </w:pPr>
            <w:r>
              <w:rPr>
                <w:w w:val="99"/>
                <w:sz w:val="24"/>
                <w:szCs w:val="24"/>
                <w:lang w:eastAsia="zh-CN"/>
              </w:rPr>
              <w:t>v)</w:t>
            </w:r>
            <w:r>
              <w:rPr>
                <w:rFonts w:eastAsia="宋体"/>
                <w:sz w:val="24"/>
                <w:szCs w:val="24"/>
                <w:lang w:eastAsia="zh-CN"/>
              </w:rPr>
              <w:t>纠正未经授权或执行错误的交易的要求</w:t>
            </w:r>
          </w:p>
          <w:p>
            <w:pPr>
              <w:pStyle w:val="12"/>
              <w:tabs>
                <w:tab w:val="left" w:pos="455"/>
              </w:tabs>
              <w:ind w:left="454" w:hanging="347"/>
              <w:jc w:val="both"/>
              <w:rPr>
                <w:rFonts w:eastAsia="宋体"/>
                <w:sz w:val="24"/>
                <w:szCs w:val="24"/>
                <w:lang w:eastAsia="zh-CN"/>
              </w:rPr>
            </w:pPr>
            <w:r>
              <w:rPr>
                <w:w w:val="99"/>
                <w:sz w:val="24"/>
                <w:szCs w:val="24"/>
                <w:lang w:eastAsia="zh-CN"/>
              </w:rPr>
              <w:t>vi)</w:t>
            </w:r>
            <w:r>
              <w:rPr>
                <w:rFonts w:eastAsia="宋体"/>
                <w:sz w:val="24"/>
                <w:szCs w:val="24"/>
                <w:lang w:eastAsia="zh-CN"/>
              </w:rPr>
              <w:t>关于欺诈责任的一般规定</w:t>
            </w:r>
          </w:p>
          <w:p>
            <w:pPr>
              <w:pStyle w:val="12"/>
              <w:tabs>
                <w:tab w:val="left" w:pos="455"/>
              </w:tabs>
              <w:ind w:left="454" w:hanging="347"/>
              <w:jc w:val="both"/>
              <w:rPr>
                <w:rFonts w:eastAsia="宋体"/>
                <w:sz w:val="24"/>
                <w:szCs w:val="24"/>
                <w:lang w:eastAsia="zh-CN"/>
              </w:rPr>
            </w:pPr>
            <w:r>
              <w:rPr>
                <w:w w:val="99"/>
                <w:sz w:val="24"/>
                <w:szCs w:val="24"/>
                <w:lang w:eastAsia="zh-CN"/>
              </w:rPr>
              <w:t>vii)</w:t>
            </w:r>
            <w:r>
              <w:rPr>
                <w:rFonts w:eastAsia="宋体"/>
                <w:sz w:val="24"/>
                <w:szCs w:val="24"/>
                <w:lang w:eastAsia="zh-CN"/>
              </w:rPr>
              <w:t>PSP对未经授权付款的责任</w:t>
            </w:r>
          </w:p>
          <w:p>
            <w:pPr>
              <w:pStyle w:val="12"/>
              <w:tabs>
                <w:tab w:val="left" w:pos="455"/>
              </w:tabs>
              <w:ind w:left="454" w:hanging="347"/>
              <w:jc w:val="both"/>
              <w:rPr>
                <w:rFonts w:eastAsia="宋体"/>
                <w:sz w:val="24"/>
                <w:szCs w:val="24"/>
                <w:lang w:eastAsia="zh-CN"/>
              </w:rPr>
            </w:pPr>
            <w:r>
              <w:rPr>
                <w:w w:val="99"/>
                <w:sz w:val="24"/>
                <w:szCs w:val="24"/>
                <w:lang w:eastAsia="zh-CN"/>
              </w:rPr>
              <w:t>viii)</w:t>
            </w:r>
            <w:r>
              <w:rPr>
                <w:rFonts w:eastAsia="宋体"/>
                <w:sz w:val="24"/>
                <w:szCs w:val="24"/>
                <w:lang w:eastAsia="zh-CN"/>
              </w:rPr>
              <w:t>付款人对未经授权付款的责任</w:t>
            </w:r>
          </w:p>
        </w:tc>
      </w:tr>
    </w:tbl>
    <w:p>
      <w:pPr>
        <w:ind w:left="120"/>
        <w:jc w:val="both"/>
        <w:rPr>
          <w:rFonts w:eastAsia="宋体"/>
          <w:sz w:val="24"/>
          <w:szCs w:val="24"/>
          <w:lang w:eastAsia="zh-CN"/>
        </w:rPr>
      </w:pPr>
      <w:r>
        <w:rPr>
          <w:rFonts w:eastAsia="宋体"/>
          <w:i/>
          <w:sz w:val="24"/>
          <w:szCs w:val="24"/>
          <w:lang w:eastAsia="zh-CN"/>
        </w:rPr>
        <w:t>注:</w:t>
      </w:r>
      <w:r>
        <w:rPr>
          <w:rFonts w:eastAsia="宋体"/>
          <w:sz w:val="24"/>
          <w:szCs w:val="24"/>
          <w:lang w:eastAsia="zh-CN"/>
        </w:rPr>
        <w:t>PSP =支付服务提供商。</w:t>
      </w:r>
    </w:p>
    <w:p>
      <w:pPr>
        <w:pStyle w:val="5"/>
        <w:spacing w:before="3"/>
        <w:rPr>
          <w:sz w:val="23"/>
          <w:lang w:eastAsia="zh-CN"/>
        </w:rPr>
      </w:pP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1.3.3费用、条款和条件的透明度</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PSP披露关于使用电子支付的所有费用、条款和条件的完整准确信息，对于提高透明度和使用户能够清楚地了解与这些服务相关的成本至关重要。</w:t>
      </w:r>
      <w:r>
        <w:rPr>
          <w:rFonts w:eastAsia="宋体"/>
          <w:sz w:val="28"/>
          <w:szCs w:val="28"/>
          <w:vertAlign w:val="superscript"/>
          <w:lang w:eastAsia="zh-CN"/>
        </w:rPr>
        <w:t>36</w:t>
      </w:r>
      <w:r>
        <w:rPr>
          <w:rFonts w:eastAsia="宋体"/>
          <w:sz w:val="28"/>
          <w:szCs w:val="28"/>
          <w:lang w:eastAsia="zh-CN"/>
        </w:rPr>
        <w:t>及时通知任何后续变化，包括处理客户投诉及其数据的政策和程序，这些措施也很重要，因为它们通常涉及处理敏感的个人和财务信息。</w:t>
      </w:r>
      <w:r>
        <w:rPr>
          <w:rFonts w:eastAsia="宋体"/>
          <w:sz w:val="28"/>
          <w:szCs w:val="28"/>
          <w:vertAlign w:val="superscript"/>
          <w:lang w:eastAsia="zh-CN"/>
        </w:rPr>
        <w:t>37</w:t>
      </w:r>
      <w:r>
        <w:rPr>
          <w:rFonts w:eastAsia="宋体"/>
          <w:sz w:val="28"/>
          <w:szCs w:val="28"/>
          <w:lang w:eastAsia="zh-CN"/>
        </w:rPr>
        <w:t>这些措施不仅可以帮助企业清楚地了解使用这些服务的成本，还可以提高他们对使用这些服务的信任和信心，从而使整个社会受益。</w:t>
      </w:r>
      <w:r>
        <w:rPr>
          <w:rFonts w:eastAsia="宋体"/>
          <w:sz w:val="28"/>
          <w:szCs w:val="28"/>
          <w:vertAlign w:val="superscript"/>
          <w:lang w:eastAsia="zh-CN"/>
        </w:rPr>
        <w:t>38</w:t>
      </w:r>
      <w:r>
        <w:rPr>
          <w:rFonts w:eastAsia="宋体"/>
          <w:sz w:val="28"/>
          <w:szCs w:val="28"/>
          <w:lang w:eastAsia="zh-CN"/>
        </w:rPr>
        <w:t>因此，子类别1.3.3有两个指标(表11)。</w:t>
      </w:r>
    </w:p>
    <w:p>
      <w:pPr>
        <w:spacing w:after="4" w:line="400" w:lineRule="exact"/>
        <w:jc w:val="center"/>
        <w:rPr>
          <w:rFonts w:eastAsia="宋体"/>
          <w:b/>
          <w:sz w:val="28"/>
          <w:szCs w:val="28"/>
          <w:lang w:eastAsia="zh-CN"/>
        </w:rPr>
      </w:pPr>
      <w:r>
        <w:rPr>
          <w:rFonts w:eastAsia="宋体"/>
          <w:b/>
          <w:sz w:val="28"/>
          <w:szCs w:val="28"/>
          <w:lang w:eastAsia="zh-CN"/>
        </w:rPr>
        <w:t>表11</w:t>
      </w:r>
      <w:r>
        <w:rPr>
          <w:rFonts w:hint="eastAsia" w:eastAsia="宋体"/>
          <w:b/>
          <w:sz w:val="28"/>
          <w:szCs w:val="28"/>
          <w:lang w:eastAsia="zh-CN"/>
        </w:rPr>
        <w:t xml:space="preserve">. </w:t>
      </w:r>
      <w:r>
        <w:rPr>
          <w:rFonts w:eastAsia="宋体"/>
          <w:b/>
          <w:sz w:val="28"/>
          <w:szCs w:val="28"/>
          <w:lang w:eastAsia="zh-CN"/>
        </w:rPr>
        <w:t>子类别1.3.3</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费用、条款和条件的透明度</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5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2"/>
              <w:ind w:left="0"/>
              <w:jc w:val="both"/>
              <w:rPr>
                <w:rFonts w:eastAsia="宋体"/>
                <w:sz w:val="24"/>
                <w:szCs w:val="24"/>
                <w:lang w:eastAsia="zh-CN"/>
              </w:rPr>
            </w:pPr>
          </w:p>
        </w:tc>
        <w:tc>
          <w:tcPr>
            <w:tcW w:w="2249"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5732" w:type="dxa"/>
            <w:shd w:val="clear" w:color="auto" w:fill="E7EBF5"/>
            <w:vAlign w:val="center"/>
          </w:tcPr>
          <w:p>
            <w:pPr>
              <w:pStyle w:val="1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spacing w:before="105"/>
              <w:jc w:val="both"/>
              <w:rPr>
                <w:rFonts w:eastAsia="宋体"/>
                <w:sz w:val="24"/>
                <w:szCs w:val="24"/>
              </w:rPr>
            </w:pPr>
            <w:r>
              <w:rPr>
                <w:rFonts w:eastAsia="宋体"/>
                <w:sz w:val="24"/>
                <w:szCs w:val="24"/>
              </w:rPr>
              <w:t>1</w:t>
            </w:r>
          </w:p>
        </w:tc>
        <w:tc>
          <w:tcPr>
            <w:tcW w:w="2249" w:type="dxa"/>
            <w:vAlign w:val="center"/>
          </w:tcPr>
          <w:p>
            <w:pPr>
              <w:pStyle w:val="12"/>
              <w:ind w:left="105"/>
              <w:jc w:val="both"/>
              <w:rPr>
                <w:rFonts w:eastAsia="宋体"/>
                <w:sz w:val="24"/>
                <w:szCs w:val="24"/>
                <w:lang w:eastAsia="zh-CN"/>
              </w:rPr>
            </w:pPr>
            <w:r>
              <w:rPr>
                <w:rFonts w:eastAsia="宋体"/>
                <w:sz w:val="24"/>
                <w:szCs w:val="24"/>
                <w:lang w:eastAsia="zh-CN"/>
              </w:rPr>
              <w:t>披露费用及费用变更通知</w:t>
            </w:r>
          </w:p>
        </w:tc>
        <w:tc>
          <w:tcPr>
            <w:tcW w:w="5732" w:type="dxa"/>
            <w:vAlign w:val="center"/>
          </w:tcPr>
          <w:p>
            <w:pPr>
              <w:pStyle w:val="12"/>
              <w:tabs>
                <w:tab w:val="left" w:pos="454"/>
                <w:tab w:val="left" w:pos="455"/>
              </w:tabs>
              <w:ind w:left="454" w:hanging="361"/>
              <w:jc w:val="both"/>
              <w:rPr>
                <w:rFonts w:eastAsia="宋体"/>
                <w:sz w:val="24"/>
                <w:szCs w:val="24"/>
                <w:lang w:eastAsia="zh-CN"/>
              </w:rPr>
            </w:pPr>
            <w:r>
              <w:rPr>
                <w:w w:val="99"/>
                <w:sz w:val="24"/>
                <w:szCs w:val="24"/>
                <w:lang w:eastAsia="zh-CN"/>
              </w:rPr>
              <w:t>i)</w:t>
            </w:r>
            <w:r>
              <w:rPr>
                <w:rFonts w:eastAsia="宋体"/>
                <w:sz w:val="24"/>
                <w:szCs w:val="24"/>
                <w:lang w:eastAsia="zh-CN"/>
              </w:rPr>
              <w:t>披露使用电子支付的所有费用</w:t>
            </w:r>
          </w:p>
          <w:p>
            <w:pPr>
              <w:pStyle w:val="12"/>
              <w:tabs>
                <w:tab w:val="left" w:pos="455"/>
              </w:tabs>
              <w:spacing w:before="2"/>
              <w:ind w:left="454" w:hanging="361"/>
              <w:jc w:val="both"/>
              <w:rPr>
                <w:rFonts w:eastAsia="宋体"/>
                <w:sz w:val="24"/>
                <w:szCs w:val="24"/>
                <w:lang w:eastAsia="zh-CN"/>
              </w:rPr>
            </w:pPr>
            <w:r>
              <w:rPr>
                <w:w w:val="99"/>
                <w:sz w:val="24"/>
                <w:szCs w:val="24"/>
                <w:lang w:eastAsia="zh-CN"/>
              </w:rPr>
              <w:t>ii)</w:t>
            </w:r>
            <w:r>
              <w:rPr>
                <w:rFonts w:eastAsia="宋体"/>
                <w:sz w:val="24"/>
                <w:szCs w:val="24"/>
                <w:lang w:eastAsia="zh-CN"/>
              </w:rPr>
              <w:t>通知用户费用的变化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6" w:hRule="atLeast"/>
        </w:trPr>
        <w:tc>
          <w:tcPr>
            <w:tcW w:w="446" w:type="dxa"/>
            <w:vAlign w:val="center"/>
          </w:tcPr>
          <w:p>
            <w:pPr>
              <w:pStyle w:val="12"/>
              <w:jc w:val="both"/>
              <w:rPr>
                <w:rFonts w:eastAsia="宋体"/>
                <w:sz w:val="24"/>
                <w:szCs w:val="24"/>
              </w:rPr>
            </w:pPr>
            <w:r>
              <w:rPr>
                <w:rFonts w:eastAsia="宋体"/>
                <w:sz w:val="24"/>
                <w:szCs w:val="24"/>
              </w:rPr>
              <w:t>2</w:t>
            </w:r>
          </w:p>
        </w:tc>
        <w:tc>
          <w:tcPr>
            <w:tcW w:w="2249" w:type="dxa"/>
            <w:vAlign w:val="center"/>
          </w:tcPr>
          <w:p>
            <w:pPr>
              <w:pStyle w:val="12"/>
              <w:spacing w:before="101"/>
              <w:ind w:left="105" w:right="138"/>
              <w:jc w:val="both"/>
              <w:rPr>
                <w:rFonts w:eastAsia="宋体"/>
                <w:sz w:val="24"/>
                <w:szCs w:val="24"/>
                <w:lang w:eastAsia="zh-CN"/>
              </w:rPr>
            </w:pPr>
            <w:r>
              <w:rPr>
                <w:rFonts w:eastAsia="宋体"/>
                <w:sz w:val="24"/>
                <w:szCs w:val="24"/>
                <w:lang w:eastAsia="zh-CN"/>
              </w:rPr>
              <w:t>责任披露、数据使用和争议机制</w:t>
            </w:r>
          </w:p>
        </w:tc>
        <w:tc>
          <w:tcPr>
            <w:tcW w:w="5732" w:type="dxa"/>
            <w:vAlign w:val="center"/>
          </w:tcPr>
          <w:p>
            <w:pPr>
              <w:pStyle w:val="12"/>
              <w:tabs>
                <w:tab w:val="left" w:pos="454"/>
                <w:tab w:val="left" w:pos="455"/>
              </w:tabs>
              <w:ind w:left="454" w:hanging="361"/>
              <w:jc w:val="both"/>
              <w:rPr>
                <w:rFonts w:eastAsia="宋体"/>
                <w:sz w:val="24"/>
                <w:szCs w:val="24"/>
                <w:lang w:eastAsia="zh-CN"/>
              </w:rPr>
            </w:pPr>
            <w:r>
              <w:rPr>
                <w:w w:val="99"/>
                <w:sz w:val="24"/>
                <w:szCs w:val="24"/>
                <w:lang w:eastAsia="zh-CN"/>
              </w:rPr>
              <w:t>i)</w:t>
            </w:r>
            <w:r>
              <w:rPr>
                <w:rFonts w:eastAsia="宋体"/>
                <w:sz w:val="24"/>
                <w:szCs w:val="24"/>
                <w:lang w:eastAsia="zh-CN"/>
              </w:rPr>
              <w:t>责任披露</w:t>
            </w:r>
          </w:p>
          <w:p>
            <w:pPr>
              <w:pStyle w:val="12"/>
              <w:tabs>
                <w:tab w:val="left" w:pos="455"/>
              </w:tabs>
              <w:ind w:left="454" w:hanging="361"/>
              <w:jc w:val="both"/>
              <w:rPr>
                <w:rFonts w:eastAsia="宋体"/>
                <w:sz w:val="24"/>
                <w:szCs w:val="24"/>
                <w:lang w:eastAsia="zh-CN"/>
              </w:rPr>
            </w:pPr>
            <w:r>
              <w:rPr>
                <w:w w:val="99"/>
                <w:sz w:val="24"/>
                <w:szCs w:val="24"/>
                <w:lang w:eastAsia="zh-CN"/>
              </w:rPr>
              <w:t>ii)</w:t>
            </w:r>
            <w:r>
              <w:rPr>
                <w:rFonts w:eastAsia="宋体"/>
                <w:sz w:val="24"/>
                <w:szCs w:val="24"/>
                <w:lang w:eastAsia="zh-CN"/>
              </w:rPr>
              <w:t>披露客户数据的使用情况</w:t>
            </w:r>
          </w:p>
          <w:p>
            <w:pPr>
              <w:pStyle w:val="12"/>
              <w:tabs>
                <w:tab w:val="left" w:pos="455"/>
              </w:tabs>
              <w:spacing w:before="2"/>
              <w:ind w:left="454" w:hanging="361"/>
              <w:jc w:val="both"/>
              <w:rPr>
                <w:rFonts w:eastAsia="宋体"/>
                <w:sz w:val="24"/>
                <w:szCs w:val="24"/>
                <w:lang w:eastAsia="zh-CN"/>
              </w:rPr>
            </w:pPr>
            <w:r>
              <w:rPr>
                <w:w w:val="99"/>
                <w:sz w:val="24"/>
                <w:szCs w:val="24"/>
                <w:lang w:eastAsia="zh-CN"/>
              </w:rPr>
              <w:t>iii)</w:t>
            </w:r>
            <w:r>
              <w:rPr>
                <w:rFonts w:eastAsia="宋体"/>
                <w:sz w:val="24"/>
                <w:szCs w:val="24"/>
                <w:lang w:eastAsia="zh-CN"/>
              </w:rPr>
              <w:t>投诉处理程序的书面政策</w:t>
            </w:r>
          </w:p>
          <w:p>
            <w:pPr>
              <w:pStyle w:val="12"/>
              <w:tabs>
                <w:tab w:val="left" w:pos="455"/>
              </w:tabs>
              <w:ind w:left="454" w:hanging="361"/>
              <w:jc w:val="both"/>
              <w:rPr>
                <w:rFonts w:eastAsia="宋体"/>
                <w:sz w:val="24"/>
                <w:szCs w:val="24"/>
              </w:rPr>
            </w:pPr>
            <w:r>
              <w:rPr>
                <w:w w:val="99"/>
                <w:sz w:val="24"/>
                <w:szCs w:val="24"/>
              </w:rPr>
              <w:t>iv)</w:t>
            </w:r>
            <w:r>
              <w:rPr>
                <w:rFonts w:eastAsia="宋体"/>
                <w:sz w:val="24"/>
                <w:szCs w:val="24"/>
              </w:rPr>
              <w:t>一般服务条款</w:t>
            </w:r>
          </w:p>
        </w:tc>
      </w:tr>
    </w:tbl>
    <w:p>
      <w:pPr>
        <w:pStyle w:val="5"/>
        <w:spacing w:line="400" w:lineRule="exact"/>
        <w:rPr>
          <w:b/>
        </w:rPr>
      </w:pP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1.3.4可靠的追索权和争端解决机制的可用性</w:t>
      </w:r>
    </w:p>
    <w:p>
      <w:pPr>
        <w:pStyle w:val="5"/>
        <w:spacing w:line="400" w:lineRule="exact"/>
        <w:ind w:firstLine="560" w:firstLineChars="200"/>
        <w:jc w:val="both"/>
        <w:rPr>
          <w:sz w:val="23"/>
          <w:lang w:eastAsia="zh-CN"/>
        </w:rPr>
      </w:pPr>
      <w:r>
        <w:rPr>
          <w:rFonts w:eastAsia="宋体"/>
          <w:sz w:val="28"/>
          <w:szCs w:val="28"/>
          <w:lang w:eastAsia="zh-CN"/>
        </w:rPr>
        <w:t>追索权和纠纷解决机制的可用性可以为电子支付服务的用户提供及时有效解决纠纷和投诉的机会。</w:t>
      </w:r>
      <w:r>
        <w:rPr>
          <w:rFonts w:eastAsia="宋体"/>
          <w:sz w:val="28"/>
          <w:szCs w:val="28"/>
          <w:vertAlign w:val="superscript"/>
          <w:lang w:eastAsia="zh-CN"/>
        </w:rPr>
        <w:t>39</w:t>
      </w:r>
      <w:r>
        <w:rPr>
          <w:rFonts w:eastAsia="宋体"/>
          <w:sz w:val="28"/>
          <w:szCs w:val="28"/>
          <w:lang w:eastAsia="zh-CN"/>
        </w:rPr>
        <w:t>纠纷管理和补救机制，对于防止客户滥用和激励PSP解决可能导致低质量服务的业务弱点至关重要。</w:t>
      </w:r>
      <w:r>
        <w:rPr>
          <w:rFonts w:eastAsia="宋体"/>
          <w:sz w:val="28"/>
          <w:szCs w:val="28"/>
          <w:vertAlign w:val="superscript"/>
          <w:lang w:eastAsia="zh-CN"/>
        </w:rPr>
        <w:t>40</w:t>
      </w:r>
      <w:r>
        <w:rPr>
          <w:rFonts w:eastAsia="宋体"/>
          <w:sz w:val="28"/>
          <w:szCs w:val="28"/>
          <w:lang w:eastAsia="zh-CN"/>
        </w:rPr>
        <w:t>这些机制还能增强消费者的信心和信任，使新老客户都能有效地行使其权利。</w:t>
      </w:r>
      <w:r>
        <w:rPr>
          <w:rFonts w:eastAsia="宋体"/>
          <w:sz w:val="28"/>
          <w:szCs w:val="28"/>
          <w:vertAlign w:val="superscript"/>
          <w:lang w:eastAsia="zh-CN"/>
        </w:rPr>
        <w:t>41</w:t>
      </w:r>
      <w:r>
        <w:rPr>
          <w:rFonts w:eastAsia="宋体"/>
          <w:sz w:val="28"/>
          <w:szCs w:val="28"/>
          <w:lang w:eastAsia="zh-CN"/>
        </w:rPr>
        <w:t>因此，子类别1.3.4有两个指标(表12)。</w:t>
      </w:r>
    </w:p>
    <w:p>
      <w:pPr>
        <w:spacing w:line="400" w:lineRule="exact"/>
        <w:jc w:val="center"/>
        <w:rPr>
          <w:rFonts w:eastAsia="宋体"/>
          <w:b/>
          <w:sz w:val="28"/>
          <w:szCs w:val="28"/>
          <w:lang w:eastAsia="zh-CN"/>
        </w:rPr>
      </w:pPr>
      <w:r>
        <w:rPr>
          <w:rFonts w:eastAsia="宋体"/>
          <w:b/>
          <w:sz w:val="28"/>
          <w:szCs w:val="28"/>
          <w:lang w:eastAsia="zh-CN"/>
        </w:rPr>
        <w:t>表12</w:t>
      </w:r>
      <w:r>
        <w:rPr>
          <w:rFonts w:hint="eastAsia" w:eastAsia="宋体"/>
          <w:b/>
          <w:sz w:val="28"/>
          <w:szCs w:val="28"/>
          <w:lang w:eastAsia="zh-CN"/>
        </w:rPr>
        <w:t xml:space="preserve">. </w:t>
      </w:r>
      <w:r>
        <w:rPr>
          <w:rFonts w:eastAsia="宋体"/>
          <w:b/>
          <w:sz w:val="28"/>
          <w:szCs w:val="28"/>
          <w:lang w:eastAsia="zh-CN"/>
        </w:rPr>
        <w:t>子类别1.3.4</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可靠追索权和争端解决机制的可用性</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2"/>
        <w:gridCol w:w="2255"/>
        <w:gridCol w:w="5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2" w:type="dxa"/>
            <w:shd w:val="clear" w:color="auto" w:fill="E7EBF5"/>
            <w:vAlign w:val="center"/>
          </w:tcPr>
          <w:p>
            <w:pPr>
              <w:pStyle w:val="12"/>
              <w:ind w:left="0"/>
              <w:jc w:val="both"/>
              <w:rPr>
                <w:rFonts w:eastAsia="宋体"/>
                <w:sz w:val="24"/>
                <w:szCs w:val="24"/>
                <w:lang w:eastAsia="zh-CN"/>
              </w:rPr>
            </w:pPr>
          </w:p>
        </w:tc>
        <w:tc>
          <w:tcPr>
            <w:tcW w:w="2255" w:type="dxa"/>
            <w:shd w:val="clear" w:color="auto" w:fill="E7EBF5"/>
            <w:vAlign w:val="center"/>
          </w:tcPr>
          <w:p>
            <w:pPr>
              <w:pStyle w:val="12"/>
              <w:jc w:val="center"/>
              <w:rPr>
                <w:rFonts w:eastAsia="宋体"/>
                <w:b/>
                <w:sz w:val="24"/>
                <w:szCs w:val="24"/>
              </w:rPr>
            </w:pPr>
            <w:r>
              <w:rPr>
                <w:rFonts w:eastAsia="宋体"/>
                <w:b/>
                <w:spacing w:val="-2"/>
                <w:sz w:val="24"/>
                <w:szCs w:val="24"/>
              </w:rPr>
              <w:t>指标</w:t>
            </w:r>
          </w:p>
        </w:tc>
        <w:tc>
          <w:tcPr>
            <w:tcW w:w="5712" w:type="dxa"/>
            <w:shd w:val="clear" w:color="auto" w:fill="E7EBF5"/>
            <w:vAlign w:val="center"/>
          </w:tcPr>
          <w:p>
            <w:pPr>
              <w:pStyle w:val="12"/>
              <w:ind w:left="-7"/>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2" w:type="dxa"/>
            <w:vAlign w:val="center"/>
          </w:tcPr>
          <w:p>
            <w:pPr>
              <w:pStyle w:val="12"/>
              <w:jc w:val="both"/>
              <w:rPr>
                <w:rFonts w:eastAsia="宋体"/>
                <w:sz w:val="24"/>
                <w:szCs w:val="24"/>
              </w:rPr>
            </w:pPr>
            <w:r>
              <w:rPr>
                <w:rFonts w:eastAsia="宋体"/>
                <w:sz w:val="24"/>
                <w:szCs w:val="24"/>
              </w:rPr>
              <w:t>1</w:t>
            </w:r>
          </w:p>
        </w:tc>
        <w:tc>
          <w:tcPr>
            <w:tcW w:w="2255" w:type="dxa"/>
            <w:vAlign w:val="center"/>
          </w:tcPr>
          <w:p>
            <w:pPr>
              <w:pStyle w:val="12"/>
              <w:jc w:val="both"/>
              <w:rPr>
                <w:rFonts w:eastAsia="宋体"/>
                <w:sz w:val="24"/>
                <w:szCs w:val="24"/>
              </w:rPr>
            </w:pPr>
            <w:r>
              <w:rPr>
                <w:rFonts w:eastAsia="宋体"/>
                <w:sz w:val="24"/>
                <w:szCs w:val="24"/>
              </w:rPr>
              <w:t>对交易提出</w:t>
            </w:r>
            <w:r>
              <w:rPr>
                <w:rFonts w:eastAsia="宋体"/>
                <w:sz w:val="24"/>
                <w:szCs w:val="24"/>
                <w:lang w:eastAsia="zh-CN"/>
              </w:rPr>
              <w:t>争</w:t>
            </w:r>
            <w:r>
              <w:rPr>
                <w:rFonts w:eastAsia="宋体"/>
                <w:sz w:val="24"/>
                <w:szCs w:val="24"/>
              </w:rPr>
              <w:t>议</w:t>
            </w:r>
          </w:p>
        </w:tc>
        <w:tc>
          <w:tcPr>
            <w:tcW w:w="5712" w:type="dxa"/>
            <w:vAlign w:val="center"/>
          </w:tcPr>
          <w:p>
            <w:pPr>
              <w:pStyle w:val="12"/>
              <w:tabs>
                <w:tab w:val="left" w:pos="452"/>
                <w:tab w:val="left" w:pos="453"/>
              </w:tabs>
              <w:ind w:left="452" w:hanging="361"/>
              <w:jc w:val="both"/>
              <w:rPr>
                <w:rFonts w:eastAsia="宋体"/>
                <w:sz w:val="24"/>
                <w:szCs w:val="24"/>
                <w:lang w:eastAsia="zh-CN"/>
              </w:rPr>
            </w:pPr>
            <w:r>
              <w:rPr>
                <w:w w:val="99"/>
                <w:sz w:val="24"/>
                <w:szCs w:val="24"/>
                <w:lang w:eastAsia="zh-CN"/>
              </w:rPr>
              <w:t>i)</w:t>
            </w:r>
            <w:r>
              <w:rPr>
                <w:rFonts w:eastAsia="宋体"/>
                <w:sz w:val="24"/>
                <w:szCs w:val="24"/>
                <w:lang w:eastAsia="zh-CN"/>
              </w:rPr>
              <w:t>对付款提出争议的期限</w:t>
            </w:r>
          </w:p>
          <w:p>
            <w:pPr>
              <w:pStyle w:val="12"/>
              <w:tabs>
                <w:tab w:val="left" w:pos="453"/>
              </w:tabs>
              <w:spacing w:before="2"/>
              <w:ind w:left="452" w:hanging="361"/>
              <w:jc w:val="both"/>
              <w:rPr>
                <w:rFonts w:eastAsia="宋体"/>
                <w:sz w:val="24"/>
                <w:szCs w:val="24"/>
                <w:lang w:eastAsia="zh-CN"/>
              </w:rPr>
            </w:pPr>
            <w:r>
              <w:rPr>
                <w:w w:val="99"/>
                <w:sz w:val="24"/>
                <w:szCs w:val="24"/>
                <w:lang w:eastAsia="zh-CN"/>
              </w:rPr>
              <w:t>ii)</w:t>
            </w:r>
            <w:r>
              <w:rPr>
                <w:rFonts w:eastAsia="宋体"/>
                <w:sz w:val="24"/>
                <w:szCs w:val="24"/>
                <w:lang w:eastAsia="zh-CN"/>
              </w:rPr>
              <w:t>PSP确认收到争议通知</w:t>
            </w:r>
          </w:p>
          <w:p>
            <w:pPr>
              <w:pStyle w:val="12"/>
              <w:tabs>
                <w:tab w:val="left" w:pos="453"/>
              </w:tabs>
              <w:ind w:left="452" w:right="102" w:hanging="360"/>
              <w:jc w:val="both"/>
              <w:rPr>
                <w:rFonts w:eastAsia="宋体"/>
                <w:sz w:val="24"/>
                <w:szCs w:val="24"/>
                <w:lang w:eastAsia="zh-CN"/>
              </w:rPr>
            </w:pPr>
            <w:r>
              <w:rPr>
                <w:w w:val="99"/>
                <w:sz w:val="24"/>
                <w:szCs w:val="24"/>
                <w:lang w:eastAsia="zh-CN"/>
              </w:rPr>
              <w:t>iii)</w:t>
            </w:r>
            <w:r>
              <w:rPr>
                <w:rFonts w:eastAsia="宋体"/>
                <w:sz w:val="24"/>
                <w:szCs w:val="24"/>
                <w:lang w:eastAsia="zh-CN"/>
              </w:rPr>
              <w:t>在争议待解决期间，接收方继续收取无争议的费用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442" w:type="dxa"/>
            <w:vAlign w:val="center"/>
          </w:tcPr>
          <w:p>
            <w:pPr>
              <w:pStyle w:val="12"/>
              <w:jc w:val="both"/>
              <w:rPr>
                <w:rFonts w:eastAsia="宋体"/>
                <w:sz w:val="24"/>
                <w:szCs w:val="24"/>
              </w:rPr>
            </w:pPr>
            <w:r>
              <w:rPr>
                <w:rFonts w:eastAsia="宋体"/>
                <w:sz w:val="24"/>
                <w:szCs w:val="24"/>
              </w:rPr>
              <w:t>2</w:t>
            </w:r>
          </w:p>
        </w:tc>
        <w:tc>
          <w:tcPr>
            <w:tcW w:w="2255" w:type="dxa"/>
            <w:vAlign w:val="center"/>
          </w:tcPr>
          <w:p>
            <w:pPr>
              <w:pStyle w:val="12"/>
              <w:jc w:val="both"/>
              <w:rPr>
                <w:rFonts w:eastAsia="宋体"/>
                <w:sz w:val="24"/>
                <w:szCs w:val="24"/>
              </w:rPr>
            </w:pPr>
            <w:r>
              <w:rPr>
                <w:rFonts w:eastAsia="宋体"/>
                <w:sz w:val="24"/>
                <w:szCs w:val="24"/>
              </w:rPr>
              <w:t>争</w:t>
            </w:r>
            <w:r>
              <w:rPr>
                <w:rFonts w:eastAsia="宋体"/>
                <w:sz w:val="24"/>
                <w:szCs w:val="24"/>
                <w:lang w:eastAsia="zh-CN"/>
              </w:rPr>
              <w:t>端</w:t>
            </w:r>
            <w:r>
              <w:rPr>
                <w:rFonts w:eastAsia="宋体"/>
                <w:sz w:val="24"/>
                <w:szCs w:val="24"/>
              </w:rPr>
              <w:t>机制的可用性</w:t>
            </w:r>
          </w:p>
        </w:tc>
        <w:tc>
          <w:tcPr>
            <w:tcW w:w="5712" w:type="dxa"/>
            <w:vAlign w:val="center"/>
          </w:tcPr>
          <w:p>
            <w:pPr>
              <w:pStyle w:val="12"/>
              <w:tabs>
                <w:tab w:val="left" w:pos="452"/>
                <w:tab w:val="left" w:pos="453"/>
              </w:tabs>
              <w:spacing w:before="2"/>
              <w:ind w:left="452" w:hanging="361"/>
              <w:jc w:val="both"/>
              <w:rPr>
                <w:rFonts w:eastAsia="宋体"/>
                <w:sz w:val="24"/>
                <w:szCs w:val="24"/>
                <w:lang w:eastAsia="zh-CN"/>
              </w:rPr>
            </w:pPr>
            <w:r>
              <w:rPr>
                <w:w w:val="99"/>
                <w:sz w:val="24"/>
                <w:szCs w:val="24"/>
                <w:lang w:eastAsia="zh-CN"/>
              </w:rPr>
              <w:t>i)</w:t>
            </w:r>
            <w:r>
              <w:rPr>
                <w:rFonts w:eastAsia="宋体"/>
                <w:sz w:val="24"/>
                <w:szCs w:val="24"/>
                <w:lang w:eastAsia="zh-CN"/>
              </w:rPr>
              <w:t>PSP有独立的争端解决机构</w:t>
            </w:r>
          </w:p>
          <w:p>
            <w:pPr>
              <w:pStyle w:val="12"/>
              <w:tabs>
                <w:tab w:val="left" w:pos="453"/>
              </w:tabs>
              <w:ind w:left="452" w:hanging="361"/>
              <w:jc w:val="both"/>
              <w:rPr>
                <w:rFonts w:eastAsia="宋体"/>
                <w:sz w:val="24"/>
                <w:szCs w:val="24"/>
                <w:lang w:eastAsia="zh-CN"/>
              </w:rPr>
            </w:pPr>
            <w:r>
              <w:rPr>
                <w:w w:val="99"/>
                <w:sz w:val="24"/>
                <w:szCs w:val="24"/>
                <w:lang w:eastAsia="zh-CN"/>
              </w:rPr>
              <w:t>ii)</w:t>
            </w:r>
            <w:r>
              <w:rPr>
                <w:rFonts w:eastAsia="宋体"/>
                <w:sz w:val="24"/>
                <w:szCs w:val="24"/>
                <w:lang w:eastAsia="zh-CN"/>
              </w:rPr>
              <w:t>要求建立可用的争端解决机制</w:t>
            </w:r>
          </w:p>
          <w:p>
            <w:pPr>
              <w:pStyle w:val="12"/>
              <w:tabs>
                <w:tab w:val="left" w:pos="453"/>
              </w:tabs>
              <w:ind w:left="452" w:right="102" w:hanging="360"/>
              <w:jc w:val="both"/>
              <w:rPr>
                <w:rFonts w:eastAsia="宋体"/>
                <w:sz w:val="24"/>
                <w:szCs w:val="24"/>
                <w:lang w:eastAsia="zh-CN"/>
              </w:rPr>
            </w:pPr>
            <w:r>
              <w:rPr>
                <w:w w:val="99"/>
                <w:sz w:val="24"/>
                <w:szCs w:val="24"/>
                <w:lang w:eastAsia="zh-CN"/>
              </w:rPr>
              <w:t>iii)</w:t>
            </w:r>
            <w:r>
              <w:rPr>
                <w:rFonts w:eastAsia="宋体"/>
                <w:sz w:val="24"/>
                <w:szCs w:val="24"/>
                <w:lang w:eastAsia="zh-CN"/>
              </w:rPr>
              <w:t>当内部未解决争端时，是否有独立的政府机构作为可供求助的选择</w:t>
            </w:r>
          </w:p>
        </w:tc>
      </w:tr>
    </w:tbl>
    <w:p>
      <w:pPr>
        <w:ind w:left="120"/>
        <w:jc w:val="both"/>
        <w:rPr>
          <w:rFonts w:eastAsia="宋体"/>
          <w:sz w:val="24"/>
          <w:szCs w:val="24"/>
          <w:lang w:eastAsia="zh-CN"/>
        </w:rPr>
      </w:pPr>
      <w:r>
        <w:rPr>
          <w:rFonts w:eastAsia="宋体"/>
          <w:i/>
          <w:sz w:val="24"/>
          <w:szCs w:val="24"/>
          <w:lang w:eastAsia="zh-CN"/>
        </w:rPr>
        <w:t>注:</w:t>
      </w:r>
      <w:r>
        <w:rPr>
          <w:rFonts w:eastAsia="宋体"/>
          <w:sz w:val="24"/>
          <w:szCs w:val="24"/>
          <w:lang w:eastAsia="zh-CN"/>
        </w:rPr>
        <w:t>PSP =支付服务提供商。</w:t>
      </w:r>
    </w:p>
    <w:p>
      <w:pPr>
        <w:jc w:val="both"/>
        <w:rPr>
          <w:sz w:val="20"/>
          <w:lang w:eastAsia="zh-CN"/>
        </w:rPr>
        <w:sectPr>
          <w:pgSz w:w="12240" w:h="15840"/>
          <w:pgMar w:top="1440" w:right="1800" w:bottom="1440" w:left="1800" w:header="720" w:footer="720" w:gutter="0"/>
          <w:cols w:space="720" w:num="1"/>
        </w:sectPr>
      </w:pP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1.3.5互操作性和促进竞争</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支付系统互操作性允许参与者在不参与多个系统的情况下跨系统进行支付、清算和结算支付。</w:t>
      </w:r>
      <w:r>
        <w:rPr>
          <w:rFonts w:eastAsia="宋体"/>
          <w:sz w:val="28"/>
          <w:szCs w:val="28"/>
          <w:vertAlign w:val="superscript"/>
          <w:lang w:eastAsia="zh-CN"/>
        </w:rPr>
        <w:t>42</w:t>
      </w:r>
      <w:r>
        <w:rPr>
          <w:rFonts w:eastAsia="宋体"/>
          <w:sz w:val="28"/>
          <w:szCs w:val="28"/>
          <w:lang w:eastAsia="zh-CN"/>
        </w:rPr>
        <w:t>支付系统的互操作性可以促进竞争，降低成本，实现PSP的规模经济，并增强支付服务用户的便利性。</w:t>
      </w:r>
      <w:r>
        <w:rPr>
          <w:rFonts w:eastAsia="宋体"/>
          <w:sz w:val="28"/>
          <w:szCs w:val="28"/>
          <w:vertAlign w:val="superscript"/>
          <w:lang w:eastAsia="zh-CN"/>
        </w:rPr>
        <w:t>43</w:t>
      </w:r>
      <w:r>
        <w:rPr>
          <w:rFonts w:eastAsia="宋体"/>
          <w:sz w:val="28"/>
          <w:szCs w:val="28"/>
          <w:lang w:eastAsia="zh-CN"/>
        </w:rPr>
        <w:t>同样，促进市场竞争对于促进新参与者的进入和产品创新，提高现有服务的质量和效率以及降低价格至关重要。</w:t>
      </w:r>
      <w:r>
        <w:rPr>
          <w:rFonts w:eastAsia="宋体"/>
          <w:sz w:val="28"/>
          <w:szCs w:val="28"/>
          <w:vertAlign w:val="superscript"/>
          <w:lang w:eastAsia="zh-CN"/>
        </w:rPr>
        <w:t>44,45</w:t>
      </w:r>
      <w:r>
        <w:rPr>
          <w:rFonts w:eastAsia="宋体"/>
          <w:sz w:val="28"/>
          <w:szCs w:val="28"/>
          <w:lang w:eastAsia="zh-CN"/>
        </w:rPr>
        <w:t>互操作性和促进竞争可以在满足未得到服务和服务不足的企业/用户的需求方面发挥关键作用。因此，子类别1.3.5有两个指标(表13)。</w:t>
      </w:r>
    </w:p>
    <w:p>
      <w:pPr>
        <w:spacing w:line="400" w:lineRule="exact"/>
        <w:jc w:val="center"/>
        <w:rPr>
          <w:rFonts w:eastAsia="宋体"/>
          <w:b/>
          <w:sz w:val="28"/>
          <w:szCs w:val="28"/>
          <w:lang w:eastAsia="zh-CN"/>
        </w:rPr>
      </w:pPr>
      <w:r>
        <w:rPr>
          <w:rFonts w:eastAsia="宋体"/>
          <w:b/>
          <w:sz w:val="28"/>
          <w:szCs w:val="28"/>
          <w:lang w:eastAsia="zh-CN"/>
        </w:rPr>
        <w:t>表13</w:t>
      </w:r>
      <w:r>
        <w:rPr>
          <w:rFonts w:hint="eastAsia" w:eastAsia="宋体"/>
          <w:b/>
          <w:sz w:val="28"/>
          <w:szCs w:val="28"/>
          <w:lang w:eastAsia="zh-CN"/>
        </w:rPr>
        <w:t xml:space="preserve">. </w:t>
      </w:r>
      <w:r>
        <w:rPr>
          <w:rFonts w:eastAsia="宋体"/>
          <w:b/>
          <w:sz w:val="28"/>
          <w:szCs w:val="28"/>
          <w:lang w:eastAsia="zh-CN"/>
        </w:rPr>
        <w:t>子类别1.3.5</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互操作性和促进竞争</w:t>
      </w:r>
    </w:p>
    <w:tbl>
      <w:tblPr>
        <w:tblStyle w:val="8"/>
        <w:tblW w:w="8421"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2"/>
        <w:gridCol w:w="2255"/>
        <w:gridCol w:w="57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2" w:type="dxa"/>
            <w:shd w:val="clear" w:color="auto" w:fill="E7EBF5"/>
            <w:vAlign w:val="center"/>
          </w:tcPr>
          <w:p>
            <w:pPr>
              <w:pStyle w:val="12"/>
              <w:ind w:left="0"/>
              <w:jc w:val="both"/>
              <w:rPr>
                <w:rFonts w:eastAsia="宋体"/>
                <w:sz w:val="24"/>
                <w:szCs w:val="24"/>
                <w:lang w:eastAsia="zh-CN"/>
              </w:rPr>
            </w:pPr>
          </w:p>
        </w:tc>
        <w:tc>
          <w:tcPr>
            <w:tcW w:w="2255" w:type="dxa"/>
            <w:shd w:val="clear" w:color="auto" w:fill="E7EBF5"/>
            <w:vAlign w:val="center"/>
          </w:tcPr>
          <w:p>
            <w:pPr>
              <w:pStyle w:val="12"/>
              <w:jc w:val="center"/>
              <w:rPr>
                <w:rFonts w:eastAsia="宋体"/>
                <w:b/>
                <w:sz w:val="24"/>
                <w:szCs w:val="24"/>
              </w:rPr>
            </w:pPr>
            <w:r>
              <w:rPr>
                <w:rFonts w:eastAsia="宋体"/>
                <w:b/>
                <w:spacing w:val="-2"/>
                <w:sz w:val="24"/>
                <w:szCs w:val="24"/>
              </w:rPr>
              <w:t>指标</w:t>
            </w:r>
          </w:p>
        </w:tc>
        <w:tc>
          <w:tcPr>
            <w:tcW w:w="5724" w:type="dxa"/>
            <w:shd w:val="clear" w:color="auto" w:fill="E7EBF5"/>
            <w:vAlign w:val="center"/>
          </w:tcPr>
          <w:p>
            <w:pPr>
              <w:pStyle w:val="12"/>
              <w:ind w:left="-7"/>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442" w:type="dxa"/>
            <w:vAlign w:val="center"/>
          </w:tcPr>
          <w:p>
            <w:pPr>
              <w:pStyle w:val="12"/>
              <w:spacing w:before="103"/>
              <w:jc w:val="both"/>
              <w:rPr>
                <w:rFonts w:eastAsia="宋体"/>
                <w:sz w:val="24"/>
                <w:szCs w:val="24"/>
              </w:rPr>
            </w:pPr>
            <w:r>
              <w:rPr>
                <w:rFonts w:eastAsia="宋体"/>
                <w:sz w:val="24"/>
                <w:szCs w:val="24"/>
              </w:rPr>
              <w:t>1</w:t>
            </w:r>
          </w:p>
        </w:tc>
        <w:tc>
          <w:tcPr>
            <w:tcW w:w="2255" w:type="dxa"/>
            <w:vAlign w:val="center"/>
          </w:tcPr>
          <w:p>
            <w:pPr>
              <w:pStyle w:val="12"/>
              <w:jc w:val="both"/>
              <w:rPr>
                <w:rFonts w:eastAsia="宋体"/>
                <w:sz w:val="24"/>
                <w:szCs w:val="24"/>
              </w:rPr>
            </w:pPr>
            <w:r>
              <w:rPr>
                <w:rFonts w:eastAsia="宋体"/>
                <w:sz w:val="24"/>
                <w:szCs w:val="24"/>
              </w:rPr>
              <w:t>支付系统的互操作性</w:t>
            </w:r>
          </w:p>
        </w:tc>
        <w:tc>
          <w:tcPr>
            <w:tcW w:w="5724" w:type="dxa"/>
            <w:vAlign w:val="center"/>
          </w:tcPr>
          <w:p>
            <w:pPr>
              <w:pStyle w:val="12"/>
              <w:spacing w:before="103"/>
              <w:ind w:left="106"/>
              <w:jc w:val="both"/>
              <w:rPr>
                <w:rFonts w:eastAsia="宋体"/>
                <w:sz w:val="24"/>
                <w:szCs w:val="24"/>
                <w:lang w:eastAsia="zh-CN"/>
              </w:rPr>
            </w:pPr>
            <w:r>
              <w:rPr>
                <w:rFonts w:eastAsia="宋体"/>
                <w:sz w:val="24"/>
                <w:szCs w:val="24"/>
                <w:lang w:eastAsia="zh-CN"/>
              </w:rPr>
              <w:t>管辖范围内的互操作性水平和程度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2" w:type="dxa"/>
            <w:vAlign w:val="center"/>
          </w:tcPr>
          <w:p>
            <w:pPr>
              <w:pStyle w:val="12"/>
              <w:spacing w:before="103"/>
              <w:jc w:val="both"/>
              <w:rPr>
                <w:rFonts w:eastAsia="宋体"/>
                <w:sz w:val="24"/>
                <w:szCs w:val="24"/>
              </w:rPr>
            </w:pPr>
            <w:r>
              <w:rPr>
                <w:rFonts w:eastAsia="宋体"/>
                <w:sz w:val="24"/>
                <w:szCs w:val="24"/>
              </w:rPr>
              <w:t>2</w:t>
            </w:r>
          </w:p>
        </w:tc>
        <w:tc>
          <w:tcPr>
            <w:tcW w:w="2255" w:type="dxa"/>
            <w:vAlign w:val="center"/>
          </w:tcPr>
          <w:p>
            <w:pPr>
              <w:pStyle w:val="12"/>
              <w:spacing w:before="103"/>
              <w:jc w:val="both"/>
              <w:rPr>
                <w:rFonts w:eastAsia="宋体"/>
                <w:sz w:val="24"/>
                <w:szCs w:val="24"/>
              </w:rPr>
            </w:pPr>
            <w:r>
              <w:rPr>
                <w:rFonts w:eastAsia="宋体"/>
                <w:sz w:val="24"/>
                <w:szCs w:val="24"/>
              </w:rPr>
              <w:t>公平竞争</w:t>
            </w:r>
          </w:p>
        </w:tc>
        <w:tc>
          <w:tcPr>
            <w:tcW w:w="5724" w:type="dxa"/>
            <w:vAlign w:val="center"/>
          </w:tcPr>
          <w:p>
            <w:pPr>
              <w:pStyle w:val="12"/>
              <w:tabs>
                <w:tab w:val="left" w:pos="452"/>
                <w:tab w:val="left" w:pos="453"/>
              </w:tabs>
              <w:ind w:left="452" w:hanging="361"/>
              <w:jc w:val="both"/>
              <w:rPr>
                <w:rFonts w:eastAsia="宋体"/>
                <w:sz w:val="24"/>
                <w:szCs w:val="24"/>
                <w:lang w:eastAsia="zh-CN"/>
              </w:rPr>
            </w:pPr>
            <w:r>
              <w:rPr>
                <w:w w:val="99"/>
                <w:sz w:val="24"/>
                <w:szCs w:val="24"/>
                <w:lang w:eastAsia="zh-CN"/>
              </w:rPr>
              <w:t>i)</w:t>
            </w:r>
            <w:r>
              <w:rPr>
                <w:rFonts w:eastAsia="宋体"/>
                <w:sz w:val="24"/>
                <w:szCs w:val="24"/>
                <w:lang w:eastAsia="zh-CN"/>
              </w:rPr>
              <w:t>公平竞争条款</w:t>
            </w:r>
          </w:p>
          <w:p>
            <w:pPr>
              <w:pStyle w:val="12"/>
              <w:tabs>
                <w:tab w:val="left" w:pos="453"/>
              </w:tabs>
              <w:ind w:left="452" w:hanging="361"/>
              <w:jc w:val="both"/>
              <w:rPr>
                <w:rFonts w:eastAsia="宋体"/>
                <w:sz w:val="24"/>
                <w:szCs w:val="24"/>
                <w:lang w:eastAsia="zh-CN"/>
              </w:rPr>
            </w:pPr>
            <w:r>
              <w:rPr>
                <w:w w:val="99"/>
                <w:sz w:val="24"/>
                <w:szCs w:val="24"/>
                <w:lang w:eastAsia="zh-CN"/>
              </w:rPr>
              <w:t>ii)</w:t>
            </w:r>
            <w:r>
              <w:rPr>
                <w:rFonts w:eastAsia="宋体"/>
                <w:sz w:val="24"/>
                <w:szCs w:val="24"/>
                <w:lang w:eastAsia="zh-CN"/>
              </w:rPr>
              <w:t>适用于所有新的支付服务提供商的注册规则和程序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2" w:type="dxa"/>
            <w:vAlign w:val="center"/>
          </w:tcPr>
          <w:p>
            <w:pPr>
              <w:pStyle w:val="12"/>
              <w:spacing w:before="105"/>
              <w:jc w:val="both"/>
              <w:rPr>
                <w:rFonts w:eastAsia="宋体"/>
                <w:sz w:val="24"/>
                <w:szCs w:val="24"/>
              </w:rPr>
            </w:pPr>
            <w:r>
              <w:rPr>
                <w:rFonts w:eastAsia="宋体"/>
                <w:sz w:val="24"/>
                <w:szCs w:val="24"/>
              </w:rPr>
              <w:t>3</w:t>
            </w:r>
          </w:p>
        </w:tc>
        <w:tc>
          <w:tcPr>
            <w:tcW w:w="2255" w:type="dxa"/>
            <w:vAlign w:val="center"/>
          </w:tcPr>
          <w:p>
            <w:pPr>
              <w:pStyle w:val="12"/>
              <w:ind w:right="87"/>
              <w:jc w:val="both"/>
              <w:rPr>
                <w:rFonts w:eastAsia="宋体"/>
                <w:sz w:val="24"/>
                <w:szCs w:val="24"/>
              </w:rPr>
            </w:pPr>
            <w:r>
              <w:rPr>
                <w:rFonts w:eastAsia="宋体"/>
                <w:sz w:val="24"/>
                <w:szCs w:val="24"/>
              </w:rPr>
              <w:t>不同</w:t>
            </w:r>
            <w:r>
              <w:rPr>
                <w:rFonts w:eastAsia="宋体"/>
                <w:sz w:val="24"/>
                <w:szCs w:val="24"/>
                <w:lang w:eastAsia="zh-CN"/>
              </w:rPr>
              <w:t>PSP</w:t>
            </w:r>
            <w:r>
              <w:rPr>
                <w:rFonts w:eastAsia="宋体"/>
                <w:sz w:val="24"/>
                <w:szCs w:val="24"/>
              </w:rPr>
              <w:t>的平等准入和待遇</w:t>
            </w:r>
          </w:p>
        </w:tc>
        <w:tc>
          <w:tcPr>
            <w:tcW w:w="5724" w:type="dxa"/>
            <w:vAlign w:val="center"/>
          </w:tcPr>
          <w:p>
            <w:pPr>
              <w:pStyle w:val="12"/>
              <w:tabs>
                <w:tab w:val="left" w:pos="452"/>
                <w:tab w:val="left" w:pos="453"/>
              </w:tabs>
              <w:ind w:left="452" w:hanging="361"/>
              <w:jc w:val="both"/>
              <w:rPr>
                <w:rFonts w:eastAsia="宋体"/>
                <w:sz w:val="24"/>
                <w:szCs w:val="24"/>
                <w:lang w:eastAsia="zh-CN"/>
              </w:rPr>
            </w:pPr>
            <w:r>
              <w:rPr>
                <w:w w:val="99"/>
                <w:sz w:val="24"/>
                <w:szCs w:val="24"/>
              </w:rPr>
              <w:t>i)</w:t>
            </w:r>
            <w:r>
              <w:rPr>
                <w:rFonts w:eastAsia="宋体"/>
                <w:sz w:val="24"/>
                <w:szCs w:val="24"/>
                <w:lang w:eastAsia="zh-CN"/>
              </w:rPr>
              <w:t>为新PSP提供与现有参与者同等的市场准入</w:t>
            </w:r>
          </w:p>
          <w:p>
            <w:pPr>
              <w:pStyle w:val="12"/>
              <w:tabs>
                <w:tab w:val="left" w:pos="453"/>
              </w:tabs>
              <w:spacing w:before="2"/>
              <w:ind w:left="452" w:hanging="361"/>
              <w:jc w:val="both"/>
              <w:rPr>
                <w:rFonts w:eastAsia="宋体"/>
                <w:sz w:val="24"/>
                <w:szCs w:val="24"/>
              </w:rPr>
            </w:pPr>
            <w:r>
              <w:rPr>
                <w:w w:val="99"/>
                <w:sz w:val="24"/>
                <w:szCs w:val="24"/>
              </w:rPr>
              <w:t>ii)</w:t>
            </w:r>
            <w:r>
              <w:rPr>
                <w:rFonts w:eastAsia="宋体"/>
                <w:sz w:val="24"/>
                <w:szCs w:val="24"/>
                <w:lang w:eastAsia="zh-CN"/>
              </w:rPr>
              <w:t>PSP</w:t>
            </w:r>
            <w:r>
              <w:rPr>
                <w:rFonts w:eastAsia="宋体"/>
                <w:sz w:val="24"/>
                <w:szCs w:val="24"/>
              </w:rPr>
              <w:t>的功能要求</w:t>
            </w:r>
          </w:p>
        </w:tc>
      </w:tr>
    </w:tbl>
    <w:p>
      <w:pPr>
        <w:spacing w:before="2"/>
        <w:ind w:left="120"/>
        <w:jc w:val="both"/>
        <w:rPr>
          <w:rFonts w:eastAsia="宋体"/>
          <w:sz w:val="24"/>
          <w:szCs w:val="24"/>
        </w:rPr>
      </w:pPr>
      <w:r>
        <w:rPr>
          <w:rFonts w:eastAsia="宋体"/>
          <w:i/>
          <w:sz w:val="24"/>
          <w:szCs w:val="24"/>
        </w:rPr>
        <w:t>注:</w:t>
      </w:r>
      <w:r>
        <w:rPr>
          <w:rFonts w:eastAsia="宋体"/>
          <w:sz w:val="24"/>
          <w:szCs w:val="24"/>
          <w:lang w:eastAsia="zh-CN"/>
        </w:rPr>
        <w:t>PSP</w:t>
      </w:r>
      <w:r>
        <w:rPr>
          <w:rFonts w:eastAsia="宋体"/>
          <w:sz w:val="24"/>
          <w:szCs w:val="24"/>
        </w:rPr>
        <w:t xml:space="preserve"> =支付服务提供商。</w:t>
      </w:r>
    </w:p>
    <w:p>
      <w:pPr>
        <w:pStyle w:val="5"/>
        <w:spacing w:before="9" w:line="400" w:lineRule="exact"/>
        <w:rPr>
          <w:rFonts w:eastAsia="宋体"/>
          <w:sz w:val="28"/>
          <w:szCs w:val="28"/>
        </w:rPr>
      </w:pPr>
    </w:p>
    <w:p>
      <w:pPr>
        <w:pStyle w:val="11"/>
        <w:tabs>
          <w:tab w:val="left" w:pos="841"/>
        </w:tabs>
        <w:spacing w:line="400" w:lineRule="exact"/>
        <w:ind w:left="0" w:firstLine="0"/>
        <w:outlineLvl w:val="1"/>
        <w:rPr>
          <w:rFonts w:eastAsia="宋体"/>
          <w:b/>
          <w:sz w:val="28"/>
          <w:szCs w:val="28"/>
          <w:lang w:eastAsia="zh-CN"/>
        </w:rPr>
      </w:pPr>
      <w:r>
        <w:rPr>
          <w:rFonts w:eastAsia="宋体"/>
          <w:b/>
          <w:sz w:val="28"/>
          <w:szCs w:val="28"/>
          <w:lang w:eastAsia="zh-CN"/>
        </w:rPr>
        <w:t>1.4绿色金融（融资）的良好监管实践</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第1.4类分为三个子类，由几个指标组成，每个指标又可能有几个组成部分。</w:t>
      </w: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1.4.1风险管理</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与气候相关的风险包括物理风险和转型风险，环境风险与可能导致或受环境退化影响的活动有关。</w:t>
      </w:r>
      <w:r>
        <w:rPr>
          <w:rFonts w:eastAsia="宋体"/>
          <w:sz w:val="28"/>
          <w:szCs w:val="28"/>
          <w:vertAlign w:val="superscript"/>
          <w:lang w:eastAsia="zh-CN"/>
        </w:rPr>
        <w:t>46,47</w:t>
      </w:r>
      <w:r>
        <w:rPr>
          <w:rFonts w:eastAsia="宋体"/>
          <w:sz w:val="28"/>
          <w:szCs w:val="28"/>
          <w:lang w:eastAsia="zh-CN"/>
        </w:rPr>
        <w:t>对这些风险的认识和管理不仅对银行业的稳定很重要，而且对改变金融行为和推动资本朝着绿色目标发展也很重要。</w:t>
      </w:r>
      <w:r>
        <w:rPr>
          <w:rFonts w:eastAsia="宋体"/>
          <w:sz w:val="28"/>
          <w:szCs w:val="28"/>
          <w:vertAlign w:val="superscript"/>
          <w:lang w:eastAsia="zh-CN"/>
        </w:rPr>
        <w:t>48,49</w:t>
      </w:r>
      <w:r>
        <w:rPr>
          <w:rFonts w:eastAsia="宋体"/>
          <w:sz w:val="28"/>
          <w:szCs w:val="28"/>
          <w:lang w:eastAsia="zh-CN"/>
        </w:rPr>
        <w:t>因此，子类别1.4.1 -风险管理有一个指标:要求将气候/环境风险纳入风险管理框架(表14)。</w:t>
      </w:r>
    </w:p>
    <w:p>
      <w:pPr>
        <w:pStyle w:val="5"/>
        <w:spacing w:line="400" w:lineRule="exact"/>
        <w:ind w:firstLine="560" w:firstLineChars="200"/>
        <w:jc w:val="both"/>
        <w:rPr>
          <w:rFonts w:eastAsia="宋体"/>
          <w:sz w:val="28"/>
          <w:szCs w:val="28"/>
          <w:lang w:eastAsia="zh-CN"/>
        </w:rPr>
      </w:pPr>
    </w:p>
    <w:p>
      <w:pPr>
        <w:spacing w:line="400" w:lineRule="exact"/>
        <w:jc w:val="center"/>
        <w:rPr>
          <w:rFonts w:eastAsia="宋体"/>
          <w:b/>
          <w:sz w:val="28"/>
          <w:szCs w:val="28"/>
        </w:rPr>
      </w:pPr>
      <w:r>
        <w:rPr>
          <w:rFonts w:eastAsia="宋体"/>
          <w:b/>
          <w:sz w:val="28"/>
          <w:szCs w:val="28"/>
        </w:rPr>
        <w:t>表14</w:t>
      </w:r>
      <w:r>
        <w:rPr>
          <w:rFonts w:hint="eastAsia" w:eastAsia="宋体"/>
          <w:b/>
          <w:sz w:val="28"/>
          <w:szCs w:val="28"/>
          <w:lang w:eastAsia="zh-CN"/>
        </w:rPr>
        <w:t xml:space="preserve">. </w:t>
      </w:r>
      <w:r>
        <w:rPr>
          <w:rFonts w:eastAsia="宋体"/>
          <w:b/>
          <w:sz w:val="28"/>
          <w:szCs w:val="28"/>
        </w:rPr>
        <w:t>子类别1.4.1</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rPr>
        <w:t>风险管理</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5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12"/>
              <w:ind w:left="0"/>
              <w:jc w:val="both"/>
              <w:rPr>
                <w:rFonts w:eastAsia="宋体"/>
                <w:sz w:val="24"/>
                <w:szCs w:val="24"/>
              </w:rPr>
            </w:pPr>
          </w:p>
        </w:tc>
        <w:tc>
          <w:tcPr>
            <w:tcW w:w="2249"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5697" w:type="dxa"/>
            <w:shd w:val="clear" w:color="auto" w:fill="E7EBF5"/>
            <w:vAlign w:val="center"/>
          </w:tcPr>
          <w:p>
            <w:pPr>
              <w:pStyle w:val="1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tcBorders>
              <w:bottom w:val="single" w:color="000000" w:sz="6" w:space="0"/>
            </w:tcBorders>
            <w:vAlign w:val="center"/>
          </w:tcPr>
          <w:p>
            <w:pPr>
              <w:pStyle w:val="12"/>
              <w:ind w:left="0"/>
              <w:jc w:val="center"/>
              <w:rPr>
                <w:rFonts w:eastAsia="宋体"/>
                <w:sz w:val="24"/>
                <w:szCs w:val="24"/>
              </w:rPr>
            </w:pPr>
            <w:r>
              <w:rPr>
                <w:rFonts w:eastAsia="宋体"/>
                <w:sz w:val="24"/>
                <w:szCs w:val="24"/>
              </w:rPr>
              <w:t>1</w:t>
            </w:r>
          </w:p>
        </w:tc>
        <w:tc>
          <w:tcPr>
            <w:tcW w:w="2249" w:type="dxa"/>
            <w:tcBorders>
              <w:bottom w:val="single" w:color="000000" w:sz="6" w:space="0"/>
            </w:tcBorders>
            <w:vAlign w:val="center"/>
          </w:tcPr>
          <w:p>
            <w:pPr>
              <w:pStyle w:val="12"/>
              <w:ind w:left="105" w:right="121"/>
              <w:jc w:val="both"/>
              <w:rPr>
                <w:rFonts w:eastAsia="宋体"/>
                <w:sz w:val="24"/>
                <w:szCs w:val="24"/>
                <w:lang w:eastAsia="zh-CN"/>
              </w:rPr>
            </w:pPr>
            <w:r>
              <w:rPr>
                <w:rFonts w:eastAsia="宋体"/>
                <w:sz w:val="24"/>
                <w:szCs w:val="24"/>
                <w:lang w:eastAsia="zh-CN"/>
              </w:rPr>
              <w:t>将气候/环境风险纳入风险管理框架的要求</w:t>
            </w:r>
          </w:p>
        </w:tc>
        <w:tc>
          <w:tcPr>
            <w:tcW w:w="5697" w:type="dxa"/>
            <w:tcBorders>
              <w:bottom w:val="single" w:color="000000" w:sz="6" w:space="0"/>
            </w:tcBorders>
            <w:vAlign w:val="center"/>
          </w:tcPr>
          <w:p>
            <w:pPr>
              <w:pStyle w:val="12"/>
              <w:ind w:left="108"/>
              <w:jc w:val="both"/>
              <w:rPr>
                <w:rFonts w:eastAsia="宋体"/>
                <w:sz w:val="24"/>
                <w:szCs w:val="24"/>
                <w:lang w:eastAsia="zh-CN"/>
              </w:rPr>
            </w:pPr>
            <w:r>
              <w:rPr>
                <w:rFonts w:eastAsia="宋体"/>
                <w:sz w:val="24"/>
                <w:szCs w:val="24"/>
                <w:lang w:eastAsia="zh-CN"/>
              </w:rPr>
              <w:t>银行将气候/环境风险纳入其风险管理框架的指导或监管要求</w:t>
            </w:r>
          </w:p>
        </w:tc>
      </w:tr>
    </w:tbl>
    <w:p>
      <w:pPr>
        <w:pStyle w:val="5"/>
        <w:spacing w:before="8"/>
        <w:rPr>
          <w:b/>
          <w:sz w:val="21"/>
          <w:lang w:eastAsia="zh-CN"/>
        </w:rPr>
      </w:pP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1.4.2披露要求和影响报告</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披露要求，是指向投资者、贷款人和其他利益相关者提供相关信息的公司，进行与气候相关的财务披露。</w:t>
      </w:r>
      <w:r>
        <w:rPr>
          <w:rFonts w:eastAsia="宋体"/>
          <w:sz w:val="28"/>
          <w:szCs w:val="28"/>
          <w:vertAlign w:val="superscript"/>
          <w:lang w:eastAsia="zh-CN"/>
        </w:rPr>
        <w:t>50</w:t>
      </w:r>
      <w:r>
        <w:rPr>
          <w:rFonts w:eastAsia="宋体"/>
          <w:sz w:val="28"/>
          <w:szCs w:val="28"/>
          <w:lang w:eastAsia="zh-CN"/>
        </w:rPr>
        <w:t>影响报告是指确定收益的使用情况和已分配收益的项目的预期环境影响的报告。</w:t>
      </w:r>
      <w:r>
        <w:rPr>
          <w:rFonts w:eastAsia="宋体"/>
          <w:sz w:val="28"/>
          <w:szCs w:val="28"/>
          <w:vertAlign w:val="superscript"/>
          <w:lang w:eastAsia="zh-CN"/>
        </w:rPr>
        <w:t>51</w:t>
      </w:r>
      <w:r>
        <w:rPr>
          <w:rFonts w:eastAsia="宋体"/>
          <w:sz w:val="28"/>
          <w:szCs w:val="28"/>
          <w:lang w:eastAsia="zh-CN"/>
        </w:rPr>
        <w:t>披露要求和影响报告可以提高市场透明度，增强对气候相关风险和机遇的理解，促进资本有效配置到环境可持续的投资中，并促进向低碳经济的转型。</w:t>
      </w:r>
      <w:r>
        <w:rPr>
          <w:rFonts w:eastAsia="宋体"/>
          <w:sz w:val="28"/>
          <w:szCs w:val="28"/>
          <w:vertAlign w:val="superscript"/>
          <w:lang w:eastAsia="zh-CN"/>
        </w:rPr>
        <w:t>52,53</w:t>
      </w:r>
      <w:r>
        <w:rPr>
          <w:rFonts w:eastAsia="宋体"/>
          <w:sz w:val="28"/>
          <w:szCs w:val="28"/>
          <w:lang w:eastAsia="zh-CN"/>
        </w:rPr>
        <w:t>因此，子类别1.4.2有两个指标(表15)。</w:t>
      </w:r>
    </w:p>
    <w:p>
      <w:pPr>
        <w:pStyle w:val="5"/>
        <w:spacing w:line="400" w:lineRule="exact"/>
        <w:ind w:firstLine="560" w:firstLineChars="200"/>
        <w:jc w:val="both"/>
        <w:rPr>
          <w:rFonts w:eastAsia="宋体"/>
          <w:sz w:val="28"/>
          <w:szCs w:val="28"/>
          <w:lang w:eastAsia="zh-CN"/>
        </w:rPr>
      </w:pPr>
    </w:p>
    <w:p>
      <w:pPr>
        <w:spacing w:line="400" w:lineRule="exact"/>
        <w:jc w:val="center"/>
        <w:rPr>
          <w:rFonts w:eastAsia="宋体"/>
          <w:b/>
          <w:sz w:val="28"/>
          <w:szCs w:val="28"/>
          <w:lang w:eastAsia="zh-CN"/>
        </w:rPr>
      </w:pPr>
      <w:r>
        <w:rPr>
          <w:rFonts w:eastAsia="宋体"/>
          <w:b/>
          <w:sz w:val="28"/>
          <w:szCs w:val="28"/>
          <w:lang w:eastAsia="zh-CN"/>
        </w:rPr>
        <w:t>表15</w:t>
      </w:r>
      <w:r>
        <w:rPr>
          <w:rFonts w:hint="eastAsia" w:eastAsia="宋体"/>
          <w:b/>
          <w:sz w:val="28"/>
          <w:szCs w:val="28"/>
          <w:lang w:eastAsia="zh-CN"/>
        </w:rPr>
        <w:t xml:space="preserve">. </w:t>
      </w:r>
      <w:r>
        <w:rPr>
          <w:rFonts w:eastAsia="宋体"/>
          <w:b/>
          <w:sz w:val="28"/>
          <w:szCs w:val="28"/>
          <w:lang w:eastAsia="zh-CN"/>
        </w:rPr>
        <w:t>子类别1.4.2</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披露要求和影响报告</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5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2"/>
              <w:ind w:left="0"/>
              <w:jc w:val="both"/>
              <w:rPr>
                <w:rFonts w:eastAsia="宋体"/>
                <w:sz w:val="24"/>
                <w:szCs w:val="24"/>
                <w:lang w:eastAsia="zh-CN"/>
              </w:rPr>
            </w:pPr>
          </w:p>
        </w:tc>
        <w:tc>
          <w:tcPr>
            <w:tcW w:w="2249"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5714" w:type="dxa"/>
            <w:shd w:val="clear" w:color="auto" w:fill="E7EBF5"/>
            <w:vAlign w:val="center"/>
          </w:tcPr>
          <w:p>
            <w:pPr>
              <w:pStyle w:val="1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12"/>
              <w:spacing w:before="103"/>
              <w:jc w:val="both"/>
              <w:rPr>
                <w:rFonts w:eastAsia="宋体"/>
                <w:sz w:val="24"/>
                <w:szCs w:val="24"/>
              </w:rPr>
            </w:pPr>
            <w:r>
              <w:rPr>
                <w:rFonts w:eastAsia="宋体"/>
                <w:sz w:val="24"/>
                <w:szCs w:val="24"/>
              </w:rPr>
              <w:t>1</w:t>
            </w:r>
          </w:p>
        </w:tc>
        <w:tc>
          <w:tcPr>
            <w:tcW w:w="2249" w:type="dxa"/>
            <w:vAlign w:val="center"/>
          </w:tcPr>
          <w:p>
            <w:pPr>
              <w:pStyle w:val="12"/>
              <w:ind w:left="105"/>
              <w:jc w:val="both"/>
              <w:rPr>
                <w:rFonts w:eastAsia="宋体"/>
                <w:sz w:val="24"/>
                <w:szCs w:val="24"/>
                <w:lang w:eastAsia="zh-CN"/>
              </w:rPr>
            </w:pPr>
            <w:r>
              <w:rPr>
                <w:rFonts w:eastAsia="宋体"/>
                <w:sz w:val="24"/>
                <w:szCs w:val="24"/>
                <w:lang w:eastAsia="zh-CN"/>
              </w:rPr>
              <w:t>与气候相关的财务披露要求</w:t>
            </w:r>
          </w:p>
        </w:tc>
        <w:tc>
          <w:tcPr>
            <w:tcW w:w="5714" w:type="dxa"/>
            <w:vAlign w:val="center"/>
          </w:tcPr>
          <w:p>
            <w:pPr>
              <w:pStyle w:val="12"/>
              <w:ind w:left="108"/>
              <w:jc w:val="both"/>
              <w:rPr>
                <w:rFonts w:eastAsia="宋体"/>
                <w:sz w:val="24"/>
                <w:szCs w:val="24"/>
                <w:lang w:eastAsia="zh-CN"/>
              </w:rPr>
            </w:pPr>
            <w:r>
              <w:rPr>
                <w:rFonts w:eastAsia="宋体"/>
                <w:sz w:val="24"/>
                <w:szCs w:val="24"/>
                <w:lang w:eastAsia="zh-CN"/>
              </w:rPr>
              <w:t>在寻求绿色融资时，提交的界定与气候相关的财务披露的指南或法律要求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12"/>
              <w:jc w:val="both"/>
              <w:rPr>
                <w:rFonts w:eastAsia="宋体"/>
                <w:sz w:val="24"/>
                <w:szCs w:val="24"/>
              </w:rPr>
            </w:pPr>
            <w:r>
              <w:rPr>
                <w:rFonts w:eastAsia="宋体"/>
                <w:sz w:val="24"/>
                <w:szCs w:val="24"/>
              </w:rPr>
              <w:t>2</w:t>
            </w:r>
          </w:p>
        </w:tc>
        <w:tc>
          <w:tcPr>
            <w:tcW w:w="2249" w:type="dxa"/>
            <w:vAlign w:val="center"/>
          </w:tcPr>
          <w:p>
            <w:pPr>
              <w:pStyle w:val="12"/>
              <w:spacing w:before="1"/>
              <w:ind w:left="105"/>
              <w:jc w:val="both"/>
              <w:rPr>
                <w:rFonts w:eastAsia="宋体"/>
                <w:sz w:val="24"/>
                <w:szCs w:val="24"/>
                <w:lang w:eastAsia="zh-CN"/>
              </w:rPr>
            </w:pPr>
            <w:r>
              <w:rPr>
                <w:rFonts w:eastAsia="宋体"/>
                <w:sz w:val="24"/>
                <w:szCs w:val="24"/>
                <w:lang w:eastAsia="zh-CN"/>
              </w:rPr>
              <w:t>要求披露投资对环境的影响</w:t>
            </w:r>
          </w:p>
        </w:tc>
        <w:tc>
          <w:tcPr>
            <w:tcW w:w="5714" w:type="dxa"/>
            <w:vAlign w:val="center"/>
          </w:tcPr>
          <w:p>
            <w:pPr>
              <w:pStyle w:val="12"/>
              <w:ind w:left="0"/>
              <w:jc w:val="both"/>
              <w:rPr>
                <w:rFonts w:eastAsia="宋体"/>
                <w:sz w:val="24"/>
                <w:szCs w:val="24"/>
                <w:lang w:eastAsia="zh-CN"/>
              </w:rPr>
            </w:pPr>
            <w:r>
              <w:rPr>
                <w:rFonts w:eastAsia="宋体"/>
                <w:sz w:val="24"/>
                <w:szCs w:val="24"/>
                <w:lang w:eastAsia="zh-CN"/>
              </w:rPr>
              <w:t>企业影响报告的指导、法律或监管要求</w:t>
            </w:r>
          </w:p>
        </w:tc>
      </w:tr>
    </w:tbl>
    <w:p>
      <w:pPr>
        <w:spacing w:line="206" w:lineRule="exact"/>
        <w:rPr>
          <w:sz w:val="18"/>
          <w:lang w:eastAsia="zh-CN"/>
        </w:rPr>
        <w:sectPr>
          <w:pgSz w:w="12240" w:h="15840"/>
          <w:pgMar w:top="1440" w:right="1800" w:bottom="1440" w:left="1800" w:header="720" w:footer="720" w:gutter="0"/>
          <w:cols w:space="720" w:num="1"/>
        </w:sectPr>
      </w:pP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1.4.3绿色融资的可获得性和绿色原则的采用</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绿色贷款发放框架可以通过提供在整个绿色贷款市场使用的市场标准和指南的推荐框架来帮助促进绿色贷款市场的发展。</w:t>
      </w:r>
      <w:r>
        <w:rPr>
          <w:rFonts w:eastAsia="宋体"/>
          <w:sz w:val="28"/>
          <w:szCs w:val="28"/>
          <w:vertAlign w:val="superscript"/>
          <w:lang w:eastAsia="zh-CN"/>
        </w:rPr>
        <w:t>54</w:t>
      </w:r>
      <w:r>
        <w:rPr>
          <w:rFonts w:eastAsia="宋体"/>
          <w:sz w:val="28"/>
          <w:szCs w:val="28"/>
          <w:lang w:eastAsia="zh-CN"/>
        </w:rPr>
        <w:t>此外，获得绿色贷款的要求对于防止</w:t>
      </w:r>
      <w:r>
        <w:rPr>
          <w:rFonts w:hint="eastAsia" w:eastAsia="宋体"/>
          <w:sz w:val="28"/>
          <w:szCs w:val="28"/>
          <w:lang w:eastAsia="zh-CN"/>
        </w:rPr>
        <w:t>“</w:t>
      </w:r>
      <w:r>
        <w:rPr>
          <w:rFonts w:eastAsia="宋体"/>
          <w:sz w:val="28"/>
          <w:szCs w:val="28"/>
          <w:lang w:eastAsia="zh-CN"/>
        </w:rPr>
        <w:t>洗</w:t>
      </w:r>
      <w:r>
        <w:rPr>
          <w:rFonts w:eastAsia="宋体"/>
          <w:sz w:val="28"/>
          <w:szCs w:val="28"/>
          <w:vertAlign w:val="superscript"/>
          <w:lang w:eastAsia="zh-CN"/>
        </w:rPr>
        <w:t>55</w:t>
      </w:r>
      <w:r>
        <w:rPr>
          <w:rFonts w:eastAsia="宋体"/>
          <w:sz w:val="28"/>
          <w:szCs w:val="28"/>
          <w:lang w:eastAsia="zh-CN"/>
        </w:rPr>
        <w:t>绿</w:t>
      </w:r>
      <w:r>
        <w:rPr>
          <w:rFonts w:hint="eastAsia" w:eastAsia="宋体"/>
          <w:sz w:val="28"/>
          <w:szCs w:val="28"/>
          <w:lang w:eastAsia="zh-CN"/>
        </w:rPr>
        <w:t>”</w:t>
      </w:r>
      <w:r>
        <w:rPr>
          <w:rFonts w:eastAsia="宋体"/>
          <w:sz w:val="28"/>
          <w:szCs w:val="28"/>
          <w:lang w:eastAsia="zh-CN"/>
        </w:rPr>
        <w:t>很重要，并增加了另一层验证，即正在融资的活动是否符合既定标准。</w:t>
      </w:r>
      <w:r>
        <w:rPr>
          <w:rFonts w:eastAsia="宋体"/>
          <w:sz w:val="28"/>
          <w:szCs w:val="28"/>
          <w:vertAlign w:val="superscript"/>
          <w:lang w:eastAsia="zh-CN"/>
        </w:rPr>
        <w:t>56,57</w:t>
      </w:r>
      <w:r>
        <w:rPr>
          <w:rFonts w:eastAsia="宋体"/>
          <w:sz w:val="28"/>
          <w:szCs w:val="28"/>
          <w:lang w:eastAsia="zh-CN"/>
        </w:rPr>
        <w:t>因此，子类别1.4.3有两个指标(表16)。</w:t>
      </w:r>
    </w:p>
    <w:p>
      <w:pPr>
        <w:pStyle w:val="5"/>
        <w:spacing w:line="400" w:lineRule="exact"/>
        <w:ind w:firstLine="560" w:firstLineChars="200"/>
        <w:rPr>
          <w:rFonts w:eastAsia="宋体"/>
          <w:sz w:val="28"/>
          <w:szCs w:val="28"/>
          <w:lang w:eastAsia="zh-CN"/>
        </w:rPr>
      </w:pPr>
    </w:p>
    <w:p>
      <w:pPr>
        <w:spacing w:line="400" w:lineRule="exact"/>
        <w:ind w:firstLine="562" w:firstLineChars="200"/>
        <w:jc w:val="both"/>
        <w:rPr>
          <w:rFonts w:eastAsia="宋体"/>
          <w:b/>
          <w:sz w:val="28"/>
          <w:szCs w:val="28"/>
          <w:lang w:eastAsia="zh-CN"/>
        </w:rPr>
      </w:pPr>
      <w:r>
        <w:rPr>
          <w:rFonts w:eastAsia="宋体"/>
          <w:b/>
          <w:sz w:val="28"/>
          <w:szCs w:val="28"/>
          <w:lang w:eastAsia="zh-CN"/>
        </w:rPr>
        <w:t>表16</w:t>
      </w:r>
      <w:r>
        <w:rPr>
          <w:rFonts w:hint="eastAsia" w:eastAsia="宋体"/>
          <w:b/>
          <w:sz w:val="28"/>
          <w:szCs w:val="28"/>
          <w:lang w:eastAsia="zh-CN"/>
        </w:rPr>
        <w:t xml:space="preserve">. </w:t>
      </w:r>
      <w:r>
        <w:rPr>
          <w:rFonts w:eastAsia="宋体"/>
          <w:b/>
          <w:sz w:val="28"/>
          <w:szCs w:val="28"/>
          <w:lang w:eastAsia="zh-CN"/>
        </w:rPr>
        <w:t>子类别1.4.3</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绿色融资的可获得性和绿色原则的采用</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2"/>
        <w:gridCol w:w="2255"/>
        <w:gridCol w:w="57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442" w:type="dxa"/>
            <w:shd w:val="clear" w:color="auto" w:fill="E7EBF5"/>
            <w:vAlign w:val="center"/>
          </w:tcPr>
          <w:p>
            <w:pPr>
              <w:pStyle w:val="12"/>
              <w:ind w:left="0"/>
              <w:jc w:val="both"/>
              <w:rPr>
                <w:rFonts w:eastAsia="宋体"/>
                <w:sz w:val="24"/>
                <w:szCs w:val="24"/>
                <w:lang w:eastAsia="zh-CN"/>
              </w:rPr>
            </w:pPr>
          </w:p>
        </w:tc>
        <w:tc>
          <w:tcPr>
            <w:tcW w:w="2255" w:type="dxa"/>
            <w:shd w:val="clear" w:color="auto" w:fill="E7EBF5"/>
            <w:vAlign w:val="center"/>
          </w:tcPr>
          <w:p>
            <w:pPr>
              <w:pStyle w:val="12"/>
              <w:jc w:val="center"/>
              <w:rPr>
                <w:rFonts w:eastAsia="宋体"/>
                <w:b/>
                <w:sz w:val="24"/>
                <w:szCs w:val="24"/>
              </w:rPr>
            </w:pPr>
            <w:r>
              <w:rPr>
                <w:rFonts w:eastAsia="宋体"/>
                <w:b/>
                <w:spacing w:val="-2"/>
                <w:sz w:val="24"/>
                <w:szCs w:val="24"/>
              </w:rPr>
              <w:t>指标</w:t>
            </w:r>
          </w:p>
        </w:tc>
        <w:tc>
          <w:tcPr>
            <w:tcW w:w="5707" w:type="dxa"/>
            <w:shd w:val="clear" w:color="auto" w:fill="E7EBF5"/>
            <w:vAlign w:val="center"/>
          </w:tcPr>
          <w:p>
            <w:pPr>
              <w:pStyle w:val="12"/>
              <w:ind w:left="-7"/>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2" w:type="dxa"/>
            <w:vAlign w:val="center"/>
          </w:tcPr>
          <w:p>
            <w:pPr>
              <w:pStyle w:val="12"/>
              <w:spacing w:before="103"/>
              <w:jc w:val="both"/>
              <w:rPr>
                <w:rFonts w:eastAsia="宋体"/>
                <w:sz w:val="24"/>
                <w:szCs w:val="24"/>
              </w:rPr>
            </w:pPr>
            <w:r>
              <w:rPr>
                <w:rFonts w:eastAsia="宋体"/>
                <w:sz w:val="24"/>
                <w:szCs w:val="24"/>
              </w:rPr>
              <w:t>1</w:t>
            </w:r>
          </w:p>
        </w:tc>
        <w:tc>
          <w:tcPr>
            <w:tcW w:w="2255" w:type="dxa"/>
            <w:vAlign w:val="center"/>
          </w:tcPr>
          <w:p>
            <w:pPr>
              <w:pStyle w:val="12"/>
              <w:ind w:right="87"/>
              <w:jc w:val="both"/>
              <w:rPr>
                <w:rFonts w:eastAsia="宋体"/>
                <w:sz w:val="24"/>
                <w:szCs w:val="24"/>
                <w:lang w:eastAsia="zh-CN"/>
              </w:rPr>
            </w:pPr>
            <w:r>
              <w:rPr>
                <w:rFonts w:eastAsia="宋体"/>
                <w:sz w:val="24"/>
                <w:szCs w:val="24"/>
                <w:lang w:eastAsia="zh-CN"/>
              </w:rPr>
              <w:t>绿色融资框架的可获得性</w:t>
            </w:r>
          </w:p>
        </w:tc>
        <w:tc>
          <w:tcPr>
            <w:tcW w:w="5707" w:type="dxa"/>
            <w:vAlign w:val="center"/>
          </w:tcPr>
          <w:p>
            <w:pPr>
              <w:pStyle w:val="12"/>
              <w:spacing w:before="103"/>
              <w:ind w:left="106"/>
              <w:jc w:val="both"/>
              <w:rPr>
                <w:rFonts w:eastAsia="宋体"/>
                <w:sz w:val="24"/>
                <w:szCs w:val="24"/>
              </w:rPr>
            </w:pPr>
            <w:r>
              <w:rPr>
                <w:rFonts w:eastAsia="宋体"/>
                <w:sz w:val="24"/>
                <w:szCs w:val="24"/>
              </w:rPr>
              <w:t>绿色贷款发放框架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2" w:type="dxa"/>
            <w:vAlign w:val="center"/>
          </w:tcPr>
          <w:p>
            <w:pPr>
              <w:pStyle w:val="12"/>
              <w:jc w:val="both"/>
              <w:rPr>
                <w:rFonts w:eastAsia="宋体"/>
                <w:sz w:val="24"/>
                <w:szCs w:val="24"/>
              </w:rPr>
            </w:pPr>
            <w:r>
              <w:rPr>
                <w:rFonts w:eastAsia="宋体"/>
                <w:sz w:val="24"/>
                <w:szCs w:val="24"/>
              </w:rPr>
              <w:t>2</w:t>
            </w:r>
          </w:p>
        </w:tc>
        <w:tc>
          <w:tcPr>
            <w:tcW w:w="2255" w:type="dxa"/>
            <w:vAlign w:val="center"/>
          </w:tcPr>
          <w:p>
            <w:pPr>
              <w:pStyle w:val="12"/>
              <w:jc w:val="both"/>
              <w:rPr>
                <w:rFonts w:eastAsia="宋体"/>
                <w:sz w:val="24"/>
                <w:szCs w:val="24"/>
                <w:lang w:eastAsia="zh-CN"/>
              </w:rPr>
            </w:pPr>
            <w:r>
              <w:rPr>
                <w:rFonts w:eastAsia="宋体"/>
                <w:sz w:val="24"/>
                <w:szCs w:val="24"/>
                <w:lang w:eastAsia="zh-CN"/>
              </w:rPr>
              <w:t>绿色贷款外部审查要求的指导方针</w:t>
            </w:r>
          </w:p>
        </w:tc>
        <w:tc>
          <w:tcPr>
            <w:tcW w:w="5707" w:type="dxa"/>
            <w:vAlign w:val="center"/>
          </w:tcPr>
          <w:p>
            <w:pPr>
              <w:pStyle w:val="12"/>
              <w:spacing w:before="105"/>
              <w:ind w:left="106"/>
              <w:jc w:val="both"/>
              <w:rPr>
                <w:rFonts w:eastAsia="宋体"/>
                <w:sz w:val="24"/>
                <w:szCs w:val="24"/>
                <w:lang w:eastAsia="zh-CN"/>
              </w:rPr>
            </w:pPr>
            <w:r>
              <w:rPr>
                <w:rFonts w:eastAsia="宋体"/>
                <w:sz w:val="24"/>
                <w:szCs w:val="24"/>
                <w:lang w:eastAsia="zh-CN"/>
              </w:rPr>
              <w:t>获得绿色贷款外部审查指南(顾问审核、验证、认证、评级)</w:t>
            </w:r>
          </w:p>
        </w:tc>
      </w:tr>
    </w:tbl>
    <w:p>
      <w:pPr>
        <w:pStyle w:val="5"/>
        <w:spacing w:line="400" w:lineRule="exact"/>
        <w:ind w:firstLine="562" w:firstLineChars="200"/>
        <w:rPr>
          <w:rFonts w:eastAsia="宋体"/>
          <w:b/>
          <w:sz w:val="28"/>
          <w:szCs w:val="28"/>
          <w:lang w:eastAsia="zh-CN"/>
        </w:rPr>
      </w:pPr>
    </w:p>
    <w:p>
      <w:pPr>
        <w:tabs>
          <w:tab w:val="left" w:pos="840"/>
        </w:tabs>
        <w:spacing w:line="400" w:lineRule="exact"/>
        <w:outlineLvl w:val="3"/>
        <w:rPr>
          <w:rFonts w:eastAsia="宋体"/>
          <w:b/>
          <w:color w:val="2E5395"/>
          <w:sz w:val="28"/>
          <w:szCs w:val="28"/>
          <w:lang w:eastAsia="zh-CN"/>
        </w:rPr>
      </w:pPr>
      <w:r>
        <w:rPr>
          <w:rFonts w:eastAsia="宋体"/>
          <w:b/>
          <w:color w:val="2E5395"/>
          <w:sz w:val="28"/>
          <w:szCs w:val="28"/>
          <w:lang w:eastAsia="zh-CN"/>
        </w:rPr>
        <w:t>2.维度II</w:t>
      </w:r>
      <w:r>
        <w:rPr>
          <w:rFonts w:hint="eastAsia" w:eastAsia="宋体"/>
          <w:b/>
          <w:color w:val="2E5395"/>
          <w:sz w:val="28"/>
          <w:szCs w:val="28"/>
          <w:lang w:eastAsia="zh-CN"/>
        </w:rPr>
        <w:t>.</w:t>
      </w:r>
      <w:r>
        <w:rPr>
          <w:rFonts w:eastAsia="宋体"/>
          <w:b/>
          <w:color w:val="2E5395"/>
          <w:sz w:val="28"/>
          <w:szCs w:val="28"/>
          <w:lang w:eastAsia="zh-CN"/>
        </w:rPr>
        <w:t>公共服务:信贷基础设施信息的可及性和融资渠道</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表17显示了维度II的结构，它涵盖了信贷基础设施中的信息可及性和融资渠道的获取。该维度的每个类别和子类别将按照表中所示的顺序进行更详细的讨论(表17)。</w:t>
      </w:r>
    </w:p>
    <w:p>
      <w:pPr>
        <w:spacing w:line="400" w:lineRule="exact"/>
        <w:jc w:val="center"/>
        <w:rPr>
          <w:rFonts w:eastAsia="宋体"/>
          <w:b/>
          <w:sz w:val="28"/>
          <w:szCs w:val="28"/>
          <w:lang w:eastAsia="zh-CN"/>
        </w:rPr>
      </w:pPr>
      <w:r>
        <w:rPr>
          <w:rFonts w:eastAsia="宋体"/>
          <w:b/>
          <w:sz w:val="28"/>
          <w:szCs w:val="28"/>
          <w:lang w:eastAsia="zh-CN"/>
        </w:rPr>
        <w:t>表17</w:t>
      </w:r>
      <w:r>
        <w:rPr>
          <w:rFonts w:hint="eastAsia" w:eastAsia="宋体"/>
          <w:b/>
          <w:sz w:val="28"/>
          <w:szCs w:val="28"/>
          <w:lang w:eastAsia="zh-CN"/>
        </w:rPr>
        <w:t xml:space="preserve">. </w:t>
      </w:r>
      <w:r>
        <w:rPr>
          <w:rFonts w:eastAsia="宋体"/>
          <w:b/>
          <w:sz w:val="28"/>
          <w:szCs w:val="28"/>
          <w:lang w:eastAsia="zh-CN"/>
        </w:rPr>
        <w:t>维度II</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信贷基础设施信息的可及性和融资渠道</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7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shd w:val="clear" w:color="auto" w:fill="E7EBF5"/>
            <w:vAlign w:val="center"/>
          </w:tcPr>
          <w:p>
            <w:pPr>
              <w:pStyle w:val="12"/>
              <w:jc w:val="both"/>
              <w:rPr>
                <w:rFonts w:eastAsia="宋体"/>
                <w:b/>
                <w:sz w:val="24"/>
                <w:szCs w:val="24"/>
              </w:rPr>
            </w:pPr>
            <w:r>
              <w:rPr>
                <w:rFonts w:eastAsia="宋体"/>
                <w:b/>
                <w:spacing w:val="-5"/>
                <w:sz w:val="24"/>
                <w:szCs w:val="24"/>
              </w:rPr>
              <w:t>2.1</w:t>
            </w:r>
          </w:p>
        </w:tc>
        <w:tc>
          <w:tcPr>
            <w:tcW w:w="7723" w:type="dxa"/>
            <w:shd w:val="clear" w:color="auto" w:fill="E7EBF5"/>
            <w:vAlign w:val="center"/>
          </w:tcPr>
          <w:p>
            <w:pPr>
              <w:pStyle w:val="12"/>
              <w:jc w:val="both"/>
              <w:rPr>
                <w:rFonts w:eastAsia="宋体"/>
                <w:b/>
                <w:sz w:val="24"/>
                <w:szCs w:val="24"/>
                <w:lang w:eastAsia="zh-CN"/>
              </w:rPr>
            </w:pPr>
            <w:bookmarkStart w:id="11" w:name="OLE_LINK11"/>
            <w:r>
              <w:rPr>
                <w:rFonts w:eastAsia="宋体"/>
                <w:b/>
                <w:sz w:val="24"/>
                <w:szCs w:val="24"/>
                <w:lang w:eastAsia="zh-CN"/>
              </w:rPr>
              <w:t>征信局和征信登记处</w:t>
            </w:r>
            <w:bookmarkEnd w:id="11"/>
            <w:r>
              <w:rPr>
                <w:rFonts w:eastAsia="宋体"/>
                <w:b/>
                <w:sz w:val="24"/>
                <w:szCs w:val="24"/>
                <w:lang w:eastAsia="zh-CN"/>
              </w:rPr>
              <w:t>的运作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vAlign w:val="center"/>
          </w:tcPr>
          <w:p>
            <w:pPr>
              <w:pStyle w:val="12"/>
              <w:jc w:val="both"/>
              <w:rPr>
                <w:rFonts w:eastAsia="宋体"/>
                <w:sz w:val="24"/>
                <w:szCs w:val="24"/>
              </w:rPr>
            </w:pPr>
            <w:r>
              <w:rPr>
                <w:rFonts w:eastAsia="宋体"/>
                <w:spacing w:val="-2"/>
                <w:sz w:val="24"/>
                <w:szCs w:val="24"/>
              </w:rPr>
              <w:t>2.1.1</w:t>
            </w:r>
          </w:p>
        </w:tc>
        <w:tc>
          <w:tcPr>
            <w:tcW w:w="7723" w:type="dxa"/>
            <w:vAlign w:val="center"/>
          </w:tcPr>
          <w:p>
            <w:pPr>
              <w:pStyle w:val="12"/>
              <w:jc w:val="both"/>
              <w:rPr>
                <w:rFonts w:eastAsia="宋体"/>
                <w:sz w:val="24"/>
                <w:szCs w:val="24"/>
                <w:lang w:eastAsia="zh-CN"/>
              </w:rPr>
            </w:pPr>
            <w:r>
              <w:rPr>
                <w:rFonts w:eastAsia="宋体"/>
                <w:sz w:val="24"/>
                <w:szCs w:val="24"/>
                <w:lang w:eastAsia="zh-CN"/>
              </w:rPr>
              <w:t>数据覆盖和信用信息获取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715" w:type="dxa"/>
            <w:shd w:val="clear" w:color="auto" w:fill="E7EBF5"/>
            <w:vAlign w:val="center"/>
          </w:tcPr>
          <w:p>
            <w:pPr>
              <w:pStyle w:val="12"/>
              <w:spacing w:before="2"/>
              <w:jc w:val="both"/>
              <w:rPr>
                <w:rFonts w:eastAsia="宋体"/>
                <w:b/>
                <w:sz w:val="24"/>
                <w:szCs w:val="24"/>
              </w:rPr>
            </w:pPr>
            <w:r>
              <w:rPr>
                <w:rFonts w:eastAsia="宋体"/>
                <w:b/>
                <w:spacing w:val="-5"/>
                <w:sz w:val="24"/>
                <w:szCs w:val="24"/>
              </w:rPr>
              <w:t>2.2</w:t>
            </w:r>
          </w:p>
        </w:tc>
        <w:tc>
          <w:tcPr>
            <w:tcW w:w="7723" w:type="dxa"/>
            <w:shd w:val="clear" w:color="auto" w:fill="E7EBF5"/>
            <w:vAlign w:val="center"/>
          </w:tcPr>
          <w:p>
            <w:pPr>
              <w:pStyle w:val="12"/>
              <w:spacing w:before="2"/>
              <w:jc w:val="both"/>
              <w:rPr>
                <w:rFonts w:eastAsia="宋体"/>
                <w:b/>
                <w:sz w:val="24"/>
                <w:szCs w:val="24"/>
              </w:rPr>
            </w:pPr>
            <w:r>
              <w:rPr>
                <w:rFonts w:eastAsia="宋体"/>
                <w:b/>
                <w:sz w:val="24"/>
                <w:szCs w:val="24"/>
                <w:lang w:eastAsia="zh-CN"/>
              </w:rPr>
              <w:t>抵押登记</w:t>
            </w:r>
            <w:r>
              <w:rPr>
                <w:rFonts w:eastAsia="宋体"/>
                <w:b/>
                <w:sz w:val="24"/>
                <w:szCs w:val="24"/>
              </w:rPr>
              <w:t>处的运作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vAlign w:val="center"/>
          </w:tcPr>
          <w:p>
            <w:pPr>
              <w:pStyle w:val="12"/>
              <w:jc w:val="both"/>
              <w:rPr>
                <w:rFonts w:eastAsia="宋体"/>
                <w:sz w:val="24"/>
                <w:szCs w:val="24"/>
              </w:rPr>
            </w:pPr>
            <w:r>
              <w:rPr>
                <w:rFonts w:eastAsia="宋体"/>
                <w:spacing w:val="-2"/>
                <w:sz w:val="24"/>
                <w:szCs w:val="24"/>
              </w:rPr>
              <w:t>2.2.1</w:t>
            </w:r>
          </w:p>
        </w:tc>
        <w:tc>
          <w:tcPr>
            <w:tcW w:w="7723" w:type="dxa"/>
            <w:vAlign w:val="center"/>
          </w:tcPr>
          <w:p>
            <w:pPr>
              <w:pStyle w:val="12"/>
              <w:jc w:val="both"/>
              <w:rPr>
                <w:rFonts w:eastAsia="宋体"/>
                <w:sz w:val="24"/>
                <w:szCs w:val="24"/>
              </w:rPr>
            </w:pPr>
            <w:r>
              <w:rPr>
                <w:rFonts w:eastAsia="宋体"/>
                <w:sz w:val="24"/>
                <w:szCs w:val="24"/>
                <w:lang w:eastAsia="zh-CN"/>
              </w:rPr>
              <w:t>抵押登记处</w:t>
            </w:r>
            <w:r>
              <w:rPr>
                <w:rFonts w:eastAsia="宋体"/>
                <w:sz w:val="24"/>
                <w:szCs w:val="24"/>
              </w:rPr>
              <w:t>的特点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shd w:val="clear" w:color="auto" w:fill="E7EBF5"/>
            <w:vAlign w:val="center"/>
          </w:tcPr>
          <w:p>
            <w:pPr>
              <w:pStyle w:val="12"/>
              <w:jc w:val="both"/>
              <w:rPr>
                <w:rFonts w:eastAsia="宋体"/>
                <w:b/>
                <w:sz w:val="24"/>
                <w:szCs w:val="24"/>
              </w:rPr>
            </w:pPr>
            <w:r>
              <w:rPr>
                <w:rFonts w:eastAsia="宋体"/>
                <w:b/>
                <w:spacing w:val="-5"/>
                <w:sz w:val="24"/>
                <w:szCs w:val="24"/>
              </w:rPr>
              <w:t>2.3</w:t>
            </w:r>
          </w:p>
        </w:tc>
        <w:tc>
          <w:tcPr>
            <w:tcW w:w="7723" w:type="dxa"/>
            <w:shd w:val="clear" w:color="auto" w:fill="E7EBF5"/>
            <w:vAlign w:val="center"/>
          </w:tcPr>
          <w:p>
            <w:pPr>
              <w:pStyle w:val="12"/>
              <w:jc w:val="both"/>
              <w:rPr>
                <w:rFonts w:eastAsia="宋体"/>
                <w:b/>
                <w:sz w:val="24"/>
                <w:szCs w:val="24"/>
              </w:rPr>
            </w:pPr>
            <w:r>
              <w:rPr>
                <w:rFonts w:eastAsia="宋体"/>
                <w:b/>
                <w:sz w:val="24"/>
                <w:szCs w:val="24"/>
              </w:rPr>
              <w:t>绿色金融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vAlign w:val="center"/>
          </w:tcPr>
          <w:p>
            <w:pPr>
              <w:pStyle w:val="12"/>
              <w:jc w:val="both"/>
              <w:rPr>
                <w:rFonts w:eastAsia="宋体"/>
                <w:sz w:val="24"/>
                <w:szCs w:val="24"/>
              </w:rPr>
            </w:pPr>
            <w:r>
              <w:rPr>
                <w:rFonts w:eastAsia="宋体"/>
                <w:spacing w:val="-2"/>
                <w:sz w:val="24"/>
                <w:szCs w:val="24"/>
              </w:rPr>
              <w:t>2.3.1</w:t>
            </w:r>
          </w:p>
        </w:tc>
        <w:tc>
          <w:tcPr>
            <w:tcW w:w="7723" w:type="dxa"/>
            <w:vAlign w:val="center"/>
          </w:tcPr>
          <w:p>
            <w:pPr>
              <w:pStyle w:val="12"/>
              <w:jc w:val="both"/>
              <w:rPr>
                <w:rFonts w:eastAsia="宋体"/>
                <w:sz w:val="24"/>
                <w:szCs w:val="24"/>
                <w:lang w:eastAsia="zh-CN"/>
              </w:rPr>
            </w:pPr>
            <w:r>
              <w:rPr>
                <w:rFonts w:eastAsia="宋体"/>
                <w:sz w:val="24"/>
                <w:szCs w:val="24"/>
                <w:lang w:eastAsia="zh-CN"/>
              </w:rPr>
              <w:t>绿色贷款的可获得性和要求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shd w:val="clear" w:color="auto" w:fill="E7EBF5"/>
            <w:vAlign w:val="center"/>
          </w:tcPr>
          <w:p>
            <w:pPr>
              <w:pStyle w:val="12"/>
              <w:jc w:val="both"/>
              <w:rPr>
                <w:rFonts w:eastAsia="宋体"/>
                <w:b/>
                <w:sz w:val="24"/>
                <w:szCs w:val="24"/>
              </w:rPr>
            </w:pPr>
            <w:r>
              <w:rPr>
                <w:rFonts w:eastAsia="宋体"/>
                <w:b/>
                <w:spacing w:val="-5"/>
                <w:sz w:val="24"/>
                <w:szCs w:val="24"/>
              </w:rPr>
              <w:t>2.4</w:t>
            </w:r>
          </w:p>
        </w:tc>
        <w:tc>
          <w:tcPr>
            <w:tcW w:w="7723" w:type="dxa"/>
            <w:shd w:val="clear" w:color="auto" w:fill="E7EBF5"/>
            <w:vAlign w:val="center"/>
          </w:tcPr>
          <w:p>
            <w:pPr>
              <w:pStyle w:val="12"/>
              <w:jc w:val="both"/>
              <w:rPr>
                <w:rFonts w:eastAsia="宋体"/>
                <w:b/>
                <w:sz w:val="24"/>
                <w:szCs w:val="24"/>
              </w:rPr>
            </w:pPr>
            <w:r>
              <w:rPr>
                <w:rFonts w:eastAsia="宋体"/>
                <w:b/>
                <w:sz w:val="24"/>
                <w:szCs w:val="24"/>
              </w:rPr>
              <w:t>性别金融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715" w:type="dxa"/>
            <w:vAlign w:val="center"/>
          </w:tcPr>
          <w:p>
            <w:pPr>
              <w:pStyle w:val="12"/>
              <w:jc w:val="both"/>
              <w:rPr>
                <w:rFonts w:eastAsia="宋体"/>
                <w:sz w:val="24"/>
                <w:szCs w:val="24"/>
              </w:rPr>
            </w:pPr>
            <w:r>
              <w:rPr>
                <w:rFonts w:eastAsia="宋体"/>
                <w:spacing w:val="-2"/>
                <w:sz w:val="24"/>
                <w:szCs w:val="24"/>
              </w:rPr>
              <w:t>2.4.1</w:t>
            </w:r>
          </w:p>
        </w:tc>
        <w:tc>
          <w:tcPr>
            <w:tcW w:w="7723" w:type="dxa"/>
            <w:vAlign w:val="center"/>
          </w:tcPr>
          <w:p>
            <w:pPr>
              <w:pStyle w:val="12"/>
              <w:jc w:val="both"/>
              <w:rPr>
                <w:rFonts w:eastAsia="宋体"/>
                <w:sz w:val="24"/>
                <w:szCs w:val="24"/>
              </w:rPr>
            </w:pPr>
            <w:r>
              <w:rPr>
                <w:rFonts w:eastAsia="宋体"/>
                <w:sz w:val="24"/>
                <w:szCs w:val="24"/>
              </w:rPr>
              <w:t>促进妇女获得融资</w:t>
            </w:r>
          </w:p>
        </w:tc>
      </w:tr>
    </w:tbl>
    <w:p>
      <w:pPr>
        <w:pStyle w:val="5"/>
        <w:spacing w:before="7"/>
        <w:rPr>
          <w:b/>
          <w:sz w:val="23"/>
        </w:rPr>
      </w:pPr>
    </w:p>
    <w:p>
      <w:pPr>
        <w:pStyle w:val="11"/>
        <w:tabs>
          <w:tab w:val="left" w:pos="481"/>
        </w:tabs>
        <w:spacing w:line="400" w:lineRule="exact"/>
        <w:ind w:left="0" w:firstLine="0"/>
        <w:outlineLvl w:val="1"/>
        <w:rPr>
          <w:rFonts w:eastAsia="宋体"/>
          <w:b/>
          <w:sz w:val="28"/>
          <w:szCs w:val="28"/>
          <w:lang w:eastAsia="zh-CN"/>
        </w:rPr>
      </w:pPr>
      <w:r>
        <w:rPr>
          <w:rFonts w:eastAsia="宋体"/>
          <w:b/>
          <w:sz w:val="28"/>
          <w:szCs w:val="28"/>
          <w:lang w:eastAsia="zh-CN"/>
        </w:rPr>
        <w:t>2.1征信局（信贷局）和登记处的运作</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2.1类有一个由若干指标组成的子类，每一个指标又可能由若干组成部分组成。</w:t>
      </w: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2.1.1数据覆盖和信贷信息获取</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征信局和征信登记处</w:t>
      </w:r>
      <w:r>
        <w:rPr>
          <w:rFonts w:eastAsia="宋体"/>
          <w:sz w:val="28"/>
          <w:szCs w:val="28"/>
          <w:vertAlign w:val="superscript"/>
          <w:lang w:eastAsia="zh-CN"/>
        </w:rPr>
        <w:t>58</w:t>
      </w:r>
      <w:r>
        <w:rPr>
          <w:rFonts w:eastAsia="宋体"/>
          <w:sz w:val="28"/>
          <w:szCs w:val="28"/>
          <w:lang w:eastAsia="zh-CN"/>
        </w:rPr>
        <w:t>收集借款人(个人和公司)在金融系统中的信用信息，促进债权人之间的信用信息交流。这通过减少信息不对称，提高了贷款过程的效率。</w:t>
      </w:r>
      <w:r>
        <w:rPr>
          <w:rFonts w:eastAsia="宋体"/>
          <w:sz w:val="28"/>
          <w:szCs w:val="28"/>
          <w:vertAlign w:val="superscript"/>
          <w:lang w:eastAsia="zh-CN"/>
        </w:rPr>
        <w:t>59,60</w:t>
      </w:r>
      <w:r>
        <w:rPr>
          <w:rFonts w:eastAsia="宋体"/>
          <w:sz w:val="28"/>
          <w:szCs w:val="28"/>
          <w:lang w:eastAsia="zh-CN"/>
        </w:rPr>
        <w:t>通过获取借款人的信用信息，贷款人可以更好地了解与每个潜在借款人相关的贷款风险。</w:t>
      </w:r>
      <w:r>
        <w:rPr>
          <w:rFonts w:eastAsia="宋体"/>
          <w:sz w:val="28"/>
          <w:szCs w:val="28"/>
          <w:vertAlign w:val="superscript"/>
          <w:lang w:eastAsia="zh-CN"/>
        </w:rPr>
        <w:t>61</w:t>
      </w:r>
      <w:r>
        <w:rPr>
          <w:rFonts w:eastAsia="宋体"/>
          <w:sz w:val="28"/>
          <w:szCs w:val="28"/>
          <w:lang w:eastAsia="zh-CN"/>
        </w:rPr>
        <w:t>这可以促进企业获得融资，并有助于金融部门的稳定。因此，子类别2.1.1有三个指标(表18)。</w:t>
      </w:r>
    </w:p>
    <w:p>
      <w:pPr>
        <w:pStyle w:val="5"/>
        <w:spacing w:line="400" w:lineRule="exact"/>
        <w:ind w:firstLine="560" w:firstLineChars="200"/>
        <w:rPr>
          <w:rFonts w:eastAsia="宋体"/>
          <w:sz w:val="28"/>
          <w:szCs w:val="28"/>
          <w:lang w:eastAsia="zh-CN"/>
        </w:rPr>
      </w:pPr>
    </w:p>
    <w:p>
      <w:pPr>
        <w:spacing w:line="400" w:lineRule="exact"/>
        <w:jc w:val="center"/>
        <w:rPr>
          <w:rFonts w:eastAsia="宋体"/>
          <w:b/>
          <w:sz w:val="28"/>
          <w:szCs w:val="28"/>
          <w:lang w:eastAsia="zh-CN"/>
        </w:rPr>
      </w:pPr>
      <w:r>
        <w:rPr>
          <w:rFonts w:eastAsia="宋体"/>
          <w:b/>
          <w:sz w:val="28"/>
          <w:szCs w:val="28"/>
          <w:lang w:eastAsia="zh-CN"/>
        </w:rPr>
        <w:t>表18</w:t>
      </w:r>
      <w:r>
        <w:rPr>
          <w:rFonts w:hint="eastAsia" w:eastAsia="宋体"/>
          <w:b/>
          <w:sz w:val="28"/>
          <w:szCs w:val="28"/>
          <w:lang w:eastAsia="zh-CN"/>
        </w:rPr>
        <w:t xml:space="preserve">. </w:t>
      </w:r>
      <w:r>
        <w:rPr>
          <w:rFonts w:eastAsia="宋体"/>
          <w:b/>
          <w:sz w:val="28"/>
          <w:szCs w:val="28"/>
          <w:lang w:eastAsia="zh-CN"/>
        </w:rPr>
        <w:t>子类别2.1.1</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数据覆盖和获取信贷信息</w:t>
      </w:r>
    </w:p>
    <w:tbl>
      <w:tblPr>
        <w:tblStyle w:val="8"/>
        <w:tblW w:w="8651"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5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tcPr>
          <w:p>
            <w:pPr>
              <w:pStyle w:val="12"/>
              <w:ind w:left="0"/>
              <w:rPr>
                <w:rFonts w:eastAsia="宋体"/>
                <w:sz w:val="24"/>
                <w:szCs w:val="24"/>
                <w:lang w:eastAsia="zh-CN"/>
              </w:rPr>
            </w:pPr>
          </w:p>
        </w:tc>
        <w:tc>
          <w:tcPr>
            <w:tcW w:w="2340" w:type="dxa"/>
            <w:shd w:val="clear" w:color="auto" w:fill="E7EBF5"/>
          </w:tcPr>
          <w:p>
            <w:pPr>
              <w:pStyle w:val="12"/>
              <w:ind w:left="105"/>
              <w:jc w:val="center"/>
              <w:rPr>
                <w:rFonts w:eastAsia="宋体"/>
                <w:b/>
                <w:sz w:val="24"/>
                <w:szCs w:val="24"/>
              </w:rPr>
            </w:pPr>
            <w:r>
              <w:rPr>
                <w:rFonts w:eastAsia="宋体"/>
                <w:b/>
                <w:spacing w:val="-2"/>
                <w:sz w:val="24"/>
                <w:szCs w:val="24"/>
              </w:rPr>
              <w:t>指标</w:t>
            </w:r>
          </w:p>
        </w:tc>
        <w:tc>
          <w:tcPr>
            <w:tcW w:w="5865" w:type="dxa"/>
            <w:shd w:val="clear" w:color="auto" w:fill="E7EBF5"/>
          </w:tcPr>
          <w:p>
            <w:pPr>
              <w:pStyle w:val="12"/>
              <w:ind w:left="106"/>
              <w:jc w:val="center"/>
              <w:rPr>
                <w:rFonts w:eastAsia="宋体"/>
                <w:b/>
                <w:sz w:val="24"/>
                <w:szCs w:val="24"/>
                <w:lang w:eastAsia="zh-CN"/>
              </w:rPr>
            </w:pPr>
            <w:r>
              <w:rPr>
                <w:rFonts w:hint="eastAsia" w:eastAsia="宋体"/>
                <w:b/>
                <w:spacing w:val="-2"/>
                <w:sz w:val="24"/>
                <w:szCs w:val="24"/>
                <w:lang w:eastAsia="zh-CN"/>
              </w:rPr>
              <w:t>组成部分</w:t>
            </w:r>
          </w:p>
        </w:tc>
      </w:tr>
    </w:tbl>
    <w:p>
      <w:pPr>
        <w:rPr>
          <w:rFonts w:eastAsia="宋体"/>
          <w:sz w:val="24"/>
          <w:szCs w:val="24"/>
        </w:rPr>
        <w:sectPr>
          <w:pgSz w:w="12240" w:h="15840"/>
          <w:pgMar w:top="1440" w:right="1800" w:bottom="1440" w:left="1800" w:header="720" w:footer="720" w:gutter="0"/>
          <w:cols w:space="720" w:num="1"/>
        </w:sectPr>
      </w:pPr>
    </w:p>
    <w:tbl>
      <w:tblPr>
        <w:tblStyle w:val="8"/>
        <w:tblW w:w="8633"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58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12"/>
              <w:ind w:left="0"/>
              <w:jc w:val="center"/>
              <w:rPr>
                <w:rFonts w:eastAsia="宋体"/>
                <w:sz w:val="24"/>
                <w:szCs w:val="24"/>
              </w:rPr>
            </w:pPr>
            <w:r>
              <w:rPr>
                <w:rFonts w:eastAsia="宋体"/>
                <w:sz w:val="24"/>
                <w:szCs w:val="24"/>
              </w:rPr>
              <w:t>1</w:t>
            </w:r>
          </w:p>
        </w:tc>
        <w:tc>
          <w:tcPr>
            <w:tcW w:w="2340" w:type="dxa"/>
            <w:vAlign w:val="center"/>
          </w:tcPr>
          <w:p>
            <w:pPr>
              <w:pStyle w:val="12"/>
              <w:ind w:left="105"/>
              <w:jc w:val="both"/>
              <w:rPr>
                <w:rFonts w:eastAsia="宋体"/>
                <w:sz w:val="24"/>
                <w:szCs w:val="24"/>
              </w:rPr>
            </w:pPr>
            <w:r>
              <w:rPr>
                <w:rFonts w:eastAsia="宋体"/>
                <w:sz w:val="24"/>
                <w:szCs w:val="24"/>
              </w:rPr>
              <w:t>数据覆盖与识别</w:t>
            </w:r>
          </w:p>
        </w:tc>
        <w:tc>
          <w:tcPr>
            <w:tcW w:w="5847" w:type="dxa"/>
            <w:vAlign w:val="center"/>
          </w:tcPr>
          <w:p>
            <w:pPr>
              <w:pStyle w:val="12"/>
              <w:tabs>
                <w:tab w:val="left" w:pos="364"/>
              </w:tabs>
              <w:ind w:left="363" w:hanging="273"/>
              <w:jc w:val="both"/>
              <w:rPr>
                <w:rFonts w:eastAsia="宋体"/>
                <w:sz w:val="24"/>
                <w:szCs w:val="24"/>
                <w:lang w:eastAsia="zh-CN"/>
              </w:rPr>
            </w:pPr>
            <w:r>
              <w:rPr>
                <w:w w:val="99"/>
                <w:sz w:val="24"/>
                <w:szCs w:val="24"/>
                <w:lang w:eastAsia="zh-CN"/>
              </w:rPr>
              <w:t>i)</w:t>
            </w:r>
            <w:r>
              <w:rPr>
                <w:rFonts w:eastAsia="宋体"/>
                <w:sz w:val="24"/>
                <w:szCs w:val="24"/>
                <w:lang w:eastAsia="zh-CN"/>
              </w:rPr>
              <w:t>公司和个人的数据是共享的</w:t>
            </w:r>
          </w:p>
          <w:p>
            <w:pPr>
              <w:pStyle w:val="12"/>
              <w:tabs>
                <w:tab w:val="left" w:pos="364"/>
              </w:tabs>
              <w:ind w:left="363" w:right="99" w:hanging="272"/>
              <w:jc w:val="both"/>
              <w:rPr>
                <w:rFonts w:eastAsia="宋体"/>
                <w:sz w:val="24"/>
                <w:szCs w:val="24"/>
                <w:lang w:eastAsia="zh-CN"/>
              </w:rPr>
            </w:pPr>
            <w:r>
              <w:rPr>
                <w:w w:val="99"/>
                <w:sz w:val="24"/>
                <w:szCs w:val="24"/>
                <w:lang w:eastAsia="zh-CN"/>
              </w:rPr>
              <w:t>ii)</w:t>
            </w:r>
            <w:r>
              <w:rPr>
                <w:rFonts w:eastAsia="宋体"/>
                <w:sz w:val="24"/>
                <w:szCs w:val="24"/>
                <w:lang w:eastAsia="zh-CN"/>
              </w:rPr>
              <w:t>除了金融机构的数据外，零售商或公用事业公司的数据也被共享</w:t>
            </w:r>
          </w:p>
          <w:p>
            <w:pPr>
              <w:pStyle w:val="12"/>
              <w:tabs>
                <w:tab w:val="left" w:pos="364"/>
              </w:tabs>
              <w:spacing w:before="1"/>
              <w:ind w:left="363" w:hanging="273"/>
              <w:jc w:val="both"/>
              <w:rPr>
                <w:rFonts w:eastAsia="宋体"/>
                <w:sz w:val="24"/>
                <w:szCs w:val="24"/>
                <w:lang w:eastAsia="zh-CN"/>
              </w:rPr>
            </w:pPr>
            <w:r>
              <w:rPr>
                <w:w w:val="99"/>
                <w:sz w:val="24"/>
                <w:szCs w:val="24"/>
                <w:lang w:eastAsia="zh-CN"/>
              </w:rPr>
              <w:t>iii)</w:t>
            </w:r>
            <w:r>
              <w:rPr>
                <w:rFonts w:eastAsia="宋体"/>
                <w:sz w:val="24"/>
                <w:szCs w:val="24"/>
                <w:lang w:eastAsia="zh-CN"/>
              </w:rPr>
              <w:t>跨境信息共享和危机报告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2"/>
              <w:jc w:val="both"/>
              <w:rPr>
                <w:rFonts w:eastAsia="宋体"/>
                <w:sz w:val="24"/>
                <w:szCs w:val="24"/>
              </w:rPr>
            </w:pPr>
            <w:r>
              <w:rPr>
                <w:rFonts w:eastAsia="宋体"/>
                <w:sz w:val="24"/>
                <w:szCs w:val="24"/>
              </w:rPr>
              <w:t>2</w:t>
            </w:r>
          </w:p>
        </w:tc>
        <w:tc>
          <w:tcPr>
            <w:tcW w:w="2340" w:type="dxa"/>
            <w:vAlign w:val="center"/>
          </w:tcPr>
          <w:p>
            <w:pPr>
              <w:pStyle w:val="12"/>
              <w:ind w:left="105"/>
              <w:jc w:val="both"/>
              <w:rPr>
                <w:rFonts w:eastAsia="宋体"/>
                <w:sz w:val="24"/>
                <w:szCs w:val="24"/>
              </w:rPr>
            </w:pPr>
            <w:r>
              <w:rPr>
                <w:rFonts w:eastAsia="宋体"/>
                <w:sz w:val="24"/>
                <w:szCs w:val="24"/>
              </w:rPr>
              <w:t>数据范围</w:t>
            </w:r>
          </w:p>
        </w:tc>
        <w:tc>
          <w:tcPr>
            <w:tcW w:w="5847" w:type="dxa"/>
            <w:vAlign w:val="center"/>
          </w:tcPr>
          <w:p>
            <w:pPr>
              <w:pStyle w:val="12"/>
              <w:tabs>
                <w:tab w:val="left" w:pos="356"/>
              </w:tabs>
              <w:ind w:left="355" w:hanging="265"/>
              <w:jc w:val="both"/>
              <w:rPr>
                <w:rFonts w:eastAsia="宋体"/>
                <w:sz w:val="24"/>
                <w:szCs w:val="24"/>
                <w:lang w:eastAsia="zh-CN"/>
              </w:rPr>
            </w:pPr>
            <w:r>
              <w:rPr>
                <w:w w:val="99"/>
                <w:sz w:val="24"/>
                <w:szCs w:val="24"/>
                <w:lang w:eastAsia="zh-CN"/>
              </w:rPr>
              <w:t>i)</w:t>
            </w:r>
            <w:r>
              <w:rPr>
                <w:rFonts w:eastAsia="宋体"/>
                <w:sz w:val="24"/>
                <w:szCs w:val="24"/>
                <w:lang w:eastAsia="zh-CN"/>
              </w:rPr>
              <w:t>正面信用信息和负面信用信息都是共享的</w:t>
            </w:r>
          </w:p>
          <w:p>
            <w:pPr>
              <w:pStyle w:val="12"/>
              <w:tabs>
                <w:tab w:val="left" w:pos="356"/>
              </w:tabs>
              <w:spacing w:before="2"/>
              <w:ind w:left="355" w:hanging="265"/>
              <w:jc w:val="both"/>
              <w:rPr>
                <w:rFonts w:eastAsia="宋体"/>
                <w:sz w:val="24"/>
                <w:szCs w:val="24"/>
                <w:lang w:eastAsia="zh-CN"/>
              </w:rPr>
            </w:pPr>
            <w:r>
              <w:rPr>
                <w:w w:val="99"/>
                <w:sz w:val="24"/>
                <w:szCs w:val="24"/>
                <w:lang w:eastAsia="zh-CN"/>
              </w:rPr>
              <w:t>ii)</w:t>
            </w:r>
            <w:r>
              <w:rPr>
                <w:rFonts w:eastAsia="宋体"/>
                <w:sz w:val="24"/>
                <w:szCs w:val="24"/>
                <w:lang w:eastAsia="zh-CN"/>
              </w:rPr>
              <w:t>共享至少两年的历史数据</w:t>
            </w:r>
          </w:p>
          <w:p>
            <w:pPr>
              <w:pStyle w:val="12"/>
              <w:tabs>
                <w:tab w:val="left" w:pos="356"/>
              </w:tabs>
              <w:ind w:left="355" w:hanging="265"/>
              <w:jc w:val="both"/>
              <w:rPr>
                <w:rFonts w:eastAsia="宋体"/>
                <w:sz w:val="24"/>
                <w:szCs w:val="24"/>
                <w:lang w:eastAsia="zh-CN"/>
              </w:rPr>
            </w:pPr>
            <w:r>
              <w:rPr>
                <w:w w:val="99"/>
                <w:sz w:val="24"/>
                <w:szCs w:val="24"/>
                <w:lang w:eastAsia="zh-CN"/>
              </w:rPr>
              <w:t>iii)</w:t>
            </w:r>
            <w:r>
              <w:rPr>
                <w:rFonts w:eastAsia="宋体"/>
                <w:sz w:val="24"/>
                <w:szCs w:val="24"/>
                <w:lang w:eastAsia="zh-CN"/>
              </w:rPr>
              <w:t>共享低于人均收入1%的贷款金额数据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446" w:type="dxa"/>
            <w:vAlign w:val="center"/>
          </w:tcPr>
          <w:p>
            <w:pPr>
              <w:pStyle w:val="12"/>
              <w:ind w:left="0"/>
              <w:jc w:val="center"/>
              <w:rPr>
                <w:rFonts w:eastAsia="宋体"/>
                <w:sz w:val="24"/>
                <w:szCs w:val="24"/>
              </w:rPr>
            </w:pPr>
            <w:r>
              <w:rPr>
                <w:rFonts w:eastAsia="宋体"/>
                <w:sz w:val="24"/>
                <w:szCs w:val="24"/>
              </w:rPr>
              <w:t>3</w:t>
            </w:r>
          </w:p>
        </w:tc>
        <w:tc>
          <w:tcPr>
            <w:tcW w:w="2340" w:type="dxa"/>
            <w:vAlign w:val="center"/>
          </w:tcPr>
          <w:p>
            <w:pPr>
              <w:pStyle w:val="12"/>
              <w:spacing w:before="1"/>
              <w:ind w:left="105"/>
              <w:jc w:val="both"/>
              <w:rPr>
                <w:rFonts w:eastAsia="宋体"/>
                <w:sz w:val="24"/>
                <w:szCs w:val="24"/>
                <w:lang w:eastAsia="zh-CN"/>
              </w:rPr>
            </w:pPr>
            <w:r>
              <w:rPr>
                <w:rFonts w:eastAsia="宋体"/>
                <w:sz w:val="24"/>
                <w:szCs w:val="24"/>
                <w:lang w:eastAsia="zh-CN"/>
              </w:rPr>
              <w:t>附加服务和借款人获取信息的途径</w:t>
            </w:r>
          </w:p>
        </w:tc>
        <w:tc>
          <w:tcPr>
            <w:tcW w:w="5847" w:type="dxa"/>
            <w:vAlign w:val="center"/>
          </w:tcPr>
          <w:p>
            <w:pPr>
              <w:pStyle w:val="12"/>
              <w:tabs>
                <w:tab w:val="left" w:pos="364"/>
              </w:tabs>
              <w:spacing w:before="26"/>
              <w:ind w:left="363" w:right="98" w:hanging="272"/>
              <w:jc w:val="both"/>
              <w:rPr>
                <w:rFonts w:eastAsia="宋体"/>
                <w:sz w:val="24"/>
                <w:szCs w:val="24"/>
                <w:lang w:eastAsia="zh-CN"/>
              </w:rPr>
            </w:pPr>
            <w:r>
              <w:rPr>
                <w:w w:val="99"/>
                <w:sz w:val="24"/>
                <w:szCs w:val="24"/>
                <w:lang w:eastAsia="zh-CN"/>
              </w:rPr>
              <w:t>i)</w:t>
            </w:r>
            <w:r>
              <w:rPr>
                <w:rFonts w:eastAsia="宋体"/>
                <w:sz w:val="24"/>
                <w:szCs w:val="24"/>
                <w:lang w:eastAsia="zh-CN"/>
              </w:rPr>
              <w:t>根据法律规定，借款人有权访问经济体中最大征信局或登记处的数据</w:t>
            </w:r>
          </w:p>
          <w:p>
            <w:pPr>
              <w:pStyle w:val="12"/>
              <w:tabs>
                <w:tab w:val="left" w:pos="364"/>
              </w:tabs>
              <w:spacing w:before="1"/>
              <w:ind w:left="363" w:hanging="273"/>
              <w:jc w:val="both"/>
              <w:rPr>
                <w:rFonts w:eastAsia="宋体"/>
                <w:sz w:val="24"/>
                <w:szCs w:val="24"/>
                <w:lang w:eastAsia="zh-CN"/>
              </w:rPr>
            </w:pPr>
            <w:r>
              <w:rPr>
                <w:w w:val="99"/>
                <w:sz w:val="24"/>
                <w:szCs w:val="24"/>
                <w:lang w:eastAsia="zh-CN"/>
              </w:rPr>
              <w:t>ii)</w:t>
            </w:r>
            <w:r>
              <w:rPr>
                <w:rFonts w:eastAsia="宋体"/>
                <w:sz w:val="24"/>
                <w:szCs w:val="24"/>
                <w:lang w:eastAsia="zh-CN"/>
              </w:rPr>
              <w:t>银行和其他金融机构可以在线访问信用信息</w:t>
            </w:r>
          </w:p>
          <w:p>
            <w:pPr>
              <w:pStyle w:val="12"/>
              <w:tabs>
                <w:tab w:val="left" w:pos="364"/>
              </w:tabs>
              <w:ind w:left="363" w:right="96" w:hanging="272"/>
              <w:jc w:val="both"/>
              <w:rPr>
                <w:rFonts w:eastAsia="宋体"/>
                <w:sz w:val="24"/>
                <w:szCs w:val="24"/>
                <w:lang w:eastAsia="zh-CN"/>
              </w:rPr>
            </w:pPr>
            <w:r>
              <w:rPr>
                <w:w w:val="99"/>
                <w:sz w:val="24"/>
                <w:szCs w:val="24"/>
                <w:lang w:eastAsia="zh-CN"/>
              </w:rPr>
              <w:t>iii)</w:t>
            </w:r>
            <w:r>
              <w:rPr>
                <w:rFonts w:eastAsia="宋体"/>
                <w:sz w:val="24"/>
                <w:szCs w:val="24"/>
                <w:lang w:eastAsia="zh-CN"/>
              </w:rPr>
              <w:t>信用评分作为增值服务，并在实践中验证借款人的信用信息</w:t>
            </w:r>
          </w:p>
        </w:tc>
      </w:tr>
    </w:tbl>
    <w:p>
      <w:pPr>
        <w:pStyle w:val="5"/>
        <w:spacing w:before="1"/>
        <w:rPr>
          <w:b/>
          <w:sz w:val="14"/>
          <w:lang w:eastAsia="zh-CN"/>
        </w:rPr>
      </w:pPr>
    </w:p>
    <w:p>
      <w:pPr>
        <w:pStyle w:val="11"/>
        <w:tabs>
          <w:tab w:val="left" w:pos="481"/>
        </w:tabs>
        <w:spacing w:line="400" w:lineRule="exact"/>
        <w:ind w:left="0" w:firstLine="0"/>
        <w:outlineLvl w:val="1"/>
        <w:rPr>
          <w:rFonts w:eastAsia="宋体"/>
          <w:b/>
          <w:sz w:val="28"/>
          <w:szCs w:val="28"/>
          <w:lang w:eastAsia="zh-CN"/>
        </w:rPr>
      </w:pPr>
      <w:r>
        <w:rPr>
          <w:rFonts w:eastAsia="宋体"/>
          <w:b/>
          <w:sz w:val="28"/>
          <w:szCs w:val="28"/>
          <w:lang w:eastAsia="zh-CN"/>
        </w:rPr>
        <w:t>2.2抵押品登记处的运作</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2.2类有一个子类，由几个指标组成，每个指标又有几个组成部分。</w:t>
      </w: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2.2.1抵押登记处的特点</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抵押品登记处主要是注册的和非注册实体的公开的动产权益数据库。它们通过促进对动产担保权存在的认识，并根据登记时间确定优先权，支持动产担保权的法律框架。</w:t>
      </w:r>
      <w:r>
        <w:rPr>
          <w:rFonts w:eastAsia="宋体"/>
          <w:sz w:val="28"/>
          <w:szCs w:val="28"/>
          <w:vertAlign w:val="superscript"/>
          <w:lang w:eastAsia="zh-CN"/>
        </w:rPr>
        <w:t>62</w:t>
      </w:r>
      <w:r>
        <w:rPr>
          <w:rFonts w:eastAsia="宋体"/>
          <w:sz w:val="28"/>
          <w:szCs w:val="28"/>
          <w:lang w:eastAsia="zh-CN"/>
        </w:rPr>
        <w:t>运作良好的担保登记处使贷款人能够在借款人打算用担保资产担保信贷时评估风险，</w:t>
      </w:r>
      <w:r>
        <w:rPr>
          <w:rFonts w:eastAsia="宋体"/>
          <w:sz w:val="28"/>
          <w:szCs w:val="28"/>
          <w:vertAlign w:val="superscript"/>
          <w:lang w:eastAsia="zh-CN"/>
        </w:rPr>
        <w:t>63</w:t>
      </w:r>
      <w:r>
        <w:rPr>
          <w:rFonts w:eastAsia="宋体"/>
          <w:spacing w:val="-7"/>
          <w:sz w:val="28"/>
          <w:szCs w:val="28"/>
          <w:lang w:eastAsia="zh-CN"/>
        </w:rPr>
        <w:t>提高透明度和确定性，</w:t>
      </w:r>
      <w:r>
        <w:rPr>
          <w:rFonts w:eastAsia="宋体"/>
          <w:sz w:val="28"/>
          <w:szCs w:val="28"/>
          <w:vertAlign w:val="superscript"/>
          <w:lang w:eastAsia="zh-CN"/>
        </w:rPr>
        <w:t>64</w:t>
      </w:r>
      <w:r>
        <w:rPr>
          <w:rFonts w:eastAsia="宋体"/>
          <w:sz w:val="28"/>
          <w:szCs w:val="28"/>
          <w:lang w:eastAsia="zh-CN"/>
        </w:rPr>
        <w:t>使有担保债权人能够以廉价和快速的方式在线登记、搜索、修改或取消担保权益。</w:t>
      </w:r>
      <w:r>
        <w:rPr>
          <w:rFonts w:eastAsia="宋体"/>
          <w:sz w:val="28"/>
          <w:szCs w:val="28"/>
          <w:vertAlign w:val="superscript"/>
          <w:lang w:eastAsia="zh-CN"/>
        </w:rPr>
        <w:t>65</w:t>
      </w:r>
      <w:r>
        <w:rPr>
          <w:rFonts w:eastAsia="宋体"/>
          <w:sz w:val="28"/>
          <w:szCs w:val="28"/>
          <w:lang w:eastAsia="zh-CN"/>
        </w:rPr>
        <w:t>因此,子类2.2.1有三个指标(表19)。</w:t>
      </w:r>
    </w:p>
    <w:p>
      <w:pPr>
        <w:pStyle w:val="5"/>
        <w:spacing w:line="400" w:lineRule="exact"/>
        <w:rPr>
          <w:rFonts w:eastAsia="宋体"/>
          <w:sz w:val="28"/>
          <w:szCs w:val="28"/>
          <w:lang w:eastAsia="zh-CN"/>
        </w:rPr>
      </w:pPr>
    </w:p>
    <w:p>
      <w:pPr>
        <w:pStyle w:val="5"/>
        <w:spacing w:line="400" w:lineRule="exact"/>
        <w:rPr>
          <w:rFonts w:eastAsia="宋体"/>
          <w:sz w:val="28"/>
          <w:szCs w:val="28"/>
          <w:lang w:eastAsia="zh-CN"/>
        </w:rPr>
      </w:pPr>
    </w:p>
    <w:p>
      <w:pPr>
        <w:pStyle w:val="5"/>
        <w:spacing w:line="400" w:lineRule="exact"/>
        <w:rPr>
          <w:rFonts w:eastAsia="宋体"/>
          <w:sz w:val="28"/>
          <w:szCs w:val="28"/>
          <w:lang w:eastAsia="zh-CN"/>
        </w:rPr>
      </w:pPr>
    </w:p>
    <w:p>
      <w:pPr>
        <w:pStyle w:val="5"/>
        <w:spacing w:line="400" w:lineRule="exact"/>
        <w:rPr>
          <w:rFonts w:eastAsia="宋体"/>
          <w:sz w:val="28"/>
          <w:szCs w:val="28"/>
          <w:lang w:eastAsia="zh-CN"/>
        </w:rPr>
      </w:pPr>
    </w:p>
    <w:p>
      <w:pPr>
        <w:rPr>
          <w:rFonts w:eastAsia="宋体"/>
          <w:sz w:val="28"/>
          <w:szCs w:val="28"/>
          <w:lang w:eastAsia="zh-CN"/>
        </w:rPr>
      </w:pPr>
      <w:r>
        <w:rPr>
          <w:rFonts w:eastAsia="宋体"/>
          <w:sz w:val="28"/>
          <w:szCs w:val="28"/>
          <w:lang w:eastAsia="zh-CN"/>
        </w:rPr>
        <w:br w:type="page"/>
      </w:r>
    </w:p>
    <w:p>
      <w:pPr>
        <w:spacing w:line="400" w:lineRule="exact"/>
        <w:jc w:val="center"/>
        <w:rPr>
          <w:rFonts w:eastAsia="宋体"/>
          <w:b/>
          <w:sz w:val="28"/>
          <w:szCs w:val="28"/>
          <w:lang w:eastAsia="zh-CN"/>
        </w:rPr>
      </w:pPr>
      <w:r>
        <w:rPr>
          <w:rFonts w:eastAsia="宋体"/>
          <w:b/>
          <w:sz w:val="28"/>
          <w:szCs w:val="28"/>
          <w:lang w:eastAsia="zh-CN"/>
        </w:rPr>
        <w:t>表19</w:t>
      </w:r>
      <w:r>
        <w:rPr>
          <w:rFonts w:hint="eastAsia" w:eastAsia="宋体"/>
          <w:b/>
          <w:sz w:val="28"/>
          <w:szCs w:val="28"/>
          <w:lang w:eastAsia="zh-CN"/>
        </w:rPr>
        <w:t xml:space="preserve">. </w:t>
      </w:r>
      <w:r>
        <w:rPr>
          <w:rFonts w:eastAsia="宋体"/>
          <w:b/>
          <w:sz w:val="28"/>
          <w:szCs w:val="28"/>
          <w:lang w:eastAsia="zh-CN"/>
        </w:rPr>
        <w:t>子类别2.2.1</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抵押登记处的特征</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56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2"/>
              <w:ind w:left="0"/>
              <w:jc w:val="both"/>
              <w:rPr>
                <w:rFonts w:eastAsia="宋体"/>
                <w:sz w:val="24"/>
                <w:szCs w:val="24"/>
                <w:lang w:eastAsia="zh-CN"/>
              </w:rPr>
            </w:pPr>
          </w:p>
        </w:tc>
        <w:tc>
          <w:tcPr>
            <w:tcW w:w="2340"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5652" w:type="dxa"/>
            <w:shd w:val="clear" w:color="auto" w:fill="E7EBF5"/>
            <w:vAlign w:val="center"/>
          </w:tcPr>
          <w:p>
            <w:pPr>
              <w:pStyle w:val="12"/>
              <w:ind w:left="106"/>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4" w:hRule="atLeast"/>
        </w:trPr>
        <w:tc>
          <w:tcPr>
            <w:tcW w:w="446" w:type="dxa"/>
            <w:vAlign w:val="center"/>
          </w:tcPr>
          <w:p>
            <w:pPr>
              <w:pStyle w:val="12"/>
              <w:ind w:left="0"/>
              <w:jc w:val="center"/>
              <w:rPr>
                <w:rFonts w:eastAsia="宋体"/>
                <w:sz w:val="24"/>
                <w:szCs w:val="24"/>
              </w:rPr>
            </w:pPr>
            <w:r>
              <w:rPr>
                <w:rFonts w:eastAsia="宋体"/>
                <w:sz w:val="24"/>
                <w:szCs w:val="24"/>
              </w:rPr>
              <w:t>1</w:t>
            </w:r>
          </w:p>
        </w:tc>
        <w:tc>
          <w:tcPr>
            <w:tcW w:w="2340" w:type="dxa"/>
            <w:vAlign w:val="center"/>
          </w:tcPr>
          <w:p>
            <w:pPr>
              <w:pStyle w:val="12"/>
              <w:ind w:left="105"/>
              <w:jc w:val="both"/>
              <w:rPr>
                <w:rFonts w:eastAsia="宋体"/>
                <w:sz w:val="24"/>
                <w:szCs w:val="24"/>
                <w:lang w:eastAsia="zh-CN"/>
              </w:rPr>
            </w:pPr>
            <w:r>
              <w:rPr>
                <w:rFonts w:eastAsia="宋体"/>
                <w:sz w:val="24"/>
                <w:szCs w:val="24"/>
              </w:rPr>
              <w:t>统一</w:t>
            </w:r>
            <w:r>
              <w:rPr>
                <w:rFonts w:eastAsia="宋体"/>
                <w:sz w:val="24"/>
                <w:szCs w:val="24"/>
                <w:lang w:eastAsia="zh-CN"/>
              </w:rPr>
              <w:t>抵押品</w:t>
            </w:r>
            <w:r>
              <w:rPr>
                <w:rFonts w:eastAsia="宋体"/>
                <w:sz w:val="24"/>
                <w:szCs w:val="24"/>
              </w:rPr>
              <w:t>登记</w:t>
            </w:r>
            <w:r>
              <w:rPr>
                <w:rFonts w:eastAsia="宋体"/>
                <w:sz w:val="24"/>
                <w:szCs w:val="24"/>
                <w:lang w:eastAsia="zh-CN"/>
              </w:rPr>
              <w:t>处</w:t>
            </w:r>
          </w:p>
        </w:tc>
        <w:tc>
          <w:tcPr>
            <w:tcW w:w="5652" w:type="dxa"/>
            <w:vAlign w:val="center"/>
          </w:tcPr>
          <w:p>
            <w:pPr>
              <w:pStyle w:val="12"/>
              <w:tabs>
                <w:tab w:val="left" w:pos="364"/>
              </w:tabs>
              <w:ind w:left="363" w:hanging="273"/>
              <w:jc w:val="both"/>
              <w:rPr>
                <w:w w:val="99"/>
                <w:sz w:val="24"/>
                <w:szCs w:val="24"/>
                <w:lang w:eastAsia="zh-CN"/>
              </w:rPr>
            </w:pPr>
            <w:r>
              <w:rPr>
                <w:w w:val="99"/>
                <w:sz w:val="24"/>
                <w:szCs w:val="24"/>
                <w:lang w:eastAsia="zh-CN"/>
              </w:rPr>
              <w:t>i)登记处正在运作</w:t>
            </w:r>
          </w:p>
          <w:p>
            <w:pPr>
              <w:pStyle w:val="12"/>
              <w:tabs>
                <w:tab w:val="left" w:pos="364"/>
              </w:tabs>
              <w:ind w:left="363" w:hanging="273"/>
              <w:jc w:val="both"/>
              <w:rPr>
                <w:w w:val="99"/>
                <w:sz w:val="24"/>
                <w:szCs w:val="24"/>
                <w:lang w:eastAsia="zh-CN"/>
              </w:rPr>
            </w:pPr>
            <w:r>
              <w:rPr>
                <w:w w:val="99"/>
                <w:sz w:val="24"/>
                <w:szCs w:val="24"/>
                <w:lang w:eastAsia="zh-CN"/>
              </w:rPr>
              <w:t>ii)登记是集中的或在不同的地理区域之间链接</w:t>
            </w:r>
          </w:p>
          <w:p>
            <w:pPr>
              <w:pStyle w:val="12"/>
              <w:tabs>
                <w:tab w:val="left" w:pos="364"/>
              </w:tabs>
              <w:ind w:left="363" w:hanging="273"/>
              <w:jc w:val="both"/>
              <w:rPr>
                <w:w w:val="99"/>
                <w:sz w:val="24"/>
                <w:szCs w:val="24"/>
                <w:lang w:eastAsia="zh-CN"/>
              </w:rPr>
            </w:pPr>
            <w:r>
              <w:rPr>
                <w:w w:val="99"/>
                <w:sz w:val="24"/>
                <w:szCs w:val="24"/>
                <w:lang w:eastAsia="zh-CN"/>
              </w:rPr>
              <w:t>iii)要求登记非占有性担保权益</w:t>
            </w:r>
          </w:p>
          <w:p>
            <w:pPr>
              <w:pStyle w:val="12"/>
              <w:tabs>
                <w:tab w:val="left" w:pos="364"/>
              </w:tabs>
              <w:ind w:left="363" w:hanging="273"/>
              <w:jc w:val="both"/>
              <w:rPr>
                <w:w w:val="99"/>
                <w:sz w:val="24"/>
                <w:szCs w:val="24"/>
                <w:lang w:eastAsia="zh-CN"/>
              </w:rPr>
            </w:pPr>
            <w:r>
              <w:rPr>
                <w:w w:val="99"/>
                <w:sz w:val="24"/>
                <w:szCs w:val="24"/>
                <w:lang w:eastAsia="zh-CN"/>
              </w:rPr>
              <w:t>iv)登记处对所有类型的借款人或债权人开放</w:t>
            </w:r>
          </w:p>
          <w:p>
            <w:pPr>
              <w:pStyle w:val="12"/>
              <w:tabs>
                <w:tab w:val="left" w:pos="364"/>
              </w:tabs>
              <w:ind w:left="363" w:hanging="273"/>
              <w:jc w:val="both"/>
              <w:rPr>
                <w:w w:val="99"/>
                <w:sz w:val="24"/>
                <w:szCs w:val="24"/>
                <w:lang w:eastAsia="zh-CN"/>
              </w:rPr>
            </w:pPr>
            <w:r>
              <w:rPr>
                <w:w w:val="99"/>
                <w:sz w:val="24"/>
                <w:szCs w:val="24"/>
                <w:lang w:eastAsia="zh-CN"/>
              </w:rPr>
              <w:t>v)如果各省对不同类型的债务人有不同的登记处，则应适用非占有担保权益的设立和第三方效力的相同规则</w:t>
            </w:r>
          </w:p>
          <w:p>
            <w:pPr>
              <w:pStyle w:val="12"/>
              <w:tabs>
                <w:tab w:val="left" w:pos="364"/>
              </w:tabs>
              <w:ind w:left="363" w:hanging="273"/>
              <w:jc w:val="both"/>
              <w:rPr>
                <w:w w:val="99"/>
                <w:sz w:val="24"/>
                <w:szCs w:val="24"/>
                <w:lang w:eastAsia="zh-CN"/>
              </w:rPr>
            </w:pPr>
            <w:r>
              <w:rPr>
                <w:w w:val="99"/>
                <w:sz w:val="24"/>
                <w:szCs w:val="24"/>
                <w:lang w:eastAsia="zh-CN"/>
              </w:rPr>
              <w:t>vi)如果各省对不同类型的资产有不同的登记处，则应适用非占有性担保利益的设立和第三方效力的相同规则</w:t>
            </w:r>
          </w:p>
          <w:p>
            <w:pPr>
              <w:pStyle w:val="12"/>
              <w:tabs>
                <w:tab w:val="left" w:pos="364"/>
              </w:tabs>
              <w:ind w:left="363" w:hanging="273"/>
              <w:jc w:val="both"/>
              <w:rPr>
                <w:w w:val="99"/>
                <w:sz w:val="24"/>
                <w:szCs w:val="24"/>
                <w:lang w:eastAsia="zh-CN"/>
              </w:rPr>
            </w:pPr>
            <w:r>
              <w:rPr>
                <w:w w:val="99"/>
                <w:sz w:val="24"/>
                <w:szCs w:val="24"/>
                <w:lang w:eastAsia="zh-CN"/>
              </w:rPr>
              <w:t>vii)任何人都可以不受经济中任何地理位置的限制，访问登记处中的数据</w:t>
            </w:r>
          </w:p>
          <w:p>
            <w:pPr>
              <w:pStyle w:val="12"/>
              <w:tabs>
                <w:tab w:val="left" w:pos="364"/>
              </w:tabs>
              <w:ind w:left="363" w:hanging="273"/>
              <w:jc w:val="both"/>
              <w:rPr>
                <w:w w:val="99"/>
                <w:sz w:val="24"/>
                <w:szCs w:val="24"/>
                <w:lang w:eastAsia="zh-CN"/>
              </w:rPr>
            </w:pPr>
            <w:r>
              <w:rPr>
                <w:w w:val="99"/>
                <w:sz w:val="24"/>
                <w:szCs w:val="24"/>
                <w:lang w:eastAsia="zh-CN"/>
              </w:rPr>
              <w:t>viii）登记处有一个在线数据库，可通过债务人的姓名或唯一标识符进行搜索</w:t>
            </w:r>
          </w:p>
          <w:p>
            <w:pPr>
              <w:pStyle w:val="12"/>
              <w:tabs>
                <w:tab w:val="left" w:pos="364"/>
              </w:tabs>
              <w:ind w:left="363" w:hanging="273"/>
              <w:jc w:val="both"/>
              <w:rPr>
                <w:rFonts w:eastAsia="宋体"/>
                <w:sz w:val="24"/>
                <w:szCs w:val="24"/>
                <w:lang w:eastAsia="zh-CN"/>
              </w:rPr>
            </w:pPr>
            <w:r>
              <w:rPr>
                <w:w w:val="99"/>
                <w:sz w:val="24"/>
                <w:szCs w:val="24"/>
                <w:lang w:eastAsia="zh-CN"/>
              </w:rPr>
              <w:t>ix）可通过抵押品的序列号查阅登记处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12"/>
              <w:jc w:val="both"/>
              <w:rPr>
                <w:rFonts w:eastAsia="宋体"/>
                <w:sz w:val="24"/>
                <w:szCs w:val="24"/>
              </w:rPr>
            </w:pPr>
            <w:r>
              <w:rPr>
                <w:rFonts w:eastAsia="宋体"/>
                <w:sz w:val="24"/>
                <w:szCs w:val="24"/>
              </w:rPr>
              <w:t>2</w:t>
            </w:r>
          </w:p>
        </w:tc>
        <w:tc>
          <w:tcPr>
            <w:tcW w:w="2340" w:type="dxa"/>
            <w:vAlign w:val="center"/>
          </w:tcPr>
          <w:p>
            <w:pPr>
              <w:pStyle w:val="12"/>
              <w:ind w:left="105" w:right="552"/>
              <w:jc w:val="both"/>
              <w:rPr>
                <w:rFonts w:eastAsia="宋体"/>
                <w:sz w:val="24"/>
                <w:szCs w:val="24"/>
                <w:lang w:eastAsia="zh-CN"/>
              </w:rPr>
            </w:pPr>
            <w:r>
              <w:rPr>
                <w:rFonts w:eastAsia="宋体"/>
                <w:sz w:val="24"/>
                <w:szCs w:val="24"/>
                <w:lang w:eastAsia="zh-CN"/>
              </w:rPr>
              <w:t>基于通知的抵押品登记</w:t>
            </w:r>
          </w:p>
        </w:tc>
        <w:tc>
          <w:tcPr>
            <w:tcW w:w="5652" w:type="dxa"/>
            <w:vAlign w:val="center"/>
          </w:tcPr>
          <w:p>
            <w:pPr>
              <w:pStyle w:val="12"/>
              <w:tabs>
                <w:tab w:val="left" w:pos="364"/>
              </w:tabs>
              <w:ind w:left="363" w:hanging="273"/>
              <w:jc w:val="both"/>
              <w:rPr>
                <w:w w:val="99"/>
                <w:sz w:val="24"/>
                <w:szCs w:val="24"/>
                <w:lang w:eastAsia="zh-CN"/>
              </w:rPr>
            </w:pPr>
            <w:r>
              <w:rPr>
                <w:w w:val="99"/>
                <w:sz w:val="24"/>
                <w:szCs w:val="24"/>
                <w:lang w:eastAsia="zh-CN"/>
              </w:rPr>
              <w:t>i)注册是基于通知的</w:t>
            </w:r>
          </w:p>
          <w:p>
            <w:pPr>
              <w:pStyle w:val="12"/>
              <w:tabs>
                <w:tab w:val="left" w:pos="364"/>
              </w:tabs>
              <w:ind w:left="363" w:hanging="273"/>
              <w:jc w:val="both"/>
              <w:rPr>
                <w:w w:val="99"/>
                <w:sz w:val="24"/>
                <w:szCs w:val="24"/>
                <w:lang w:eastAsia="zh-CN"/>
              </w:rPr>
            </w:pPr>
            <w:r>
              <w:rPr>
                <w:w w:val="99"/>
                <w:sz w:val="24"/>
                <w:szCs w:val="24"/>
                <w:lang w:eastAsia="zh-CN"/>
              </w:rPr>
              <w:t>ii）注册处未核实交易的合法性</w:t>
            </w:r>
          </w:p>
          <w:p>
            <w:pPr>
              <w:pStyle w:val="12"/>
              <w:tabs>
                <w:tab w:val="left" w:pos="364"/>
              </w:tabs>
              <w:ind w:left="363" w:hanging="273"/>
              <w:jc w:val="both"/>
              <w:rPr>
                <w:w w:val="99"/>
                <w:sz w:val="24"/>
                <w:szCs w:val="24"/>
                <w:lang w:eastAsia="zh-CN"/>
              </w:rPr>
            </w:pPr>
            <w:r>
              <w:rPr>
                <w:w w:val="99"/>
                <w:sz w:val="24"/>
                <w:szCs w:val="24"/>
                <w:lang w:eastAsia="zh-CN"/>
              </w:rPr>
              <w:t>iii）注册处未验证信息的正确性</w:t>
            </w:r>
          </w:p>
          <w:p>
            <w:pPr>
              <w:pStyle w:val="12"/>
              <w:tabs>
                <w:tab w:val="left" w:pos="364"/>
              </w:tabs>
              <w:ind w:left="363" w:hanging="273"/>
              <w:jc w:val="both"/>
              <w:rPr>
                <w:rFonts w:eastAsia="宋体"/>
                <w:sz w:val="24"/>
                <w:szCs w:val="24"/>
                <w:lang w:eastAsia="zh-CN"/>
              </w:rPr>
            </w:pPr>
            <w:r>
              <w:rPr>
                <w:w w:val="99"/>
                <w:sz w:val="24"/>
                <w:szCs w:val="24"/>
                <w:lang w:eastAsia="zh-CN"/>
              </w:rPr>
              <w:t>iv）登记处涵盖动产上的所有类型的担保权益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446" w:type="dxa"/>
            <w:vAlign w:val="center"/>
          </w:tcPr>
          <w:p>
            <w:pPr>
              <w:pStyle w:val="12"/>
              <w:jc w:val="both"/>
              <w:rPr>
                <w:rFonts w:eastAsia="宋体"/>
                <w:sz w:val="24"/>
                <w:szCs w:val="24"/>
              </w:rPr>
            </w:pPr>
            <w:r>
              <w:rPr>
                <w:rFonts w:eastAsia="宋体"/>
                <w:sz w:val="24"/>
                <w:szCs w:val="24"/>
              </w:rPr>
              <w:t>3</w:t>
            </w:r>
          </w:p>
        </w:tc>
        <w:tc>
          <w:tcPr>
            <w:tcW w:w="2340" w:type="dxa"/>
            <w:vAlign w:val="center"/>
          </w:tcPr>
          <w:p>
            <w:pPr>
              <w:pStyle w:val="12"/>
              <w:spacing w:before="161"/>
              <w:ind w:left="105" w:right="128"/>
              <w:jc w:val="both"/>
              <w:rPr>
                <w:rFonts w:eastAsia="宋体"/>
                <w:sz w:val="24"/>
                <w:szCs w:val="24"/>
                <w:lang w:eastAsia="zh-CN"/>
              </w:rPr>
            </w:pPr>
            <w:r>
              <w:rPr>
                <w:rFonts w:eastAsia="宋体"/>
                <w:sz w:val="24"/>
                <w:szCs w:val="24"/>
                <w:lang w:eastAsia="zh-CN"/>
              </w:rPr>
              <w:t>现代抵押品登记和访问数据</w:t>
            </w:r>
          </w:p>
        </w:tc>
        <w:tc>
          <w:tcPr>
            <w:tcW w:w="5652" w:type="dxa"/>
            <w:vAlign w:val="center"/>
          </w:tcPr>
          <w:p>
            <w:pPr>
              <w:pStyle w:val="12"/>
              <w:tabs>
                <w:tab w:val="left" w:pos="364"/>
              </w:tabs>
              <w:ind w:left="363" w:hanging="273"/>
              <w:jc w:val="both"/>
              <w:rPr>
                <w:w w:val="99"/>
                <w:sz w:val="24"/>
                <w:szCs w:val="24"/>
                <w:lang w:eastAsia="zh-CN"/>
              </w:rPr>
            </w:pPr>
            <w:r>
              <w:rPr>
                <w:w w:val="99"/>
                <w:sz w:val="24"/>
                <w:szCs w:val="24"/>
                <w:lang w:eastAsia="zh-CN"/>
              </w:rPr>
              <w:t>i)所有类型的有担保债权人都可以进行登记</w:t>
            </w:r>
          </w:p>
          <w:p>
            <w:pPr>
              <w:pStyle w:val="12"/>
              <w:tabs>
                <w:tab w:val="left" w:pos="364"/>
              </w:tabs>
              <w:ind w:left="363" w:hanging="273"/>
              <w:jc w:val="both"/>
              <w:rPr>
                <w:w w:val="99"/>
                <w:sz w:val="24"/>
                <w:szCs w:val="24"/>
                <w:lang w:eastAsia="zh-CN"/>
              </w:rPr>
            </w:pPr>
            <w:r>
              <w:rPr>
                <w:w w:val="99"/>
                <w:sz w:val="24"/>
                <w:szCs w:val="24"/>
                <w:lang w:eastAsia="zh-CN"/>
              </w:rPr>
              <w:t>ii)有担保债权人或其代表可以在没有任何第三方参与或批准的情况下在线开立账户</w:t>
            </w:r>
          </w:p>
          <w:p>
            <w:pPr>
              <w:pStyle w:val="12"/>
              <w:tabs>
                <w:tab w:val="left" w:pos="364"/>
              </w:tabs>
              <w:ind w:left="363" w:hanging="273"/>
              <w:jc w:val="both"/>
              <w:rPr>
                <w:w w:val="99"/>
                <w:sz w:val="24"/>
                <w:szCs w:val="24"/>
                <w:lang w:eastAsia="zh-CN"/>
              </w:rPr>
            </w:pPr>
            <w:r>
              <w:rPr>
                <w:w w:val="99"/>
                <w:sz w:val="24"/>
                <w:szCs w:val="24"/>
                <w:lang w:eastAsia="zh-CN"/>
              </w:rPr>
              <w:t>iii)有担保债权人或其代表可以在网上进行担保权益的登记和搜索，而不受登记处的干扰</w:t>
            </w:r>
          </w:p>
          <w:p>
            <w:pPr>
              <w:pStyle w:val="12"/>
              <w:tabs>
                <w:tab w:val="left" w:pos="364"/>
              </w:tabs>
              <w:ind w:left="363" w:hanging="273"/>
              <w:jc w:val="both"/>
              <w:rPr>
                <w:rFonts w:eastAsia="宋体"/>
                <w:sz w:val="24"/>
                <w:szCs w:val="24"/>
                <w:lang w:eastAsia="zh-CN"/>
              </w:rPr>
            </w:pPr>
            <w:r>
              <w:rPr>
                <w:w w:val="99"/>
                <w:sz w:val="24"/>
                <w:szCs w:val="24"/>
                <w:lang w:eastAsia="zh-CN"/>
              </w:rPr>
              <w:t xml:space="preserve">iv)抵押品登记处具有在线系统，可用于担保权益的登记、修改、更新、取消和搜索，并且抵押品登记处记录在实践中得到验证。 </w:t>
            </w:r>
          </w:p>
        </w:tc>
      </w:tr>
    </w:tbl>
    <w:p>
      <w:pPr>
        <w:spacing w:line="206" w:lineRule="exact"/>
        <w:rPr>
          <w:sz w:val="18"/>
          <w:lang w:eastAsia="zh-CN"/>
        </w:rPr>
        <w:sectPr>
          <w:type w:val="continuous"/>
          <w:pgSz w:w="12240" w:h="15840"/>
          <w:pgMar w:top="1440" w:right="1800" w:bottom="1440" w:left="1800" w:header="720" w:footer="720" w:gutter="0"/>
          <w:cols w:space="720" w:num="1"/>
        </w:sectPr>
      </w:pPr>
    </w:p>
    <w:p>
      <w:pPr>
        <w:pStyle w:val="11"/>
        <w:tabs>
          <w:tab w:val="left" w:pos="481"/>
        </w:tabs>
        <w:spacing w:line="400" w:lineRule="exact"/>
        <w:ind w:left="0" w:firstLine="0"/>
        <w:outlineLvl w:val="1"/>
        <w:rPr>
          <w:rFonts w:eastAsia="宋体"/>
          <w:b/>
          <w:sz w:val="28"/>
          <w:szCs w:val="28"/>
          <w:lang w:eastAsia="zh-CN"/>
        </w:rPr>
      </w:pPr>
      <w:r>
        <w:rPr>
          <w:rFonts w:eastAsia="宋体"/>
          <w:b/>
          <w:sz w:val="28"/>
          <w:szCs w:val="28"/>
          <w:lang w:eastAsia="zh-CN"/>
        </w:rPr>
        <w:t>2.3绿色</w:t>
      </w:r>
      <w:r>
        <w:rPr>
          <w:rFonts w:hint="eastAsia" w:eastAsia="宋体"/>
          <w:b/>
          <w:sz w:val="28"/>
          <w:szCs w:val="28"/>
          <w:lang w:eastAsia="zh-CN"/>
        </w:rPr>
        <w:t>融资</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2.3类有一个子类，由两个指标组成，每个指标又有一个组成部分。</w:t>
      </w: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2.3.1绿色</w:t>
      </w:r>
      <w:r>
        <w:rPr>
          <w:rFonts w:hint="eastAsia" w:eastAsia="宋体"/>
          <w:b/>
          <w:sz w:val="28"/>
          <w:szCs w:val="28"/>
          <w:lang w:eastAsia="zh-CN"/>
        </w:rPr>
        <w:t>贷款</w:t>
      </w:r>
      <w:r>
        <w:rPr>
          <w:rFonts w:eastAsia="宋体"/>
          <w:b/>
          <w:sz w:val="28"/>
          <w:szCs w:val="28"/>
          <w:lang w:eastAsia="zh-CN"/>
        </w:rPr>
        <w:t>的可获得性和要求</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在实践中，即使没有全国性的绿色贷款发放框架，绿色贷款的可获得性也可以为企业提供替代融资产品，使其能够为绿色项目融资，并使贷款与其环境目标保持一致。</w:t>
      </w:r>
      <w:r>
        <w:rPr>
          <w:rFonts w:eastAsia="宋体"/>
          <w:sz w:val="28"/>
          <w:szCs w:val="28"/>
          <w:vertAlign w:val="superscript"/>
          <w:lang w:eastAsia="zh-CN"/>
        </w:rPr>
        <w:t>66</w:t>
      </w:r>
      <w:r>
        <w:rPr>
          <w:rFonts w:eastAsia="宋体"/>
          <w:sz w:val="28"/>
          <w:szCs w:val="28"/>
          <w:lang w:eastAsia="zh-CN"/>
        </w:rPr>
        <w:t>要求企业进行外部审查以获得绿色融资，有助于提高透明度，防止</w:t>
      </w:r>
      <w:r>
        <w:rPr>
          <w:rFonts w:hint="eastAsia" w:eastAsia="宋体"/>
          <w:sz w:val="28"/>
          <w:szCs w:val="28"/>
          <w:lang w:eastAsia="zh-CN"/>
        </w:rPr>
        <w:t>“</w:t>
      </w:r>
      <w:r>
        <w:rPr>
          <w:rFonts w:eastAsia="宋体"/>
          <w:sz w:val="28"/>
          <w:szCs w:val="28"/>
          <w:lang w:eastAsia="zh-CN"/>
        </w:rPr>
        <w:t>洗绿</w:t>
      </w:r>
      <w:r>
        <w:rPr>
          <w:rFonts w:hint="eastAsia" w:eastAsia="宋体"/>
          <w:sz w:val="28"/>
          <w:szCs w:val="28"/>
          <w:lang w:eastAsia="zh-CN"/>
        </w:rPr>
        <w:t>”</w:t>
      </w:r>
      <w:r>
        <w:rPr>
          <w:rFonts w:eastAsia="宋体"/>
          <w:sz w:val="28"/>
          <w:szCs w:val="28"/>
          <w:lang w:eastAsia="zh-CN"/>
        </w:rPr>
        <w:t>。</w:t>
      </w:r>
      <w:r>
        <w:rPr>
          <w:rFonts w:eastAsia="宋体"/>
          <w:sz w:val="28"/>
          <w:szCs w:val="28"/>
          <w:vertAlign w:val="superscript"/>
          <w:lang w:eastAsia="zh-CN"/>
        </w:rPr>
        <w:t>67,68</w:t>
      </w:r>
      <w:r>
        <w:rPr>
          <w:rFonts w:eastAsia="宋体"/>
          <w:sz w:val="28"/>
          <w:szCs w:val="28"/>
          <w:lang w:eastAsia="zh-CN"/>
        </w:rPr>
        <w:t>因此，子类别2.3.1有两个指标(表20)。</w:t>
      </w:r>
    </w:p>
    <w:p>
      <w:pPr>
        <w:pStyle w:val="5"/>
        <w:spacing w:line="400" w:lineRule="exact"/>
        <w:ind w:firstLine="560" w:firstLineChars="200"/>
        <w:rPr>
          <w:rFonts w:eastAsia="宋体"/>
          <w:sz w:val="28"/>
          <w:szCs w:val="28"/>
          <w:lang w:eastAsia="zh-CN"/>
        </w:rPr>
      </w:pPr>
    </w:p>
    <w:p>
      <w:pPr>
        <w:spacing w:line="400" w:lineRule="exact"/>
        <w:jc w:val="center"/>
        <w:rPr>
          <w:rFonts w:eastAsia="宋体"/>
          <w:b/>
          <w:sz w:val="28"/>
          <w:szCs w:val="28"/>
          <w:lang w:eastAsia="zh-CN"/>
        </w:rPr>
      </w:pPr>
      <w:r>
        <w:rPr>
          <w:rFonts w:eastAsia="宋体"/>
          <w:b/>
          <w:sz w:val="28"/>
          <w:szCs w:val="28"/>
          <w:lang w:eastAsia="zh-CN"/>
        </w:rPr>
        <w:t>表20</w:t>
      </w:r>
      <w:r>
        <w:rPr>
          <w:rFonts w:hint="eastAsia" w:eastAsia="宋体"/>
          <w:b/>
          <w:sz w:val="28"/>
          <w:szCs w:val="28"/>
          <w:lang w:eastAsia="zh-CN"/>
        </w:rPr>
        <w:t xml:space="preserve">. </w:t>
      </w:r>
      <w:r>
        <w:rPr>
          <w:rFonts w:eastAsia="宋体"/>
          <w:b/>
          <w:sz w:val="28"/>
          <w:szCs w:val="28"/>
          <w:lang w:eastAsia="zh-CN"/>
        </w:rPr>
        <w:t>子类别2.3.1</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绿色</w:t>
      </w:r>
      <w:r>
        <w:rPr>
          <w:rFonts w:hint="eastAsia" w:eastAsia="宋体"/>
          <w:b/>
          <w:sz w:val="28"/>
          <w:szCs w:val="28"/>
          <w:lang w:eastAsia="zh-CN"/>
        </w:rPr>
        <w:t>贷款</w:t>
      </w:r>
      <w:r>
        <w:rPr>
          <w:rFonts w:eastAsia="宋体"/>
          <w:b/>
          <w:sz w:val="28"/>
          <w:szCs w:val="28"/>
          <w:lang w:eastAsia="zh-CN"/>
        </w:rPr>
        <w:t>的可获得性和审查要求</w:t>
      </w:r>
    </w:p>
    <w:tbl>
      <w:tblPr>
        <w:tblStyle w:val="8"/>
        <w:tblW w:w="8547"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57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2"/>
              <w:ind w:left="0"/>
              <w:jc w:val="both"/>
              <w:rPr>
                <w:rFonts w:eastAsia="宋体"/>
                <w:sz w:val="24"/>
                <w:szCs w:val="24"/>
                <w:lang w:eastAsia="zh-CN"/>
              </w:rPr>
            </w:pPr>
          </w:p>
        </w:tc>
        <w:tc>
          <w:tcPr>
            <w:tcW w:w="2340"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5761" w:type="dxa"/>
            <w:shd w:val="clear" w:color="auto" w:fill="E7EBF5"/>
            <w:vAlign w:val="center"/>
          </w:tcPr>
          <w:p>
            <w:pPr>
              <w:pStyle w:val="12"/>
              <w:ind w:left="106"/>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spacing w:before="105"/>
              <w:jc w:val="both"/>
              <w:rPr>
                <w:rFonts w:eastAsia="宋体"/>
                <w:sz w:val="24"/>
                <w:szCs w:val="24"/>
              </w:rPr>
            </w:pPr>
            <w:r>
              <w:rPr>
                <w:rFonts w:eastAsia="宋体"/>
                <w:sz w:val="24"/>
                <w:szCs w:val="24"/>
              </w:rPr>
              <w:t>1</w:t>
            </w:r>
          </w:p>
        </w:tc>
        <w:tc>
          <w:tcPr>
            <w:tcW w:w="2340" w:type="dxa"/>
            <w:vAlign w:val="center"/>
          </w:tcPr>
          <w:p>
            <w:pPr>
              <w:pStyle w:val="12"/>
              <w:spacing w:before="105"/>
              <w:ind w:left="105"/>
              <w:jc w:val="both"/>
              <w:rPr>
                <w:rFonts w:eastAsia="宋体"/>
                <w:sz w:val="24"/>
                <w:szCs w:val="24"/>
              </w:rPr>
            </w:pPr>
            <w:r>
              <w:rPr>
                <w:rFonts w:eastAsia="宋体"/>
                <w:sz w:val="24"/>
                <w:szCs w:val="24"/>
              </w:rPr>
              <w:t>绿色贷款的可获得性</w:t>
            </w:r>
          </w:p>
        </w:tc>
        <w:tc>
          <w:tcPr>
            <w:tcW w:w="5761" w:type="dxa"/>
            <w:vAlign w:val="center"/>
          </w:tcPr>
          <w:p>
            <w:pPr>
              <w:pStyle w:val="12"/>
              <w:ind w:left="106"/>
              <w:jc w:val="both"/>
              <w:rPr>
                <w:rFonts w:eastAsia="宋体"/>
                <w:sz w:val="24"/>
                <w:szCs w:val="24"/>
                <w:lang w:eastAsia="zh-CN"/>
              </w:rPr>
            </w:pPr>
            <w:r>
              <w:rPr>
                <w:rFonts w:eastAsia="宋体"/>
                <w:sz w:val="24"/>
                <w:szCs w:val="24"/>
                <w:lang w:eastAsia="zh-CN"/>
              </w:rPr>
              <w:t>即使没有采用全国性的绿色贷款框架，你们的经济中是否正在发行了绿色贷款？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spacing w:before="103"/>
              <w:jc w:val="both"/>
              <w:rPr>
                <w:rFonts w:eastAsia="宋体"/>
                <w:sz w:val="24"/>
                <w:szCs w:val="24"/>
              </w:rPr>
            </w:pPr>
            <w:r>
              <w:rPr>
                <w:rFonts w:eastAsia="宋体"/>
                <w:sz w:val="24"/>
                <w:szCs w:val="24"/>
              </w:rPr>
              <w:t>2</w:t>
            </w:r>
          </w:p>
        </w:tc>
        <w:tc>
          <w:tcPr>
            <w:tcW w:w="2340" w:type="dxa"/>
            <w:vAlign w:val="center"/>
          </w:tcPr>
          <w:p>
            <w:pPr>
              <w:pStyle w:val="12"/>
              <w:ind w:left="105" w:right="128"/>
              <w:jc w:val="both"/>
              <w:rPr>
                <w:rFonts w:eastAsia="宋体"/>
                <w:sz w:val="24"/>
                <w:szCs w:val="24"/>
                <w:lang w:eastAsia="zh-CN"/>
              </w:rPr>
            </w:pPr>
            <w:r>
              <w:rPr>
                <w:rFonts w:eastAsia="宋体"/>
                <w:sz w:val="24"/>
                <w:szCs w:val="24"/>
                <w:lang w:eastAsia="zh-CN"/>
              </w:rPr>
              <w:t>获得绿色贷款的外部审核要求</w:t>
            </w:r>
          </w:p>
        </w:tc>
        <w:tc>
          <w:tcPr>
            <w:tcW w:w="5761" w:type="dxa"/>
            <w:vAlign w:val="center"/>
          </w:tcPr>
          <w:p>
            <w:pPr>
              <w:pStyle w:val="12"/>
              <w:ind w:left="106"/>
              <w:jc w:val="both"/>
              <w:rPr>
                <w:rFonts w:eastAsia="宋体"/>
                <w:sz w:val="24"/>
                <w:szCs w:val="24"/>
                <w:lang w:eastAsia="zh-CN"/>
              </w:rPr>
            </w:pPr>
            <w:r>
              <w:rPr>
                <w:rFonts w:eastAsia="宋体"/>
                <w:sz w:val="24"/>
                <w:szCs w:val="24"/>
                <w:lang w:eastAsia="zh-CN"/>
              </w:rPr>
              <w:t>即使主管部门没有要求，在实践中是否也需要进行外部审核(顾问审核、验证、认证、评级)来获得绿色贷款？</w:t>
            </w:r>
          </w:p>
        </w:tc>
      </w:tr>
    </w:tbl>
    <w:p>
      <w:pPr>
        <w:pStyle w:val="5"/>
        <w:spacing w:before="7"/>
        <w:rPr>
          <w:b/>
          <w:sz w:val="23"/>
          <w:lang w:eastAsia="zh-CN"/>
        </w:rPr>
      </w:pPr>
    </w:p>
    <w:p>
      <w:pPr>
        <w:pStyle w:val="11"/>
        <w:tabs>
          <w:tab w:val="left" w:pos="481"/>
        </w:tabs>
        <w:spacing w:line="400" w:lineRule="exact"/>
        <w:ind w:left="0" w:firstLine="0"/>
        <w:outlineLvl w:val="1"/>
        <w:rPr>
          <w:rFonts w:eastAsia="宋体"/>
          <w:b/>
          <w:sz w:val="28"/>
          <w:szCs w:val="28"/>
          <w:lang w:eastAsia="zh-CN"/>
        </w:rPr>
      </w:pPr>
      <w:r>
        <w:rPr>
          <w:rFonts w:eastAsia="宋体"/>
          <w:b/>
          <w:sz w:val="28"/>
          <w:szCs w:val="28"/>
          <w:lang w:eastAsia="zh-CN"/>
        </w:rPr>
        <w:t>2.4性别金融</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第2.4类有一个由一个指标组成的子类，而这个指标又有几个组成部分。</w:t>
      </w:r>
    </w:p>
    <w:p>
      <w:pPr>
        <w:pStyle w:val="11"/>
        <w:tabs>
          <w:tab w:val="left" w:pos="841"/>
        </w:tabs>
        <w:spacing w:line="400" w:lineRule="exact"/>
        <w:ind w:left="0" w:firstLine="0"/>
        <w:outlineLvl w:val="2"/>
        <w:rPr>
          <w:rFonts w:eastAsia="宋体"/>
          <w:b/>
          <w:sz w:val="28"/>
          <w:szCs w:val="28"/>
          <w:lang w:eastAsia="zh-CN"/>
        </w:rPr>
      </w:pPr>
      <w:r>
        <w:rPr>
          <w:rFonts w:eastAsia="宋体"/>
          <w:b/>
          <w:sz w:val="28"/>
          <w:szCs w:val="28"/>
          <w:lang w:eastAsia="zh-CN"/>
        </w:rPr>
        <w:t>2.4.1促进</w:t>
      </w:r>
      <w:r>
        <w:rPr>
          <w:rFonts w:hint="eastAsia" w:eastAsia="宋体"/>
          <w:b/>
          <w:sz w:val="28"/>
          <w:szCs w:val="28"/>
          <w:lang w:eastAsia="zh-CN"/>
        </w:rPr>
        <w:t>女性</w:t>
      </w:r>
      <w:r>
        <w:rPr>
          <w:rFonts w:eastAsia="宋体"/>
          <w:b/>
          <w:sz w:val="28"/>
          <w:szCs w:val="28"/>
          <w:lang w:eastAsia="zh-CN"/>
        </w:rPr>
        <w:t>获得融资</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促进</w:t>
      </w:r>
      <w:r>
        <w:rPr>
          <w:rFonts w:hint="eastAsia" w:eastAsia="宋体"/>
          <w:sz w:val="28"/>
          <w:szCs w:val="28"/>
          <w:lang w:eastAsia="zh-CN"/>
        </w:rPr>
        <w:t>女性</w:t>
      </w:r>
      <w:r>
        <w:rPr>
          <w:rFonts w:eastAsia="宋体"/>
          <w:sz w:val="28"/>
          <w:szCs w:val="28"/>
          <w:lang w:eastAsia="zh-CN"/>
        </w:rPr>
        <w:t>获得融资包括两个主要指标:提供针对</w:t>
      </w:r>
      <w:r>
        <w:rPr>
          <w:rFonts w:hint="eastAsia" w:eastAsia="宋体"/>
          <w:sz w:val="28"/>
          <w:szCs w:val="28"/>
          <w:lang w:eastAsia="zh-CN"/>
        </w:rPr>
        <w:t>女性</w:t>
      </w:r>
      <w:r>
        <w:rPr>
          <w:rFonts w:eastAsia="宋体"/>
          <w:sz w:val="28"/>
          <w:szCs w:val="28"/>
          <w:lang w:eastAsia="zh-CN"/>
        </w:rPr>
        <w:t>的产品(包括金融和非金融产品)</w:t>
      </w:r>
      <w:r>
        <w:rPr>
          <w:rFonts w:hint="eastAsia" w:eastAsia="宋体"/>
          <w:sz w:val="28"/>
          <w:szCs w:val="28"/>
          <w:lang w:eastAsia="zh-CN"/>
        </w:rPr>
        <w:t>；</w:t>
      </w:r>
      <w:r>
        <w:rPr>
          <w:rFonts w:eastAsia="宋体"/>
          <w:sz w:val="28"/>
          <w:szCs w:val="28"/>
          <w:lang w:eastAsia="zh-CN"/>
        </w:rPr>
        <w:t>提供关于无意识偏见/性别多样性的培训，以及促进妇女在银行业担任管理和非管理职位的方案。为女性需求量身定制的金融产品已被证明能够有效解决基于性别的金融约束。</w:t>
      </w:r>
      <w:r>
        <w:rPr>
          <w:rFonts w:eastAsia="宋体"/>
          <w:sz w:val="28"/>
          <w:szCs w:val="28"/>
          <w:vertAlign w:val="superscript"/>
          <w:lang w:eastAsia="zh-CN"/>
        </w:rPr>
        <w:t>69</w:t>
      </w:r>
      <w:r>
        <w:rPr>
          <w:rFonts w:eastAsia="宋体"/>
          <w:sz w:val="28"/>
          <w:szCs w:val="28"/>
          <w:lang w:eastAsia="zh-CN"/>
        </w:rPr>
        <w:t>在提供金融服务的同时，提供非金融服务可能会更有效地支持女性企业家。</w:t>
      </w:r>
      <w:r>
        <w:rPr>
          <w:rFonts w:eastAsia="宋体"/>
          <w:sz w:val="28"/>
          <w:szCs w:val="28"/>
          <w:vertAlign w:val="superscript"/>
          <w:lang w:eastAsia="zh-CN"/>
        </w:rPr>
        <w:t>70,71</w:t>
      </w:r>
      <w:r>
        <w:rPr>
          <w:rFonts w:eastAsia="宋体"/>
          <w:sz w:val="28"/>
          <w:szCs w:val="28"/>
          <w:lang w:eastAsia="zh-CN"/>
        </w:rPr>
        <w:t>银行团队中更具性别多样性也可能有助于增加流向女性企业家的融资水平。此外，为银行员工提供性别智能培训也已被证明可以有效解决贷款决策中的性别偏见。</w:t>
      </w:r>
      <w:r>
        <w:rPr>
          <w:rFonts w:eastAsia="宋体"/>
          <w:sz w:val="28"/>
          <w:szCs w:val="28"/>
          <w:vertAlign w:val="superscript"/>
          <w:lang w:eastAsia="zh-CN"/>
        </w:rPr>
        <w:t>72,73,74</w:t>
      </w:r>
      <w:r>
        <w:rPr>
          <w:rFonts w:eastAsia="宋体"/>
          <w:sz w:val="28"/>
          <w:szCs w:val="28"/>
          <w:lang w:eastAsia="zh-CN"/>
        </w:rPr>
        <w:t>因此，子类别2.4.1 -促进妇女获得融资有一个指标:针对女性的产品和项目，以促进女性的发展(表21)。</w:t>
      </w:r>
    </w:p>
    <w:p>
      <w:pPr>
        <w:spacing w:line="400" w:lineRule="exact"/>
        <w:jc w:val="center"/>
        <w:rPr>
          <w:rFonts w:eastAsia="宋体"/>
          <w:b/>
          <w:sz w:val="28"/>
          <w:szCs w:val="28"/>
          <w:lang w:eastAsia="zh-CN"/>
        </w:rPr>
      </w:pPr>
    </w:p>
    <w:p>
      <w:pPr>
        <w:spacing w:line="400" w:lineRule="exact"/>
        <w:jc w:val="center"/>
        <w:rPr>
          <w:rFonts w:eastAsia="宋体"/>
          <w:b/>
          <w:sz w:val="28"/>
          <w:szCs w:val="28"/>
          <w:lang w:eastAsia="zh-CN"/>
        </w:rPr>
      </w:pPr>
    </w:p>
    <w:p>
      <w:pPr>
        <w:spacing w:line="400" w:lineRule="exact"/>
        <w:jc w:val="center"/>
        <w:rPr>
          <w:rFonts w:eastAsia="宋体"/>
          <w:b/>
          <w:sz w:val="28"/>
          <w:szCs w:val="28"/>
          <w:lang w:eastAsia="zh-CN"/>
        </w:rPr>
      </w:pPr>
    </w:p>
    <w:p>
      <w:pPr>
        <w:spacing w:line="400" w:lineRule="exact"/>
        <w:jc w:val="center"/>
        <w:rPr>
          <w:rFonts w:eastAsia="宋体"/>
          <w:b/>
          <w:sz w:val="28"/>
          <w:szCs w:val="28"/>
          <w:lang w:eastAsia="zh-CN"/>
        </w:rPr>
      </w:pPr>
      <w:r>
        <w:rPr>
          <w:rFonts w:eastAsia="宋体"/>
          <w:b/>
          <w:sz w:val="28"/>
          <w:szCs w:val="28"/>
          <w:lang w:eastAsia="zh-CN"/>
        </w:rPr>
        <w:t>表21</w:t>
      </w:r>
      <w:r>
        <w:rPr>
          <w:rFonts w:hint="eastAsia" w:eastAsia="宋体"/>
          <w:b/>
          <w:sz w:val="28"/>
          <w:szCs w:val="28"/>
          <w:lang w:eastAsia="zh-CN"/>
        </w:rPr>
        <w:t xml:space="preserve">. </w:t>
      </w:r>
      <w:r>
        <w:rPr>
          <w:rFonts w:eastAsia="宋体"/>
          <w:b/>
          <w:sz w:val="28"/>
          <w:szCs w:val="28"/>
          <w:lang w:eastAsia="zh-CN"/>
        </w:rPr>
        <w:t>子类别2.4.1</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促进女性获得金融服务</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57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2"/>
              <w:ind w:left="0"/>
              <w:jc w:val="both"/>
              <w:rPr>
                <w:rFonts w:eastAsia="宋体"/>
                <w:sz w:val="24"/>
                <w:szCs w:val="24"/>
                <w:lang w:eastAsia="zh-CN"/>
              </w:rPr>
            </w:pPr>
          </w:p>
        </w:tc>
        <w:tc>
          <w:tcPr>
            <w:tcW w:w="2249"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5726" w:type="dxa"/>
            <w:shd w:val="clear" w:color="auto" w:fill="E7EBF5"/>
            <w:vAlign w:val="center"/>
          </w:tcPr>
          <w:p>
            <w:pPr>
              <w:pStyle w:val="1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446" w:type="dxa"/>
            <w:vAlign w:val="center"/>
          </w:tcPr>
          <w:p>
            <w:pPr>
              <w:pStyle w:val="12"/>
              <w:spacing w:before="162"/>
              <w:jc w:val="both"/>
              <w:rPr>
                <w:rFonts w:eastAsia="宋体"/>
                <w:sz w:val="24"/>
                <w:szCs w:val="24"/>
              </w:rPr>
            </w:pPr>
            <w:r>
              <w:rPr>
                <w:rFonts w:eastAsia="宋体"/>
                <w:sz w:val="24"/>
                <w:szCs w:val="24"/>
              </w:rPr>
              <w:t>1</w:t>
            </w:r>
          </w:p>
        </w:tc>
        <w:tc>
          <w:tcPr>
            <w:tcW w:w="2249" w:type="dxa"/>
            <w:vAlign w:val="center"/>
          </w:tcPr>
          <w:p>
            <w:pPr>
              <w:pStyle w:val="12"/>
              <w:ind w:left="105" w:right="272"/>
              <w:jc w:val="both"/>
              <w:rPr>
                <w:rFonts w:eastAsia="宋体"/>
                <w:sz w:val="24"/>
                <w:szCs w:val="24"/>
                <w:lang w:eastAsia="zh-CN"/>
              </w:rPr>
            </w:pPr>
            <w:r>
              <w:rPr>
                <w:rFonts w:eastAsia="宋体"/>
                <w:sz w:val="24"/>
                <w:szCs w:val="24"/>
                <w:lang w:eastAsia="zh-CN"/>
              </w:rPr>
              <w:t>针对女性的产品和项目，以促进女性的发展</w:t>
            </w:r>
          </w:p>
        </w:tc>
        <w:tc>
          <w:tcPr>
            <w:tcW w:w="5726" w:type="dxa"/>
            <w:vAlign w:val="center"/>
          </w:tcPr>
          <w:p>
            <w:pPr>
              <w:pStyle w:val="12"/>
              <w:tabs>
                <w:tab w:val="left" w:pos="449"/>
                <w:tab w:val="left" w:pos="450"/>
              </w:tabs>
              <w:spacing w:before="2"/>
              <w:ind w:left="449" w:hanging="361"/>
              <w:jc w:val="both"/>
              <w:rPr>
                <w:rFonts w:eastAsia="宋体"/>
                <w:sz w:val="24"/>
                <w:szCs w:val="24"/>
                <w:lang w:eastAsia="zh-CN"/>
              </w:rPr>
            </w:pPr>
            <w:r>
              <w:rPr>
                <w:w w:val="99"/>
                <w:sz w:val="24"/>
                <w:szCs w:val="24"/>
                <w:lang w:eastAsia="zh-CN"/>
              </w:rPr>
              <w:t>i)</w:t>
            </w:r>
            <w:r>
              <w:rPr>
                <w:rFonts w:eastAsia="宋体"/>
                <w:sz w:val="24"/>
                <w:szCs w:val="24"/>
                <w:lang w:eastAsia="zh-CN"/>
              </w:rPr>
              <w:t>商业银行是否提供针对女性的金融产品</w:t>
            </w:r>
          </w:p>
          <w:p>
            <w:pPr>
              <w:pStyle w:val="12"/>
              <w:tabs>
                <w:tab w:val="left" w:pos="450"/>
              </w:tabs>
              <w:ind w:left="449" w:right="98" w:hanging="360"/>
              <w:jc w:val="both"/>
              <w:rPr>
                <w:rFonts w:eastAsia="宋体"/>
                <w:sz w:val="24"/>
                <w:szCs w:val="24"/>
                <w:lang w:eastAsia="zh-CN"/>
              </w:rPr>
            </w:pPr>
            <w:r>
              <w:rPr>
                <w:w w:val="99"/>
                <w:sz w:val="24"/>
                <w:szCs w:val="24"/>
                <w:lang w:eastAsia="zh-CN"/>
              </w:rPr>
              <w:t>ii)</w:t>
            </w:r>
            <w:r>
              <w:rPr>
                <w:rFonts w:eastAsia="宋体"/>
                <w:sz w:val="24"/>
                <w:szCs w:val="24"/>
                <w:lang w:eastAsia="zh-CN"/>
              </w:rPr>
              <w:t>商业银行是否有针对女性的非金融产品(业务拓展服务)</w:t>
            </w:r>
          </w:p>
          <w:p>
            <w:pPr>
              <w:pStyle w:val="12"/>
              <w:tabs>
                <w:tab w:val="left" w:pos="450"/>
              </w:tabs>
              <w:ind w:left="449" w:right="96" w:hanging="360"/>
              <w:jc w:val="both"/>
              <w:rPr>
                <w:rFonts w:eastAsia="宋体"/>
                <w:sz w:val="24"/>
                <w:szCs w:val="24"/>
                <w:lang w:eastAsia="zh-CN"/>
              </w:rPr>
            </w:pPr>
            <w:r>
              <w:rPr>
                <w:w w:val="99"/>
                <w:sz w:val="24"/>
                <w:szCs w:val="24"/>
                <w:lang w:eastAsia="zh-CN"/>
              </w:rPr>
              <w:t>iii)</w:t>
            </w:r>
            <w:r>
              <w:rPr>
                <w:rFonts w:eastAsia="宋体"/>
                <w:sz w:val="24"/>
                <w:szCs w:val="24"/>
                <w:lang w:eastAsia="zh-CN"/>
              </w:rPr>
              <w:t>商业银行是否为员工提供关于无意识偏见/性别多样性的培训</w:t>
            </w:r>
          </w:p>
          <w:p>
            <w:pPr>
              <w:pStyle w:val="12"/>
              <w:tabs>
                <w:tab w:val="left" w:pos="450"/>
              </w:tabs>
              <w:ind w:left="449" w:right="98" w:hanging="360"/>
              <w:jc w:val="both"/>
              <w:rPr>
                <w:rFonts w:eastAsia="宋体"/>
                <w:sz w:val="24"/>
                <w:szCs w:val="24"/>
                <w:lang w:eastAsia="zh-CN"/>
              </w:rPr>
            </w:pPr>
            <w:r>
              <w:rPr>
                <w:w w:val="99"/>
                <w:sz w:val="24"/>
                <w:szCs w:val="24"/>
                <w:lang w:eastAsia="zh-CN"/>
              </w:rPr>
              <w:t>iv)</w:t>
            </w:r>
            <w:r>
              <w:rPr>
                <w:rFonts w:eastAsia="宋体"/>
                <w:sz w:val="24"/>
                <w:szCs w:val="24"/>
                <w:lang w:eastAsia="zh-CN"/>
              </w:rPr>
              <w:t>是否有促进女性担任银行部门高级行政/管理职位和/或非管理职位的计划/倡议</w:t>
            </w:r>
          </w:p>
        </w:tc>
      </w:tr>
    </w:tbl>
    <w:p>
      <w:pPr>
        <w:pStyle w:val="5"/>
        <w:spacing w:line="400" w:lineRule="exact"/>
        <w:rPr>
          <w:b/>
          <w:lang w:eastAsia="zh-CN"/>
        </w:rPr>
      </w:pPr>
    </w:p>
    <w:p>
      <w:pPr>
        <w:tabs>
          <w:tab w:val="left" w:pos="840"/>
        </w:tabs>
        <w:spacing w:line="400" w:lineRule="exact"/>
        <w:outlineLvl w:val="3"/>
        <w:rPr>
          <w:rFonts w:eastAsia="宋体"/>
          <w:b/>
          <w:sz w:val="28"/>
          <w:szCs w:val="28"/>
          <w:lang w:eastAsia="zh-CN"/>
        </w:rPr>
      </w:pPr>
      <w:r>
        <w:rPr>
          <w:rFonts w:eastAsia="宋体"/>
          <w:b/>
          <w:color w:val="2E5395"/>
          <w:sz w:val="28"/>
          <w:szCs w:val="28"/>
          <w:lang w:eastAsia="zh-CN"/>
        </w:rPr>
        <w:t>3.维度III</w:t>
      </w:r>
      <w:r>
        <w:rPr>
          <w:rFonts w:hint="eastAsia" w:eastAsia="宋体"/>
          <w:b/>
          <w:color w:val="2E5395"/>
          <w:sz w:val="28"/>
          <w:szCs w:val="28"/>
          <w:lang w:eastAsia="zh-CN"/>
        </w:rPr>
        <w:t>.</w:t>
      </w:r>
      <w:r>
        <w:rPr>
          <w:rFonts w:eastAsia="宋体"/>
          <w:b/>
          <w:color w:val="2E5395"/>
          <w:sz w:val="28"/>
          <w:szCs w:val="28"/>
          <w:lang w:eastAsia="zh-CN"/>
        </w:rPr>
        <w:t>效率:在实践中接受金融服务的效率</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表22显示了维度III的结构，即实际接受金融服务的效率。这一维度的每一个类别都将按照表中所示的顺序进行更详细的讨论。</w:t>
      </w:r>
    </w:p>
    <w:p>
      <w:pPr>
        <w:pStyle w:val="5"/>
        <w:spacing w:line="400" w:lineRule="exact"/>
        <w:ind w:firstLine="560" w:firstLineChars="200"/>
        <w:rPr>
          <w:rFonts w:eastAsia="宋体"/>
          <w:sz w:val="28"/>
          <w:szCs w:val="28"/>
          <w:lang w:eastAsia="zh-CN"/>
        </w:rPr>
      </w:pPr>
    </w:p>
    <w:p>
      <w:pPr>
        <w:spacing w:line="400" w:lineRule="exact"/>
        <w:jc w:val="center"/>
        <w:rPr>
          <w:rFonts w:eastAsia="宋体"/>
          <w:b/>
          <w:sz w:val="28"/>
          <w:szCs w:val="28"/>
          <w:lang w:eastAsia="zh-CN"/>
        </w:rPr>
      </w:pPr>
      <w:r>
        <w:rPr>
          <w:rFonts w:eastAsia="宋体"/>
          <w:b/>
          <w:sz w:val="28"/>
          <w:szCs w:val="28"/>
          <w:lang w:eastAsia="zh-CN"/>
        </w:rPr>
        <w:t>表22</w:t>
      </w:r>
      <w:r>
        <w:rPr>
          <w:rFonts w:hint="eastAsia" w:eastAsia="宋体"/>
          <w:b/>
          <w:sz w:val="28"/>
          <w:szCs w:val="28"/>
          <w:lang w:eastAsia="zh-CN"/>
        </w:rPr>
        <w:t xml:space="preserve">. </w:t>
      </w:r>
      <w:r>
        <w:rPr>
          <w:rFonts w:eastAsia="宋体"/>
          <w:b/>
          <w:sz w:val="28"/>
          <w:szCs w:val="28"/>
          <w:lang w:eastAsia="zh-CN"/>
        </w:rPr>
        <w:t>维度II</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实践中接受金融服务的效率</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72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12"/>
              <w:rPr>
                <w:rFonts w:eastAsia="宋体"/>
                <w:b/>
                <w:sz w:val="24"/>
                <w:szCs w:val="24"/>
              </w:rPr>
            </w:pPr>
            <w:r>
              <w:rPr>
                <w:rFonts w:eastAsia="宋体"/>
                <w:b/>
                <w:spacing w:val="-5"/>
                <w:sz w:val="24"/>
                <w:szCs w:val="24"/>
              </w:rPr>
              <w:t>3.1</w:t>
            </w:r>
          </w:p>
        </w:tc>
        <w:tc>
          <w:tcPr>
            <w:tcW w:w="7252" w:type="dxa"/>
            <w:shd w:val="clear" w:color="auto" w:fill="E7EBF5"/>
          </w:tcPr>
          <w:p>
            <w:pPr>
              <w:pStyle w:val="12"/>
              <w:rPr>
                <w:rFonts w:eastAsia="宋体"/>
                <w:b/>
                <w:sz w:val="24"/>
                <w:szCs w:val="24"/>
              </w:rPr>
            </w:pPr>
            <w:r>
              <w:rPr>
                <w:rFonts w:eastAsia="宋体"/>
                <w:b/>
                <w:spacing w:val="-2"/>
                <w:sz w:val="24"/>
                <w:szCs w:val="24"/>
              </w:rPr>
              <w:t>贷款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12"/>
              <w:rPr>
                <w:rFonts w:eastAsia="宋体"/>
                <w:sz w:val="24"/>
                <w:szCs w:val="24"/>
              </w:rPr>
            </w:pPr>
            <w:r>
              <w:rPr>
                <w:rFonts w:eastAsia="宋体"/>
                <w:spacing w:val="-2"/>
                <w:sz w:val="24"/>
                <w:szCs w:val="24"/>
              </w:rPr>
              <w:t>3.1.1</w:t>
            </w:r>
          </w:p>
        </w:tc>
        <w:tc>
          <w:tcPr>
            <w:tcW w:w="7252" w:type="dxa"/>
          </w:tcPr>
          <w:p>
            <w:pPr>
              <w:pStyle w:val="12"/>
              <w:rPr>
                <w:rFonts w:eastAsia="宋体"/>
                <w:sz w:val="24"/>
                <w:szCs w:val="24"/>
              </w:rPr>
            </w:pPr>
            <w:r>
              <w:rPr>
                <w:rFonts w:eastAsia="宋体"/>
                <w:sz w:val="24"/>
                <w:szCs w:val="24"/>
              </w:rPr>
              <w:t>获得贷款的时间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2"/>
              <w:rPr>
                <w:rFonts w:eastAsia="宋体"/>
                <w:sz w:val="24"/>
                <w:szCs w:val="24"/>
              </w:rPr>
            </w:pPr>
            <w:r>
              <w:rPr>
                <w:rFonts w:eastAsia="宋体"/>
                <w:spacing w:val="-2"/>
                <w:sz w:val="24"/>
                <w:szCs w:val="24"/>
              </w:rPr>
              <w:t>3.1.2</w:t>
            </w:r>
          </w:p>
        </w:tc>
        <w:tc>
          <w:tcPr>
            <w:tcW w:w="7252" w:type="dxa"/>
          </w:tcPr>
          <w:p>
            <w:pPr>
              <w:pStyle w:val="12"/>
              <w:rPr>
                <w:rFonts w:eastAsia="宋体"/>
                <w:sz w:val="24"/>
                <w:szCs w:val="24"/>
              </w:rPr>
            </w:pPr>
            <w:r>
              <w:rPr>
                <w:rFonts w:eastAsia="宋体"/>
                <w:sz w:val="24"/>
                <w:szCs w:val="24"/>
              </w:rPr>
              <w:t>获得贷款的成本</w:t>
            </w:r>
          </w:p>
        </w:tc>
      </w:tr>
    </w:tbl>
    <w:p>
      <w:pPr>
        <w:rPr>
          <w:rFonts w:eastAsia="宋体"/>
          <w:sz w:val="24"/>
          <w:szCs w:val="24"/>
        </w:rPr>
        <w:sectPr>
          <w:pgSz w:w="12240" w:h="15840"/>
          <w:pgMar w:top="1440" w:right="1800" w:bottom="1440" w:left="1800" w:header="720" w:footer="720" w:gutter="0"/>
          <w:cols w:space="720" w:num="1"/>
        </w:sectPr>
      </w:pP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7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5" w:hRule="atLeast"/>
        </w:trPr>
        <w:tc>
          <w:tcPr>
            <w:tcW w:w="1186" w:type="dxa"/>
          </w:tcPr>
          <w:p>
            <w:pPr>
              <w:pStyle w:val="12"/>
              <w:rPr>
                <w:rFonts w:eastAsia="宋体"/>
                <w:sz w:val="24"/>
                <w:szCs w:val="24"/>
              </w:rPr>
            </w:pPr>
            <w:r>
              <w:rPr>
                <w:rFonts w:eastAsia="宋体"/>
                <w:spacing w:val="-2"/>
                <w:sz w:val="24"/>
                <w:szCs w:val="24"/>
              </w:rPr>
              <w:t>3.1.3</w:t>
            </w:r>
          </w:p>
        </w:tc>
        <w:tc>
          <w:tcPr>
            <w:tcW w:w="7235" w:type="dxa"/>
          </w:tcPr>
          <w:p>
            <w:pPr>
              <w:pStyle w:val="12"/>
              <w:rPr>
                <w:rFonts w:eastAsia="宋体"/>
                <w:sz w:val="24"/>
                <w:szCs w:val="24"/>
                <w:lang w:eastAsia="zh-CN"/>
              </w:rPr>
            </w:pPr>
            <w:r>
              <w:rPr>
                <w:rFonts w:eastAsia="宋体"/>
                <w:sz w:val="24"/>
                <w:szCs w:val="24"/>
                <w:lang w:eastAsia="zh-CN"/>
              </w:rPr>
              <w:t>担保权益与信用数据更新的效率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2"/>
              <w:spacing w:before="2"/>
              <w:rPr>
                <w:rFonts w:eastAsia="宋体"/>
                <w:sz w:val="24"/>
                <w:szCs w:val="24"/>
              </w:rPr>
            </w:pPr>
            <w:r>
              <w:rPr>
                <w:rFonts w:eastAsia="宋体"/>
                <w:spacing w:val="-2"/>
                <w:sz w:val="24"/>
                <w:szCs w:val="24"/>
              </w:rPr>
              <w:t>3.1.4</w:t>
            </w:r>
          </w:p>
        </w:tc>
        <w:tc>
          <w:tcPr>
            <w:tcW w:w="7235" w:type="dxa"/>
          </w:tcPr>
          <w:p>
            <w:pPr>
              <w:pStyle w:val="12"/>
              <w:spacing w:before="2"/>
              <w:rPr>
                <w:rFonts w:eastAsia="宋体"/>
                <w:sz w:val="24"/>
                <w:szCs w:val="24"/>
                <w:lang w:eastAsia="zh-CN"/>
              </w:rPr>
            </w:pPr>
            <w:r>
              <w:rPr>
                <w:rFonts w:eastAsia="宋体"/>
                <w:sz w:val="24"/>
                <w:szCs w:val="24"/>
                <w:lang w:eastAsia="zh-CN"/>
              </w:rPr>
              <w:t>在获得贷款和其他银行服务方面的性别差距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12"/>
              <w:rPr>
                <w:rFonts w:eastAsia="宋体"/>
                <w:b/>
                <w:sz w:val="24"/>
                <w:szCs w:val="24"/>
              </w:rPr>
            </w:pPr>
            <w:r>
              <w:rPr>
                <w:rFonts w:eastAsia="宋体"/>
                <w:b/>
                <w:spacing w:val="-5"/>
                <w:sz w:val="24"/>
                <w:szCs w:val="24"/>
              </w:rPr>
              <w:t>3.2</w:t>
            </w:r>
          </w:p>
        </w:tc>
        <w:tc>
          <w:tcPr>
            <w:tcW w:w="7235" w:type="dxa"/>
            <w:shd w:val="clear" w:color="auto" w:fill="E7EBF5"/>
          </w:tcPr>
          <w:p>
            <w:pPr>
              <w:pStyle w:val="12"/>
              <w:rPr>
                <w:rFonts w:eastAsia="宋体"/>
                <w:b/>
                <w:sz w:val="24"/>
                <w:szCs w:val="24"/>
              </w:rPr>
            </w:pPr>
            <w:r>
              <w:rPr>
                <w:rFonts w:eastAsia="宋体"/>
                <w:b/>
                <w:spacing w:val="-2"/>
                <w:sz w:val="24"/>
                <w:szCs w:val="24"/>
                <w:lang w:eastAsia="zh-CN"/>
              </w:rPr>
              <w:t>电子</w:t>
            </w:r>
            <w:r>
              <w:rPr>
                <w:rFonts w:eastAsia="宋体"/>
                <w:b/>
                <w:spacing w:val="-2"/>
                <w:sz w:val="24"/>
                <w:szCs w:val="24"/>
              </w:rPr>
              <w:t>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2"/>
              <w:rPr>
                <w:rFonts w:eastAsia="宋体"/>
                <w:sz w:val="24"/>
                <w:szCs w:val="24"/>
              </w:rPr>
            </w:pPr>
            <w:r>
              <w:rPr>
                <w:rFonts w:eastAsia="宋体"/>
                <w:spacing w:val="-2"/>
                <w:sz w:val="24"/>
                <w:szCs w:val="24"/>
              </w:rPr>
              <w:t>3.2.1</w:t>
            </w:r>
          </w:p>
        </w:tc>
        <w:tc>
          <w:tcPr>
            <w:tcW w:w="7235" w:type="dxa"/>
          </w:tcPr>
          <w:p>
            <w:pPr>
              <w:pStyle w:val="12"/>
              <w:rPr>
                <w:rFonts w:eastAsia="宋体"/>
                <w:sz w:val="24"/>
                <w:szCs w:val="24"/>
                <w:lang w:eastAsia="zh-CN"/>
              </w:rPr>
            </w:pPr>
            <w:r>
              <w:rPr>
                <w:rFonts w:eastAsia="宋体"/>
                <w:sz w:val="24"/>
                <w:szCs w:val="24"/>
              </w:rPr>
              <w:t>接收电子付款的</w:t>
            </w:r>
            <w:r>
              <w:rPr>
                <w:rFonts w:eastAsia="宋体"/>
                <w:sz w:val="24"/>
                <w:szCs w:val="24"/>
                <w:lang w:eastAsia="zh-CN"/>
              </w:rPr>
              <w:t>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12"/>
              <w:ind w:left="86"/>
              <w:rPr>
                <w:rFonts w:eastAsia="宋体"/>
                <w:sz w:val="24"/>
                <w:szCs w:val="24"/>
              </w:rPr>
            </w:pPr>
            <w:r>
              <w:rPr>
                <w:rFonts w:eastAsia="宋体"/>
                <w:spacing w:val="-2"/>
                <w:sz w:val="24"/>
                <w:szCs w:val="24"/>
              </w:rPr>
              <w:t>3.2.2</w:t>
            </w:r>
          </w:p>
        </w:tc>
        <w:tc>
          <w:tcPr>
            <w:tcW w:w="7235" w:type="dxa"/>
          </w:tcPr>
          <w:p>
            <w:pPr>
              <w:pStyle w:val="12"/>
              <w:rPr>
                <w:rFonts w:eastAsia="宋体"/>
                <w:sz w:val="24"/>
                <w:szCs w:val="24"/>
                <w:lang w:eastAsia="zh-CN"/>
              </w:rPr>
            </w:pPr>
            <w:r>
              <w:rPr>
                <w:rFonts w:eastAsia="宋体"/>
                <w:sz w:val="24"/>
                <w:szCs w:val="24"/>
                <w:lang w:eastAsia="zh-CN"/>
              </w:rPr>
              <w:t>进行电子支付的费用或成本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12"/>
              <w:ind w:left="86"/>
              <w:rPr>
                <w:rFonts w:eastAsia="宋体"/>
                <w:sz w:val="24"/>
                <w:szCs w:val="24"/>
              </w:rPr>
            </w:pPr>
            <w:r>
              <w:rPr>
                <w:rFonts w:eastAsia="宋体"/>
                <w:spacing w:val="-2"/>
                <w:sz w:val="24"/>
                <w:szCs w:val="24"/>
              </w:rPr>
              <w:t>3.2.3</w:t>
            </w:r>
          </w:p>
        </w:tc>
        <w:tc>
          <w:tcPr>
            <w:tcW w:w="7235" w:type="dxa"/>
          </w:tcPr>
          <w:p>
            <w:pPr>
              <w:pStyle w:val="12"/>
              <w:rPr>
                <w:rFonts w:eastAsia="宋体"/>
                <w:sz w:val="24"/>
                <w:szCs w:val="24"/>
              </w:rPr>
            </w:pPr>
            <w:r>
              <w:rPr>
                <w:rFonts w:eastAsia="宋体"/>
                <w:sz w:val="24"/>
                <w:szCs w:val="24"/>
              </w:rPr>
              <w:t>收到电子付款的</w:t>
            </w:r>
            <w:r>
              <w:rPr>
                <w:rFonts w:eastAsia="宋体"/>
                <w:sz w:val="24"/>
                <w:szCs w:val="24"/>
                <w:lang w:eastAsia="zh-CN"/>
              </w:rPr>
              <w:t xml:space="preserve"> </w:t>
            </w:r>
            <w:r>
              <w:rPr>
                <w:rFonts w:eastAsia="宋体"/>
                <w:sz w:val="24"/>
                <w:szCs w:val="24"/>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2"/>
              <w:spacing w:before="2"/>
              <w:ind w:left="86"/>
              <w:rPr>
                <w:rFonts w:eastAsia="宋体"/>
                <w:sz w:val="24"/>
                <w:szCs w:val="24"/>
              </w:rPr>
            </w:pPr>
            <w:r>
              <w:rPr>
                <w:rFonts w:eastAsia="宋体"/>
                <w:spacing w:val="-2"/>
                <w:sz w:val="24"/>
                <w:szCs w:val="24"/>
              </w:rPr>
              <w:t>3.2.4</w:t>
            </w:r>
          </w:p>
        </w:tc>
        <w:tc>
          <w:tcPr>
            <w:tcW w:w="7235" w:type="dxa"/>
          </w:tcPr>
          <w:p>
            <w:pPr>
              <w:pStyle w:val="12"/>
              <w:spacing w:before="2"/>
              <w:rPr>
                <w:rFonts w:eastAsia="宋体"/>
                <w:sz w:val="24"/>
                <w:szCs w:val="24"/>
                <w:lang w:eastAsia="zh-CN"/>
              </w:rPr>
            </w:pPr>
            <w:r>
              <w:rPr>
                <w:rFonts w:eastAsia="宋体"/>
                <w:sz w:val="24"/>
                <w:szCs w:val="24"/>
                <w:lang w:eastAsia="zh-CN"/>
              </w:rPr>
              <w:t>接收电子支付的使用水平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12"/>
              <w:ind w:left="86"/>
              <w:rPr>
                <w:rFonts w:eastAsia="宋体"/>
                <w:sz w:val="24"/>
                <w:szCs w:val="24"/>
              </w:rPr>
            </w:pPr>
            <w:r>
              <w:rPr>
                <w:rFonts w:eastAsia="宋体"/>
                <w:spacing w:val="-2"/>
                <w:sz w:val="24"/>
                <w:szCs w:val="24"/>
              </w:rPr>
              <w:t>3.2.5</w:t>
            </w:r>
          </w:p>
        </w:tc>
        <w:tc>
          <w:tcPr>
            <w:tcW w:w="7235" w:type="dxa"/>
          </w:tcPr>
          <w:p>
            <w:pPr>
              <w:pStyle w:val="12"/>
              <w:rPr>
                <w:rFonts w:eastAsia="宋体"/>
                <w:sz w:val="24"/>
                <w:szCs w:val="24"/>
              </w:rPr>
            </w:pPr>
            <w:r>
              <w:rPr>
                <w:rFonts w:eastAsia="宋体"/>
                <w:sz w:val="24"/>
                <w:szCs w:val="24"/>
              </w:rPr>
              <w:t>电子支付的使用水平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2"/>
              <w:ind w:left="86"/>
              <w:rPr>
                <w:rFonts w:eastAsia="宋体"/>
                <w:sz w:val="24"/>
                <w:szCs w:val="24"/>
              </w:rPr>
            </w:pPr>
            <w:r>
              <w:rPr>
                <w:rFonts w:eastAsia="宋体"/>
                <w:spacing w:val="-2"/>
                <w:sz w:val="24"/>
                <w:szCs w:val="24"/>
              </w:rPr>
              <w:t>3.2.6</w:t>
            </w:r>
          </w:p>
        </w:tc>
        <w:tc>
          <w:tcPr>
            <w:tcW w:w="7235" w:type="dxa"/>
          </w:tcPr>
          <w:p>
            <w:pPr>
              <w:pStyle w:val="12"/>
              <w:rPr>
                <w:rFonts w:eastAsia="宋体"/>
                <w:sz w:val="24"/>
                <w:szCs w:val="24"/>
                <w:lang w:eastAsia="zh-CN"/>
              </w:rPr>
            </w:pPr>
            <w:r>
              <w:rPr>
                <w:rFonts w:eastAsia="宋体"/>
                <w:sz w:val="24"/>
                <w:szCs w:val="24"/>
                <w:lang w:eastAsia="zh-CN"/>
              </w:rPr>
              <w:t>电子支付使用方面的性别差异</w:t>
            </w:r>
          </w:p>
        </w:tc>
      </w:tr>
    </w:tbl>
    <w:p>
      <w:pPr>
        <w:pStyle w:val="5"/>
        <w:spacing w:before="6"/>
        <w:rPr>
          <w:b/>
          <w:sz w:val="14"/>
          <w:lang w:eastAsia="zh-CN"/>
        </w:rPr>
      </w:pPr>
    </w:p>
    <w:p>
      <w:pPr>
        <w:pStyle w:val="11"/>
        <w:tabs>
          <w:tab w:val="left" w:pos="840"/>
          <w:tab w:val="left" w:pos="841"/>
        </w:tabs>
        <w:spacing w:line="400" w:lineRule="exact"/>
        <w:ind w:left="0" w:firstLine="0"/>
        <w:jc w:val="left"/>
        <w:outlineLvl w:val="1"/>
        <w:rPr>
          <w:rFonts w:eastAsia="宋体"/>
          <w:b/>
          <w:sz w:val="28"/>
          <w:szCs w:val="28"/>
          <w:lang w:eastAsia="zh-CN"/>
        </w:rPr>
      </w:pPr>
      <w:r>
        <w:rPr>
          <w:rFonts w:eastAsia="宋体"/>
          <w:b/>
          <w:spacing w:val="-2"/>
          <w:sz w:val="28"/>
          <w:szCs w:val="28"/>
          <w:lang w:eastAsia="zh-CN"/>
        </w:rPr>
        <w:t>3.1贷款</w:t>
      </w:r>
    </w:p>
    <w:p>
      <w:pPr>
        <w:pStyle w:val="5"/>
        <w:spacing w:line="400" w:lineRule="exact"/>
        <w:ind w:firstLine="560" w:firstLineChars="200"/>
        <w:jc w:val="both"/>
        <w:rPr>
          <w:rFonts w:eastAsia="宋体"/>
          <w:sz w:val="28"/>
          <w:szCs w:val="28"/>
        </w:rPr>
      </w:pPr>
      <w:r>
        <w:rPr>
          <w:rFonts w:eastAsia="宋体"/>
          <w:sz w:val="28"/>
          <w:szCs w:val="28"/>
          <w:lang w:eastAsia="zh-CN"/>
        </w:rPr>
        <w:t>对于企业来说，及时获得融资以继续经营、管理波动的现金流和扩张是很重要的。昂贵的融资流程对企业来说是一种负担，高昂的费用，如发起费、服务费和处理费等，可能会阻碍企业申请和获得贷款。</w:t>
      </w:r>
      <w:r>
        <w:rPr>
          <w:rFonts w:eastAsia="宋体"/>
          <w:sz w:val="28"/>
          <w:szCs w:val="28"/>
          <w:vertAlign w:val="superscript"/>
          <w:lang w:eastAsia="zh-CN"/>
        </w:rPr>
        <w:t>75</w:t>
      </w:r>
      <w:r>
        <w:rPr>
          <w:rFonts w:eastAsia="宋体"/>
          <w:sz w:val="28"/>
          <w:szCs w:val="28"/>
          <w:lang w:eastAsia="zh-CN"/>
        </w:rPr>
        <w:t>此外，拥有高效和低成本的流程，在抵押品登记处登记担保权益，并将信息反映在用于信用报告的信用局/登记处，这对公司是有益的，因为它们使获得贷款的过程成本更低，负担更少，效率更高。</w:t>
      </w:r>
      <w:r>
        <w:rPr>
          <w:rFonts w:eastAsia="宋体"/>
          <w:sz w:val="28"/>
          <w:szCs w:val="28"/>
          <w:vertAlign w:val="superscript"/>
          <w:lang w:eastAsia="zh-CN"/>
        </w:rPr>
        <w:t>76</w:t>
      </w:r>
      <w:r>
        <w:rPr>
          <w:rFonts w:eastAsia="宋体"/>
          <w:sz w:val="28"/>
          <w:szCs w:val="28"/>
          <w:lang w:eastAsia="zh-CN"/>
        </w:rPr>
        <w:t>此外，女性企业家获得金融服务的情况也在这一类别下进行评估。</w:t>
      </w:r>
      <w:r>
        <w:rPr>
          <w:rFonts w:eastAsia="宋体"/>
          <w:sz w:val="28"/>
          <w:szCs w:val="28"/>
          <w:vertAlign w:val="superscript"/>
        </w:rPr>
        <w:t>77,78,79</w:t>
      </w:r>
      <w:r>
        <w:rPr>
          <w:rFonts w:eastAsia="宋体"/>
          <w:sz w:val="28"/>
          <w:szCs w:val="28"/>
        </w:rPr>
        <w:t>因此，3.1类有四个指标(表23)。</w:t>
      </w:r>
    </w:p>
    <w:p>
      <w:pPr>
        <w:pStyle w:val="5"/>
        <w:spacing w:line="400" w:lineRule="exact"/>
        <w:ind w:firstLine="560" w:firstLineChars="200"/>
        <w:jc w:val="both"/>
        <w:rPr>
          <w:rFonts w:eastAsia="宋体"/>
          <w:sz w:val="28"/>
          <w:szCs w:val="28"/>
        </w:rPr>
      </w:pPr>
    </w:p>
    <w:p>
      <w:pPr>
        <w:spacing w:line="400" w:lineRule="exact"/>
        <w:jc w:val="center"/>
        <w:rPr>
          <w:rFonts w:eastAsia="宋体"/>
          <w:b/>
          <w:sz w:val="28"/>
          <w:szCs w:val="28"/>
        </w:rPr>
      </w:pPr>
      <w:r>
        <w:rPr>
          <w:rFonts w:eastAsia="宋体"/>
          <w:b/>
          <w:sz w:val="28"/>
          <w:szCs w:val="28"/>
        </w:rPr>
        <w:t>表23</w:t>
      </w:r>
      <w:r>
        <w:rPr>
          <w:rFonts w:hint="eastAsia" w:eastAsia="宋体"/>
          <w:b/>
          <w:sz w:val="28"/>
          <w:szCs w:val="28"/>
          <w:lang w:eastAsia="zh-CN"/>
        </w:rPr>
        <w:t>.</w:t>
      </w:r>
      <w:r>
        <w:rPr>
          <w:rFonts w:eastAsia="宋体"/>
          <w:b/>
          <w:sz w:val="28"/>
          <w:szCs w:val="28"/>
          <w:lang w:eastAsia="zh-CN"/>
        </w:rPr>
        <w:t xml:space="preserve"> </w:t>
      </w:r>
      <w:r>
        <w:rPr>
          <w:rFonts w:eastAsia="宋体"/>
          <w:b/>
          <w:sz w:val="28"/>
          <w:szCs w:val="28"/>
        </w:rPr>
        <w:t>3.1类贷款</w:t>
      </w:r>
    </w:p>
    <w:tbl>
      <w:tblPr>
        <w:tblStyle w:val="8"/>
        <w:tblW w:w="8806"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2"/>
              <w:ind w:left="0"/>
              <w:jc w:val="both"/>
              <w:rPr>
                <w:rFonts w:eastAsia="宋体"/>
                <w:sz w:val="24"/>
                <w:szCs w:val="24"/>
              </w:rPr>
            </w:pPr>
          </w:p>
        </w:tc>
        <w:tc>
          <w:tcPr>
            <w:tcW w:w="2249"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6111" w:type="dxa"/>
            <w:shd w:val="clear" w:color="auto" w:fill="E7EBF5"/>
            <w:vAlign w:val="center"/>
          </w:tcPr>
          <w:p>
            <w:pPr>
              <w:pStyle w:val="1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spacing w:before="103"/>
              <w:jc w:val="both"/>
              <w:rPr>
                <w:rFonts w:eastAsia="宋体"/>
                <w:sz w:val="24"/>
                <w:szCs w:val="24"/>
              </w:rPr>
            </w:pPr>
            <w:r>
              <w:rPr>
                <w:rFonts w:eastAsia="宋体"/>
                <w:sz w:val="24"/>
                <w:szCs w:val="24"/>
              </w:rPr>
              <w:t>1</w:t>
            </w:r>
          </w:p>
        </w:tc>
        <w:tc>
          <w:tcPr>
            <w:tcW w:w="2249" w:type="dxa"/>
            <w:vAlign w:val="center"/>
          </w:tcPr>
          <w:p>
            <w:pPr>
              <w:pStyle w:val="12"/>
              <w:spacing w:before="103"/>
              <w:ind w:left="105"/>
              <w:jc w:val="both"/>
              <w:rPr>
                <w:rFonts w:eastAsia="宋体"/>
                <w:sz w:val="24"/>
                <w:szCs w:val="24"/>
                <w:lang w:eastAsia="zh-CN"/>
              </w:rPr>
            </w:pPr>
            <w:r>
              <w:rPr>
                <w:rFonts w:eastAsia="宋体"/>
                <w:sz w:val="24"/>
                <w:szCs w:val="24"/>
              </w:rPr>
              <w:t>获得贷款</w:t>
            </w:r>
            <w:r>
              <w:rPr>
                <w:rFonts w:eastAsia="宋体"/>
                <w:sz w:val="24"/>
                <w:szCs w:val="24"/>
                <w:lang w:eastAsia="zh-CN"/>
              </w:rPr>
              <w:t>的时间</w:t>
            </w:r>
          </w:p>
        </w:tc>
        <w:tc>
          <w:tcPr>
            <w:tcW w:w="6111" w:type="dxa"/>
            <w:vAlign w:val="center"/>
          </w:tcPr>
          <w:p>
            <w:pPr>
              <w:pStyle w:val="12"/>
              <w:ind w:left="108"/>
              <w:jc w:val="both"/>
              <w:rPr>
                <w:rFonts w:eastAsia="宋体"/>
                <w:sz w:val="24"/>
                <w:szCs w:val="24"/>
                <w:lang w:eastAsia="zh-CN"/>
              </w:rPr>
            </w:pPr>
            <w:r>
              <w:rPr>
                <w:rFonts w:eastAsia="宋体"/>
                <w:sz w:val="24"/>
                <w:szCs w:val="24"/>
                <w:lang w:eastAsia="zh-CN"/>
              </w:rPr>
              <w:t>从提交申请开始，到传达贷款决定的时间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446" w:type="dxa"/>
            <w:vAlign w:val="center"/>
          </w:tcPr>
          <w:p>
            <w:pPr>
              <w:pStyle w:val="12"/>
              <w:spacing w:before="102"/>
              <w:jc w:val="both"/>
              <w:rPr>
                <w:rFonts w:eastAsia="宋体"/>
                <w:sz w:val="24"/>
                <w:szCs w:val="24"/>
              </w:rPr>
            </w:pPr>
            <w:r>
              <w:rPr>
                <w:rFonts w:eastAsia="宋体"/>
                <w:sz w:val="24"/>
                <w:szCs w:val="24"/>
              </w:rPr>
              <w:t>2</w:t>
            </w:r>
          </w:p>
        </w:tc>
        <w:tc>
          <w:tcPr>
            <w:tcW w:w="2249" w:type="dxa"/>
            <w:vAlign w:val="center"/>
          </w:tcPr>
          <w:p>
            <w:pPr>
              <w:pStyle w:val="12"/>
              <w:spacing w:before="102"/>
              <w:ind w:left="105"/>
              <w:jc w:val="both"/>
              <w:rPr>
                <w:rFonts w:eastAsia="宋体"/>
                <w:sz w:val="24"/>
                <w:szCs w:val="24"/>
              </w:rPr>
            </w:pPr>
            <w:r>
              <w:rPr>
                <w:rFonts w:eastAsia="宋体"/>
                <w:sz w:val="24"/>
                <w:szCs w:val="24"/>
              </w:rPr>
              <w:t>获得贷款的成本</w:t>
            </w:r>
          </w:p>
        </w:tc>
        <w:tc>
          <w:tcPr>
            <w:tcW w:w="6111" w:type="dxa"/>
            <w:vAlign w:val="center"/>
          </w:tcPr>
          <w:p>
            <w:pPr>
              <w:pStyle w:val="12"/>
              <w:ind w:left="108"/>
              <w:jc w:val="both"/>
              <w:rPr>
                <w:rFonts w:eastAsia="宋体"/>
                <w:sz w:val="24"/>
                <w:szCs w:val="24"/>
                <w:lang w:eastAsia="zh-CN"/>
              </w:rPr>
            </w:pPr>
            <w:r>
              <w:rPr>
                <w:rFonts w:eastAsia="宋体"/>
                <w:sz w:val="24"/>
                <w:szCs w:val="24"/>
                <w:lang w:eastAsia="zh-CN"/>
              </w:rPr>
              <w:t>为申请贷款而支付的所有费用的成本，包括贷款发起、服务、处理和保险费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446" w:type="dxa"/>
            <w:vAlign w:val="center"/>
          </w:tcPr>
          <w:p>
            <w:pPr>
              <w:pStyle w:val="12"/>
              <w:spacing w:before="1"/>
              <w:jc w:val="both"/>
              <w:rPr>
                <w:rFonts w:eastAsia="宋体"/>
                <w:sz w:val="24"/>
                <w:szCs w:val="24"/>
              </w:rPr>
            </w:pPr>
            <w:r>
              <w:rPr>
                <w:rFonts w:eastAsia="宋体"/>
                <w:sz w:val="24"/>
                <w:szCs w:val="24"/>
              </w:rPr>
              <w:t>3.</w:t>
            </w:r>
          </w:p>
        </w:tc>
        <w:tc>
          <w:tcPr>
            <w:tcW w:w="2249" w:type="dxa"/>
            <w:vAlign w:val="center"/>
          </w:tcPr>
          <w:p>
            <w:pPr>
              <w:pStyle w:val="12"/>
              <w:spacing w:before="105"/>
              <w:ind w:left="105" w:right="138"/>
              <w:jc w:val="both"/>
              <w:rPr>
                <w:rFonts w:eastAsia="宋体"/>
                <w:sz w:val="24"/>
                <w:szCs w:val="24"/>
                <w:lang w:eastAsia="zh-CN"/>
              </w:rPr>
            </w:pPr>
            <w:r>
              <w:rPr>
                <w:rFonts w:eastAsia="宋体"/>
                <w:sz w:val="24"/>
                <w:szCs w:val="24"/>
                <w:lang w:eastAsia="zh-CN"/>
              </w:rPr>
              <w:t>担保权益和信用数据更新的效率</w:t>
            </w:r>
          </w:p>
        </w:tc>
        <w:tc>
          <w:tcPr>
            <w:tcW w:w="6111" w:type="dxa"/>
            <w:vAlign w:val="center"/>
          </w:tcPr>
          <w:p>
            <w:pPr>
              <w:pStyle w:val="12"/>
              <w:tabs>
                <w:tab w:val="left" w:pos="454"/>
                <w:tab w:val="left" w:pos="455"/>
              </w:tabs>
              <w:spacing w:before="1"/>
              <w:ind w:left="454" w:right="90" w:hanging="346"/>
              <w:jc w:val="both"/>
              <w:rPr>
                <w:rFonts w:eastAsia="宋体"/>
                <w:sz w:val="24"/>
                <w:szCs w:val="24"/>
                <w:lang w:eastAsia="zh-CN"/>
              </w:rPr>
            </w:pPr>
            <w:r>
              <w:rPr>
                <w:w w:val="99"/>
                <w:sz w:val="24"/>
                <w:szCs w:val="24"/>
                <w:lang w:eastAsia="zh-CN"/>
              </w:rPr>
              <w:t>i)</w:t>
            </w:r>
            <w:r>
              <w:rPr>
                <w:rFonts w:eastAsia="宋体"/>
                <w:sz w:val="24"/>
                <w:szCs w:val="24"/>
                <w:lang w:eastAsia="zh-CN"/>
              </w:rPr>
              <w:t>在数据库中反映担保权益登记的时间和登记担保权益的成本</w:t>
            </w:r>
          </w:p>
          <w:p>
            <w:pPr>
              <w:pStyle w:val="12"/>
              <w:tabs>
                <w:tab w:val="left" w:pos="455"/>
              </w:tabs>
              <w:ind w:left="454" w:right="103" w:hanging="346"/>
              <w:jc w:val="both"/>
              <w:rPr>
                <w:rFonts w:eastAsia="宋体"/>
                <w:sz w:val="24"/>
                <w:szCs w:val="24"/>
                <w:lang w:eastAsia="zh-CN"/>
              </w:rPr>
            </w:pPr>
            <w:r>
              <w:rPr>
                <w:w w:val="99"/>
                <w:sz w:val="24"/>
                <w:szCs w:val="24"/>
                <w:lang w:eastAsia="zh-CN"/>
              </w:rPr>
              <w:t>ii)</w:t>
            </w:r>
            <w:r>
              <w:rPr>
                <w:rFonts w:eastAsia="宋体"/>
                <w:sz w:val="24"/>
                <w:szCs w:val="24"/>
                <w:lang w:eastAsia="zh-CN"/>
              </w:rPr>
              <w:t>从信用报告服务提供商收到信用信息起，将信用信息纳入数据库的时间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12"/>
              <w:jc w:val="both"/>
              <w:rPr>
                <w:rFonts w:eastAsia="宋体"/>
                <w:sz w:val="24"/>
                <w:szCs w:val="24"/>
              </w:rPr>
            </w:pPr>
            <w:r>
              <w:rPr>
                <w:rFonts w:eastAsia="宋体"/>
                <w:sz w:val="24"/>
                <w:szCs w:val="24"/>
              </w:rPr>
              <w:t>4</w:t>
            </w:r>
          </w:p>
        </w:tc>
        <w:tc>
          <w:tcPr>
            <w:tcW w:w="2249" w:type="dxa"/>
            <w:vAlign w:val="center"/>
          </w:tcPr>
          <w:p>
            <w:pPr>
              <w:pStyle w:val="12"/>
              <w:ind w:left="105" w:right="405"/>
              <w:jc w:val="both"/>
              <w:rPr>
                <w:rFonts w:eastAsia="宋体"/>
                <w:sz w:val="24"/>
                <w:szCs w:val="24"/>
                <w:lang w:eastAsia="zh-CN"/>
              </w:rPr>
            </w:pPr>
            <w:r>
              <w:rPr>
                <w:rFonts w:eastAsia="宋体"/>
                <w:sz w:val="24"/>
                <w:szCs w:val="24"/>
                <w:lang w:eastAsia="zh-CN"/>
              </w:rPr>
              <w:t>在获得贷款和其他银行服务方面的性别差距</w:t>
            </w:r>
          </w:p>
        </w:tc>
        <w:tc>
          <w:tcPr>
            <w:tcW w:w="6111" w:type="dxa"/>
            <w:vAlign w:val="center"/>
          </w:tcPr>
          <w:p>
            <w:pPr>
              <w:pStyle w:val="12"/>
              <w:tabs>
                <w:tab w:val="left" w:pos="454"/>
                <w:tab w:val="left" w:pos="455"/>
              </w:tabs>
              <w:spacing w:before="103"/>
              <w:ind w:left="454" w:hanging="347"/>
              <w:jc w:val="both"/>
              <w:rPr>
                <w:rFonts w:eastAsia="宋体"/>
                <w:sz w:val="24"/>
                <w:szCs w:val="24"/>
                <w:lang w:eastAsia="zh-CN"/>
              </w:rPr>
            </w:pPr>
            <w:r>
              <w:rPr>
                <w:w w:val="99"/>
                <w:sz w:val="24"/>
                <w:szCs w:val="24"/>
                <w:lang w:eastAsia="zh-CN"/>
              </w:rPr>
              <w:t>i)</w:t>
            </w:r>
            <w:r>
              <w:rPr>
                <w:rFonts w:eastAsia="宋体"/>
                <w:sz w:val="24"/>
                <w:szCs w:val="24"/>
                <w:lang w:eastAsia="zh-CN"/>
              </w:rPr>
              <w:t>企业有支票(活期)或储蓄账户</w:t>
            </w:r>
          </w:p>
          <w:p>
            <w:pPr>
              <w:pStyle w:val="12"/>
              <w:tabs>
                <w:tab w:val="left" w:pos="455"/>
              </w:tabs>
              <w:ind w:left="454" w:hanging="347"/>
              <w:jc w:val="both"/>
              <w:rPr>
                <w:rFonts w:eastAsia="宋体"/>
                <w:sz w:val="24"/>
                <w:szCs w:val="24"/>
                <w:lang w:eastAsia="zh-CN"/>
              </w:rPr>
            </w:pPr>
            <w:r>
              <w:rPr>
                <w:w w:val="99"/>
                <w:sz w:val="24"/>
                <w:szCs w:val="24"/>
                <w:lang w:eastAsia="zh-CN"/>
              </w:rPr>
              <w:t>ii)</w:t>
            </w:r>
            <w:r>
              <w:rPr>
                <w:rFonts w:eastAsia="宋体"/>
                <w:sz w:val="24"/>
                <w:szCs w:val="24"/>
                <w:lang w:eastAsia="zh-CN"/>
              </w:rPr>
              <w:t>机构有透支便利</w:t>
            </w:r>
          </w:p>
          <w:p>
            <w:pPr>
              <w:pStyle w:val="12"/>
              <w:tabs>
                <w:tab w:val="left" w:pos="455"/>
              </w:tabs>
              <w:ind w:left="454" w:hanging="347"/>
              <w:jc w:val="both"/>
              <w:rPr>
                <w:rFonts w:eastAsia="宋体"/>
                <w:sz w:val="24"/>
                <w:szCs w:val="24"/>
                <w:lang w:eastAsia="zh-CN"/>
              </w:rPr>
            </w:pPr>
            <w:r>
              <w:rPr>
                <w:w w:val="99"/>
                <w:sz w:val="24"/>
                <w:szCs w:val="24"/>
                <w:lang w:eastAsia="zh-CN"/>
              </w:rPr>
              <w:t>iii)</w:t>
            </w:r>
            <w:r>
              <w:rPr>
                <w:rFonts w:eastAsia="宋体"/>
                <w:sz w:val="24"/>
                <w:szCs w:val="24"/>
                <w:lang w:eastAsia="zh-CN"/>
              </w:rPr>
              <w:t>企业有来自金融机构的信用额度或贷款</w:t>
            </w:r>
          </w:p>
        </w:tc>
      </w:tr>
    </w:tbl>
    <w:p>
      <w:pPr>
        <w:pStyle w:val="5"/>
        <w:spacing w:before="1" w:line="400" w:lineRule="exact"/>
        <w:ind w:firstLine="562" w:firstLineChars="200"/>
        <w:rPr>
          <w:rFonts w:eastAsia="宋体"/>
          <w:b/>
          <w:sz w:val="28"/>
          <w:szCs w:val="28"/>
          <w:lang w:eastAsia="zh-CN"/>
        </w:rPr>
      </w:pPr>
    </w:p>
    <w:p>
      <w:pPr>
        <w:pStyle w:val="11"/>
        <w:tabs>
          <w:tab w:val="left" w:pos="840"/>
          <w:tab w:val="left" w:pos="841"/>
        </w:tabs>
        <w:spacing w:line="400" w:lineRule="exact"/>
        <w:ind w:left="0" w:firstLine="0"/>
        <w:jc w:val="left"/>
        <w:outlineLvl w:val="1"/>
        <w:rPr>
          <w:rFonts w:eastAsia="宋体"/>
          <w:b/>
          <w:sz w:val="28"/>
          <w:szCs w:val="28"/>
          <w:lang w:eastAsia="zh-CN"/>
        </w:rPr>
      </w:pPr>
      <w:r>
        <w:rPr>
          <w:rFonts w:eastAsia="宋体"/>
          <w:b/>
          <w:sz w:val="28"/>
          <w:szCs w:val="28"/>
          <w:lang w:eastAsia="zh-CN"/>
        </w:rPr>
        <w:t>3.2电子支付</w:t>
      </w:r>
    </w:p>
    <w:p>
      <w:pPr>
        <w:pStyle w:val="5"/>
        <w:spacing w:line="400" w:lineRule="exact"/>
        <w:ind w:firstLine="560" w:firstLineChars="200"/>
        <w:jc w:val="both"/>
        <w:rPr>
          <w:rFonts w:eastAsia="宋体"/>
          <w:sz w:val="28"/>
          <w:szCs w:val="28"/>
        </w:rPr>
      </w:pPr>
      <w:r>
        <w:rPr>
          <w:rFonts w:eastAsia="宋体"/>
          <w:sz w:val="28"/>
          <w:szCs w:val="28"/>
          <w:lang w:eastAsia="zh-CN"/>
        </w:rPr>
        <w:t>使用电子支付对公司来说是一件好事，因为它为公司提供了接触更多客户的机会，为他们提供了方便的支付体验，扩大了业务，提高了交易的透明度。为了让企业获得这些好处，电子支付的成本更低、速度更快是至关重要的。</w:t>
      </w:r>
      <w:r>
        <w:rPr>
          <w:rFonts w:eastAsia="宋体"/>
          <w:sz w:val="28"/>
          <w:szCs w:val="28"/>
          <w:vertAlign w:val="superscript"/>
          <w:lang w:eastAsia="zh-CN"/>
        </w:rPr>
        <w:t>80</w:t>
      </w:r>
      <w:r>
        <w:rPr>
          <w:rFonts w:eastAsia="宋体"/>
          <w:sz w:val="28"/>
          <w:szCs w:val="28"/>
          <w:lang w:eastAsia="zh-CN"/>
        </w:rPr>
        <w:t>女性企业家使用电子支付的情况也将在这一类别下进行评估。</w:t>
      </w:r>
      <w:r>
        <w:rPr>
          <w:rFonts w:eastAsia="宋体"/>
          <w:sz w:val="28"/>
          <w:szCs w:val="28"/>
          <w:vertAlign w:val="superscript"/>
        </w:rPr>
        <w:t>81,82</w:t>
      </w:r>
      <w:r>
        <w:rPr>
          <w:rFonts w:eastAsia="宋体"/>
          <w:sz w:val="28"/>
          <w:szCs w:val="28"/>
        </w:rPr>
        <w:t>因此，第3.2类有6个指标(表24)。</w:t>
      </w:r>
    </w:p>
    <w:p>
      <w:pPr>
        <w:pStyle w:val="5"/>
        <w:spacing w:line="400" w:lineRule="exact"/>
        <w:ind w:firstLine="560" w:firstLineChars="200"/>
        <w:rPr>
          <w:rFonts w:eastAsia="宋体"/>
          <w:sz w:val="28"/>
          <w:szCs w:val="28"/>
        </w:rPr>
      </w:pPr>
    </w:p>
    <w:p>
      <w:pPr>
        <w:spacing w:line="400" w:lineRule="exact"/>
        <w:jc w:val="center"/>
        <w:rPr>
          <w:rFonts w:eastAsia="宋体"/>
          <w:b/>
          <w:sz w:val="28"/>
          <w:szCs w:val="28"/>
          <w:lang w:eastAsia="zh-CN"/>
        </w:rPr>
      </w:pPr>
      <w:r>
        <w:rPr>
          <w:rFonts w:eastAsia="宋体"/>
          <w:b/>
          <w:sz w:val="28"/>
          <w:szCs w:val="28"/>
        </w:rPr>
        <w:t>表24</w:t>
      </w:r>
      <w:r>
        <w:rPr>
          <w:rFonts w:hint="eastAsia" w:eastAsia="宋体"/>
          <w:b/>
          <w:sz w:val="28"/>
          <w:szCs w:val="28"/>
          <w:lang w:eastAsia="zh-CN"/>
        </w:rPr>
        <w:t>.</w:t>
      </w:r>
      <w:r>
        <w:rPr>
          <w:rFonts w:eastAsia="宋体"/>
          <w:b/>
          <w:sz w:val="28"/>
          <w:szCs w:val="28"/>
          <w:lang w:eastAsia="zh-CN"/>
        </w:rPr>
        <w:t xml:space="preserve"> </w:t>
      </w:r>
      <w:r>
        <w:rPr>
          <w:rFonts w:eastAsia="宋体"/>
          <w:b/>
          <w:sz w:val="28"/>
          <w:szCs w:val="28"/>
        </w:rPr>
        <w:t>类别3.2</w:t>
      </w:r>
      <w:r>
        <w:rPr>
          <w:rFonts w:hint="eastAsia" w:ascii="Times New Roman Bold" w:hAnsi="Times New Roman Bold" w:eastAsia="Songti SC Bold"/>
          <w:b/>
          <w:color w:val="222222"/>
          <w:sz w:val="28"/>
          <w:szCs w:val="27"/>
          <w:shd w:val="clear" w:color="auto" w:fill="FFFFFF"/>
          <w:lang w:eastAsia="zh-CN"/>
        </w:rPr>
        <w:t>-</w:t>
      </w:r>
      <w:r>
        <w:rPr>
          <w:rFonts w:eastAsia="宋体"/>
          <w:b/>
          <w:sz w:val="28"/>
          <w:szCs w:val="28"/>
          <w:lang w:eastAsia="zh-CN"/>
        </w:rPr>
        <w:t>电子支付</w:t>
      </w:r>
    </w:p>
    <w:tbl>
      <w:tblPr>
        <w:tblStyle w:val="8"/>
        <w:tblW w:w="8823"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1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2"/>
              <w:ind w:left="0"/>
              <w:jc w:val="both"/>
              <w:rPr>
                <w:rFonts w:eastAsia="宋体"/>
                <w:sz w:val="24"/>
                <w:szCs w:val="24"/>
              </w:rPr>
            </w:pPr>
          </w:p>
        </w:tc>
        <w:tc>
          <w:tcPr>
            <w:tcW w:w="2249" w:type="dxa"/>
            <w:shd w:val="clear" w:color="auto" w:fill="E7EBF5"/>
            <w:vAlign w:val="center"/>
          </w:tcPr>
          <w:p>
            <w:pPr>
              <w:pStyle w:val="12"/>
              <w:ind w:left="105"/>
              <w:jc w:val="center"/>
              <w:rPr>
                <w:rFonts w:eastAsia="宋体"/>
                <w:b/>
                <w:sz w:val="24"/>
                <w:szCs w:val="24"/>
              </w:rPr>
            </w:pPr>
            <w:r>
              <w:rPr>
                <w:rFonts w:eastAsia="宋体"/>
                <w:b/>
                <w:spacing w:val="-2"/>
                <w:sz w:val="24"/>
                <w:szCs w:val="24"/>
              </w:rPr>
              <w:t>指标</w:t>
            </w:r>
          </w:p>
        </w:tc>
        <w:tc>
          <w:tcPr>
            <w:tcW w:w="6128" w:type="dxa"/>
            <w:shd w:val="clear" w:color="auto" w:fill="E7EBF5"/>
            <w:vAlign w:val="center"/>
          </w:tcPr>
          <w:p>
            <w:pPr>
              <w:pStyle w:val="12"/>
              <w:ind w:left="108"/>
              <w:jc w:val="center"/>
              <w:rPr>
                <w:rFonts w:eastAsia="宋体"/>
                <w:b/>
                <w:sz w:val="24"/>
                <w:szCs w:val="24"/>
                <w:lang w:eastAsia="zh-CN"/>
              </w:rPr>
            </w:pPr>
            <w:r>
              <w:rPr>
                <w:rFonts w:hint="eastAsia" w:eastAsia="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12"/>
              <w:jc w:val="both"/>
              <w:rPr>
                <w:rFonts w:eastAsia="宋体"/>
                <w:sz w:val="24"/>
                <w:szCs w:val="24"/>
              </w:rPr>
            </w:pPr>
            <w:r>
              <w:rPr>
                <w:rFonts w:eastAsia="宋体"/>
                <w:sz w:val="24"/>
                <w:szCs w:val="24"/>
              </w:rPr>
              <w:t>1</w:t>
            </w:r>
          </w:p>
        </w:tc>
        <w:tc>
          <w:tcPr>
            <w:tcW w:w="2249" w:type="dxa"/>
            <w:vAlign w:val="center"/>
          </w:tcPr>
          <w:p>
            <w:pPr>
              <w:pStyle w:val="12"/>
              <w:ind w:left="105"/>
              <w:jc w:val="both"/>
              <w:rPr>
                <w:rFonts w:eastAsia="宋体"/>
                <w:sz w:val="24"/>
                <w:szCs w:val="24"/>
              </w:rPr>
            </w:pPr>
            <w:r>
              <w:rPr>
                <w:rFonts w:eastAsia="宋体"/>
                <w:sz w:val="24"/>
                <w:szCs w:val="24"/>
              </w:rPr>
              <w:t>接收电子支付的成本</w:t>
            </w:r>
          </w:p>
        </w:tc>
        <w:tc>
          <w:tcPr>
            <w:tcW w:w="6128" w:type="dxa"/>
            <w:vAlign w:val="center"/>
          </w:tcPr>
          <w:p>
            <w:pPr>
              <w:pStyle w:val="12"/>
              <w:tabs>
                <w:tab w:val="left" w:pos="454"/>
                <w:tab w:val="left" w:pos="455"/>
              </w:tabs>
              <w:ind w:left="454" w:hanging="347"/>
              <w:jc w:val="both"/>
              <w:rPr>
                <w:rFonts w:eastAsia="宋体"/>
                <w:sz w:val="24"/>
                <w:szCs w:val="24"/>
                <w:lang w:eastAsia="zh-CN"/>
              </w:rPr>
            </w:pPr>
            <w:r>
              <w:rPr>
                <w:w w:val="99"/>
                <w:sz w:val="24"/>
                <w:szCs w:val="24"/>
                <w:lang w:eastAsia="zh-CN"/>
              </w:rPr>
              <w:t>i)</w:t>
            </w:r>
            <w:r>
              <w:rPr>
                <w:rFonts w:eastAsia="宋体"/>
                <w:sz w:val="24"/>
                <w:szCs w:val="24"/>
                <w:lang w:eastAsia="zh-CN"/>
              </w:rPr>
              <w:t>电子付款方式占销售额的最大比例</w:t>
            </w:r>
          </w:p>
          <w:p>
            <w:pPr>
              <w:pStyle w:val="12"/>
              <w:tabs>
                <w:tab w:val="left" w:pos="455"/>
              </w:tabs>
              <w:ind w:left="454" w:hanging="347"/>
              <w:jc w:val="both"/>
              <w:rPr>
                <w:rFonts w:eastAsia="宋体"/>
                <w:sz w:val="24"/>
                <w:szCs w:val="24"/>
                <w:lang w:eastAsia="zh-CN"/>
              </w:rPr>
            </w:pPr>
            <w:r>
              <w:rPr>
                <w:w w:val="99"/>
                <w:sz w:val="24"/>
                <w:szCs w:val="24"/>
                <w:lang w:eastAsia="zh-CN"/>
              </w:rPr>
              <w:t>ii)</w:t>
            </w:r>
            <w:r>
              <w:rPr>
                <w:rFonts w:eastAsia="宋体"/>
                <w:sz w:val="24"/>
                <w:szCs w:val="24"/>
                <w:lang w:eastAsia="zh-CN"/>
              </w:rPr>
              <w:t>接受电子支付的成本，占交易价值的百分比</w:t>
            </w:r>
          </w:p>
          <w:p>
            <w:pPr>
              <w:pStyle w:val="12"/>
              <w:tabs>
                <w:tab w:val="left" w:pos="455"/>
              </w:tabs>
              <w:ind w:left="454" w:right="98" w:hanging="346"/>
              <w:jc w:val="both"/>
              <w:rPr>
                <w:rFonts w:eastAsia="宋体"/>
                <w:sz w:val="24"/>
                <w:szCs w:val="24"/>
                <w:lang w:eastAsia="zh-CN"/>
              </w:rPr>
            </w:pPr>
            <w:r>
              <w:rPr>
                <w:w w:val="99"/>
                <w:sz w:val="24"/>
                <w:szCs w:val="24"/>
                <w:lang w:eastAsia="zh-CN"/>
              </w:rPr>
              <w:t>iii)</w:t>
            </w:r>
            <w:r>
              <w:rPr>
                <w:rFonts w:eastAsia="宋体"/>
                <w:sz w:val="24"/>
                <w:szCs w:val="24"/>
                <w:lang w:eastAsia="zh-CN"/>
              </w:rPr>
              <w:t>接受电子支付的月成本，包括月费、订阅费用、销售点终端费用、维护费用和其他费用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spacing w:before="103"/>
              <w:jc w:val="both"/>
              <w:rPr>
                <w:rFonts w:eastAsia="宋体"/>
                <w:sz w:val="24"/>
                <w:szCs w:val="24"/>
              </w:rPr>
            </w:pPr>
            <w:r>
              <w:rPr>
                <w:rFonts w:eastAsia="宋体"/>
                <w:sz w:val="24"/>
                <w:szCs w:val="24"/>
              </w:rPr>
              <w:t>2</w:t>
            </w:r>
          </w:p>
        </w:tc>
        <w:tc>
          <w:tcPr>
            <w:tcW w:w="2249" w:type="dxa"/>
            <w:vAlign w:val="center"/>
          </w:tcPr>
          <w:p>
            <w:pPr>
              <w:pStyle w:val="12"/>
              <w:spacing w:before="103"/>
              <w:ind w:left="105"/>
              <w:jc w:val="both"/>
              <w:rPr>
                <w:rFonts w:eastAsia="宋体"/>
                <w:sz w:val="24"/>
                <w:szCs w:val="24"/>
              </w:rPr>
            </w:pPr>
            <w:r>
              <w:rPr>
                <w:rFonts w:eastAsia="宋体"/>
                <w:sz w:val="24"/>
                <w:szCs w:val="24"/>
              </w:rPr>
              <w:t>进行电子支付的成本</w:t>
            </w:r>
          </w:p>
        </w:tc>
        <w:tc>
          <w:tcPr>
            <w:tcW w:w="6128" w:type="dxa"/>
            <w:vAlign w:val="center"/>
          </w:tcPr>
          <w:p>
            <w:pPr>
              <w:pStyle w:val="12"/>
              <w:tabs>
                <w:tab w:val="left" w:pos="454"/>
                <w:tab w:val="left" w:pos="455"/>
              </w:tabs>
              <w:ind w:left="454" w:hanging="347"/>
              <w:jc w:val="both"/>
              <w:rPr>
                <w:rFonts w:eastAsia="宋体"/>
                <w:sz w:val="24"/>
                <w:szCs w:val="24"/>
                <w:lang w:eastAsia="zh-CN"/>
              </w:rPr>
            </w:pPr>
            <w:r>
              <w:rPr>
                <w:w w:val="99"/>
                <w:sz w:val="24"/>
                <w:szCs w:val="24"/>
                <w:lang w:eastAsia="zh-CN"/>
              </w:rPr>
              <w:t>i)</w:t>
            </w:r>
            <w:r>
              <w:rPr>
                <w:rFonts w:eastAsia="宋体"/>
                <w:sz w:val="24"/>
                <w:szCs w:val="24"/>
                <w:lang w:eastAsia="zh-CN"/>
              </w:rPr>
              <w:t>电子支付方式占支付金额的最大比例</w:t>
            </w:r>
          </w:p>
          <w:p>
            <w:pPr>
              <w:pStyle w:val="12"/>
              <w:tabs>
                <w:tab w:val="left" w:pos="455"/>
              </w:tabs>
              <w:spacing w:before="2"/>
              <w:ind w:left="454" w:hanging="347"/>
              <w:jc w:val="both"/>
              <w:rPr>
                <w:rFonts w:eastAsia="宋体"/>
                <w:sz w:val="24"/>
                <w:szCs w:val="24"/>
                <w:lang w:eastAsia="zh-CN"/>
              </w:rPr>
            </w:pPr>
            <w:r>
              <w:rPr>
                <w:w w:val="99"/>
                <w:sz w:val="24"/>
                <w:szCs w:val="24"/>
                <w:lang w:eastAsia="zh-CN"/>
              </w:rPr>
              <w:t>ii)</w:t>
            </w:r>
            <w:r>
              <w:rPr>
                <w:rFonts w:eastAsia="宋体"/>
                <w:sz w:val="24"/>
                <w:szCs w:val="24"/>
                <w:lang w:eastAsia="zh-CN"/>
              </w:rPr>
              <w:t>进行电子支付的成本，占交易价值的百分比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vAlign w:val="center"/>
          </w:tcPr>
          <w:p>
            <w:pPr>
              <w:pStyle w:val="12"/>
              <w:jc w:val="both"/>
              <w:rPr>
                <w:rFonts w:eastAsia="宋体"/>
                <w:sz w:val="24"/>
                <w:szCs w:val="24"/>
              </w:rPr>
            </w:pPr>
            <w:r>
              <w:rPr>
                <w:rFonts w:eastAsia="宋体"/>
                <w:sz w:val="24"/>
                <w:szCs w:val="24"/>
              </w:rPr>
              <w:t>3</w:t>
            </w:r>
          </w:p>
        </w:tc>
        <w:tc>
          <w:tcPr>
            <w:tcW w:w="2249" w:type="dxa"/>
            <w:vAlign w:val="center"/>
          </w:tcPr>
          <w:p>
            <w:pPr>
              <w:pStyle w:val="12"/>
              <w:ind w:left="105"/>
              <w:jc w:val="both"/>
              <w:rPr>
                <w:rFonts w:eastAsia="宋体"/>
                <w:sz w:val="24"/>
                <w:szCs w:val="24"/>
              </w:rPr>
            </w:pPr>
            <w:r>
              <w:rPr>
                <w:rFonts w:eastAsia="宋体"/>
                <w:sz w:val="24"/>
                <w:szCs w:val="24"/>
              </w:rPr>
              <w:t>接收电子支付的时间</w:t>
            </w:r>
          </w:p>
        </w:tc>
        <w:tc>
          <w:tcPr>
            <w:tcW w:w="6128" w:type="dxa"/>
            <w:vAlign w:val="center"/>
          </w:tcPr>
          <w:p>
            <w:pPr>
              <w:pStyle w:val="12"/>
              <w:tabs>
                <w:tab w:val="left" w:pos="454"/>
              </w:tabs>
              <w:ind w:left="108"/>
              <w:jc w:val="both"/>
              <w:rPr>
                <w:rFonts w:eastAsia="宋体"/>
                <w:sz w:val="24"/>
                <w:szCs w:val="24"/>
                <w:lang w:eastAsia="zh-CN"/>
              </w:rPr>
            </w:pPr>
            <w:r>
              <w:rPr>
                <w:rFonts w:eastAsia="宋体"/>
                <w:spacing w:val="-5"/>
                <w:sz w:val="24"/>
                <w:szCs w:val="24"/>
                <w:lang w:eastAsia="zh-CN"/>
              </w:rPr>
              <w:t>i)</w:t>
            </w:r>
            <w:r>
              <w:rPr>
                <w:rFonts w:eastAsia="宋体"/>
                <w:sz w:val="24"/>
                <w:szCs w:val="24"/>
                <w:lang w:eastAsia="zh-CN"/>
              </w:rPr>
              <w:t>从下订单开始，通过电子支付接收款项的时间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spacing w:before="103"/>
              <w:jc w:val="both"/>
              <w:rPr>
                <w:rFonts w:eastAsia="宋体"/>
                <w:sz w:val="24"/>
                <w:szCs w:val="24"/>
              </w:rPr>
            </w:pPr>
            <w:r>
              <w:rPr>
                <w:rFonts w:eastAsia="宋体"/>
                <w:sz w:val="24"/>
                <w:szCs w:val="24"/>
              </w:rPr>
              <w:t>4</w:t>
            </w:r>
          </w:p>
        </w:tc>
        <w:tc>
          <w:tcPr>
            <w:tcW w:w="2249" w:type="dxa"/>
            <w:vAlign w:val="center"/>
          </w:tcPr>
          <w:p>
            <w:pPr>
              <w:pStyle w:val="12"/>
              <w:ind w:left="105"/>
              <w:jc w:val="both"/>
              <w:rPr>
                <w:rFonts w:eastAsia="宋体"/>
                <w:sz w:val="24"/>
                <w:szCs w:val="24"/>
                <w:lang w:eastAsia="zh-CN"/>
              </w:rPr>
            </w:pPr>
            <w:r>
              <w:rPr>
                <w:rFonts w:eastAsia="宋体"/>
                <w:sz w:val="24"/>
                <w:szCs w:val="24"/>
                <w:lang w:eastAsia="zh-CN"/>
              </w:rPr>
              <w:t>接收电子支付的使用水平</w:t>
            </w:r>
          </w:p>
        </w:tc>
        <w:tc>
          <w:tcPr>
            <w:tcW w:w="6128" w:type="dxa"/>
            <w:vAlign w:val="center"/>
          </w:tcPr>
          <w:p>
            <w:pPr>
              <w:pStyle w:val="12"/>
              <w:ind w:left="108"/>
              <w:jc w:val="both"/>
              <w:rPr>
                <w:rFonts w:eastAsia="宋体"/>
                <w:sz w:val="24"/>
                <w:szCs w:val="24"/>
                <w:lang w:eastAsia="zh-CN"/>
              </w:rPr>
            </w:pPr>
            <w:r>
              <w:rPr>
                <w:rFonts w:eastAsia="宋体"/>
                <w:sz w:val="24"/>
                <w:szCs w:val="24"/>
                <w:lang w:eastAsia="zh-CN"/>
              </w:rPr>
              <w:t>每月通过电子支付收到的销售额的百分比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spacing w:before="103"/>
              <w:jc w:val="both"/>
              <w:rPr>
                <w:rFonts w:eastAsia="宋体"/>
                <w:sz w:val="24"/>
                <w:szCs w:val="24"/>
              </w:rPr>
            </w:pPr>
            <w:r>
              <w:rPr>
                <w:rFonts w:eastAsia="宋体"/>
                <w:sz w:val="24"/>
                <w:szCs w:val="24"/>
              </w:rPr>
              <w:t>5</w:t>
            </w:r>
          </w:p>
        </w:tc>
        <w:tc>
          <w:tcPr>
            <w:tcW w:w="2249" w:type="dxa"/>
            <w:vAlign w:val="center"/>
          </w:tcPr>
          <w:p>
            <w:pPr>
              <w:pStyle w:val="12"/>
              <w:ind w:left="105"/>
              <w:jc w:val="both"/>
              <w:rPr>
                <w:rFonts w:eastAsia="宋体"/>
                <w:sz w:val="24"/>
                <w:szCs w:val="24"/>
              </w:rPr>
            </w:pPr>
            <w:r>
              <w:rPr>
                <w:rFonts w:eastAsia="宋体"/>
                <w:sz w:val="24"/>
                <w:szCs w:val="24"/>
              </w:rPr>
              <w:t>电子支付的使用水平</w:t>
            </w:r>
          </w:p>
        </w:tc>
        <w:tc>
          <w:tcPr>
            <w:tcW w:w="6128" w:type="dxa"/>
            <w:vAlign w:val="center"/>
          </w:tcPr>
          <w:p>
            <w:pPr>
              <w:pStyle w:val="12"/>
              <w:spacing w:before="103"/>
              <w:ind w:left="108"/>
              <w:jc w:val="both"/>
              <w:rPr>
                <w:rFonts w:eastAsia="宋体"/>
                <w:sz w:val="24"/>
                <w:szCs w:val="24"/>
                <w:lang w:eastAsia="zh-CN"/>
              </w:rPr>
            </w:pPr>
            <w:r>
              <w:rPr>
                <w:rFonts w:eastAsia="宋体"/>
                <w:sz w:val="24"/>
                <w:szCs w:val="24"/>
                <w:lang w:eastAsia="zh-CN"/>
              </w:rPr>
              <w:t>每月以电子方式付款的百分比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spacing w:before="103"/>
              <w:jc w:val="both"/>
              <w:rPr>
                <w:rFonts w:eastAsia="宋体"/>
                <w:sz w:val="24"/>
                <w:szCs w:val="24"/>
              </w:rPr>
            </w:pPr>
            <w:r>
              <w:rPr>
                <w:rFonts w:eastAsia="宋体"/>
                <w:sz w:val="24"/>
                <w:szCs w:val="24"/>
              </w:rPr>
              <w:t>6</w:t>
            </w:r>
          </w:p>
        </w:tc>
        <w:tc>
          <w:tcPr>
            <w:tcW w:w="2249" w:type="dxa"/>
            <w:vAlign w:val="center"/>
          </w:tcPr>
          <w:p>
            <w:pPr>
              <w:pStyle w:val="12"/>
              <w:ind w:left="105"/>
              <w:jc w:val="both"/>
              <w:rPr>
                <w:rFonts w:eastAsia="宋体"/>
                <w:sz w:val="24"/>
                <w:szCs w:val="24"/>
                <w:lang w:eastAsia="zh-CN"/>
              </w:rPr>
            </w:pPr>
            <w:r>
              <w:rPr>
                <w:rFonts w:eastAsia="宋体"/>
                <w:sz w:val="24"/>
                <w:szCs w:val="24"/>
                <w:lang w:eastAsia="zh-CN"/>
              </w:rPr>
              <w:t>电子支付使用方面的性别差异</w:t>
            </w:r>
          </w:p>
        </w:tc>
        <w:tc>
          <w:tcPr>
            <w:tcW w:w="6128" w:type="dxa"/>
            <w:vAlign w:val="center"/>
          </w:tcPr>
          <w:p>
            <w:pPr>
              <w:pStyle w:val="12"/>
              <w:tabs>
                <w:tab w:val="left" w:pos="454"/>
                <w:tab w:val="left" w:pos="455"/>
              </w:tabs>
              <w:ind w:left="454" w:hanging="366"/>
              <w:jc w:val="both"/>
              <w:rPr>
                <w:rFonts w:eastAsia="宋体"/>
                <w:sz w:val="24"/>
                <w:szCs w:val="24"/>
                <w:lang w:eastAsia="zh-CN"/>
              </w:rPr>
            </w:pPr>
            <w:r>
              <w:rPr>
                <w:w w:val="99"/>
                <w:sz w:val="24"/>
                <w:szCs w:val="24"/>
                <w:lang w:eastAsia="zh-CN"/>
              </w:rPr>
              <w:t>i)</w:t>
            </w:r>
            <w:r>
              <w:rPr>
                <w:rFonts w:eastAsia="宋体"/>
                <w:sz w:val="24"/>
                <w:szCs w:val="24"/>
                <w:lang w:eastAsia="zh-CN"/>
              </w:rPr>
              <w:t>每月通过电子支付收到的销售额百分比</w:t>
            </w:r>
          </w:p>
          <w:p>
            <w:pPr>
              <w:pStyle w:val="12"/>
              <w:tabs>
                <w:tab w:val="left" w:pos="454"/>
                <w:tab w:val="left" w:pos="455"/>
              </w:tabs>
              <w:ind w:left="454" w:hanging="366"/>
              <w:jc w:val="both"/>
              <w:rPr>
                <w:rFonts w:eastAsia="宋体"/>
                <w:sz w:val="24"/>
                <w:szCs w:val="24"/>
                <w:lang w:eastAsia="zh-CN"/>
              </w:rPr>
            </w:pPr>
            <w:r>
              <w:rPr>
                <w:w w:val="99"/>
                <w:sz w:val="24"/>
                <w:szCs w:val="24"/>
                <w:lang w:eastAsia="zh-CN"/>
              </w:rPr>
              <w:t>ii)</w:t>
            </w:r>
            <w:r>
              <w:rPr>
                <w:rFonts w:eastAsia="宋体"/>
                <w:sz w:val="24"/>
                <w:szCs w:val="24"/>
                <w:lang w:eastAsia="zh-CN"/>
              </w:rPr>
              <w:t>每月以电子方式付款的百分比</w:t>
            </w:r>
          </w:p>
        </w:tc>
      </w:tr>
    </w:tbl>
    <w:p>
      <w:pPr>
        <w:spacing w:line="207" w:lineRule="exact"/>
        <w:rPr>
          <w:sz w:val="18"/>
          <w:lang w:eastAsia="zh-CN"/>
        </w:rPr>
        <w:sectPr>
          <w:type w:val="continuous"/>
          <w:pgSz w:w="12240" w:h="15840"/>
          <w:pgMar w:top="1440" w:right="1800" w:bottom="1440" w:left="1800" w:header="720" w:footer="720" w:gutter="0"/>
          <w:cols w:space="720" w:num="1"/>
        </w:sectPr>
      </w:pPr>
    </w:p>
    <w:p>
      <w:pPr>
        <w:pStyle w:val="3"/>
        <w:spacing w:before="0" w:after="240" w:afterLines="100" w:line="400" w:lineRule="exact"/>
        <w:jc w:val="center"/>
        <w:rPr>
          <w:rFonts w:ascii="Times New Roman" w:hAnsi="Times New Roman"/>
          <w:lang w:eastAsia="zh-CN"/>
        </w:rPr>
      </w:pPr>
      <w:r>
        <w:rPr>
          <w:rFonts w:ascii="Times New Roman" w:hAnsi="Times New Roman" w:eastAsia="宋体"/>
          <w:sz w:val="28"/>
          <w:szCs w:val="28"/>
          <w:lang w:eastAsia="zh-CN"/>
        </w:rPr>
        <w:t>III.数据源</w:t>
      </w:r>
    </w:p>
    <w:p>
      <w:pPr>
        <w:spacing w:line="400" w:lineRule="exact"/>
        <w:ind w:firstLine="562" w:firstLineChars="200"/>
        <w:jc w:val="both"/>
        <w:outlineLvl w:val="1"/>
        <w:rPr>
          <w:rFonts w:eastAsia="宋体"/>
          <w:b/>
          <w:sz w:val="28"/>
          <w:szCs w:val="28"/>
          <w:lang w:eastAsia="zh-CN"/>
        </w:rPr>
      </w:pPr>
      <w:r>
        <w:rPr>
          <w:rFonts w:eastAsia="宋体"/>
          <w:b/>
          <w:sz w:val="28"/>
          <w:szCs w:val="28"/>
          <w:lang w:eastAsia="zh-CN"/>
        </w:rPr>
        <w:t>4.1. 数据收集来源</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维度I、维度II和维度III的部分数据是从与私营和公共部门专家的磋商中收集的。有些信息仅供公共部门专家使用，特别是在收集有关信贷和抵押品登记的信息时。这些专家根据所测量的指标而有所不同，包括金融律师和商业银行从业人员、支付服务提供商、金融服务提供商、绿色金融专业人员、环境顾问、征信局和登记处、公证员和抵押品登记处。</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维度III的数据主要是通过企业调查收集的。这些调查提供了企业在实践中所经历的贷款和电子支付效率的代表性数据。公司的代表性样本反映了每个经济体中用户体验的差异。参与调查的企业具有不同的特征，如规模、地区和行业。有关《企业调查》收集数据的更多细节，请参阅本《方法论手册》第二章</w:t>
      </w:r>
      <w:r>
        <w:rPr>
          <w:rFonts w:hint="eastAsia" w:eastAsia="宋体"/>
          <w:sz w:val="28"/>
          <w:szCs w:val="28"/>
          <w:lang w:eastAsia="zh-CN"/>
        </w:rPr>
        <w:t>“</w:t>
      </w:r>
      <w:r>
        <w:rPr>
          <w:rFonts w:eastAsia="宋体"/>
          <w:sz w:val="28"/>
          <w:szCs w:val="28"/>
          <w:lang w:eastAsia="zh-CN"/>
        </w:rPr>
        <w:t>概览</w:t>
      </w:r>
      <w:r>
        <w:rPr>
          <w:rFonts w:hint="eastAsia" w:eastAsia="宋体"/>
          <w:sz w:val="28"/>
          <w:szCs w:val="28"/>
          <w:lang w:eastAsia="zh-CN"/>
        </w:rPr>
        <w:t>”</w:t>
      </w:r>
      <w:r>
        <w:rPr>
          <w:rFonts w:eastAsia="宋体"/>
          <w:sz w:val="28"/>
          <w:szCs w:val="28"/>
          <w:lang w:eastAsia="zh-CN"/>
        </w:rPr>
        <w:t>章节。与担保权益效率和信贷数据更新有关的数据是通过与私营和公共部门专家协商收集的。</w:t>
      </w:r>
    </w:p>
    <w:p>
      <w:pPr>
        <w:spacing w:line="400" w:lineRule="exact"/>
        <w:ind w:firstLine="562" w:firstLineChars="200"/>
        <w:jc w:val="both"/>
        <w:outlineLvl w:val="1"/>
        <w:rPr>
          <w:rFonts w:eastAsia="宋体"/>
          <w:b/>
          <w:sz w:val="28"/>
          <w:szCs w:val="28"/>
          <w:lang w:eastAsia="zh-CN"/>
        </w:rPr>
      </w:pPr>
      <w:r>
        <w:rPr>
          <w:rFonts w:eastAsia="宋体"/>
          <w:b/>
          <w:sz w:val="28"/>
          <w:szCs w:val="28"/>
          <w:lang w:eastAsia="zh-CN"/>
        </w:rPr>
        <w:t>4.2筛选和选择专家</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金融服务专题有5份问卷，每个领域1份:商业贷款条例</w:t>
      </w:r>
      <w:r>
        <w:rPr>
          <w:rFonts w:hint="eastAsia" w:eastAsia="宋体"/>
          <w:sz w:val="28"/>
          <w:szCs w:val="28"/>
          <w:lang w:eastAsia="zh-CN"/>
        </w:rPr>
        <w:t>；</w:t>
      </w:r>
      <w:r>
        <w:rPr>
          <w:rFonts w:eastAsia="宋体"/>
          <w:sz w:val="28"/>
          <w:szCs w:val="28"/>
          <w:lang w:eastAsia="zh-CN"/>
        </w:rPr>
        <w:t>担保交易与担保品登记处的运作</w:t>
      </w:r>
      <w:r>
        <w:rPr>
          <w:rFonts w:hint="eastAsia" w:eastAsia="宋体"/>
          <w:sz w:val="28"/>
          <w:szCs w:val="28"/>
          <w:lang w:eastAsia="zh-CN"/>
        </w:rPr>
        <w:t>；</w:t>
      </w:r>
      <w:r>
        <w:rPr>
          <w:rFonts w:eastAsia="宋体"/>
          <w:sz w:val="28"/>
          <w:szCs w:val="28"/>
          <w:lang w:eastAsia="zh-CN"/>
        </w:rPr>
        <w:t>电子支付</w:t>
      </w:r>
      <w:r>
        <w:rPr>
          <w:rFonts w:hint="eastAsia" w:eastAsia="宋体"/>
          <w:sz w:val="28"/>
          <w:szCs w:val="28"/>
          <w:lang w:eastAsia="zh-CN"/>
        </w:rPr>
        <w:t>；</w:t>
      </w:r>
      <w:r>
        <w:rPr>
          <w:rFonts w:eastAsia="宋体"/>
          <w:sz w:val="28"/>
          <w:szCs w:val="28"/>
          <w:lang w:eastAsia="zh-CN"/>
        </w:rPr>
        <w:t>绿色融资</w:t>
      </w:r>
      <w:r>
        <w:rPr>
          <w:rFonts w:hint="eastAsia" w:eastAsia="宋体"/>
          <w:sz w:val="28"/>
          <w:szCs w:val="28"/>
          <w:lang w:eastAsia="zh-CN"/>
        </w:rPr>
        <w:t>；</w:t>
      </w:r>
      <w:r>
        <w:rPr>
          <w:rFonts w:eastAsia="宋体"/>
          <w:sz w:val="28"/>
          <w:szCs w:val="28"/>
          <w:lang w:eastAsia="zh-CN"/>
        </w:rPr>
        <w:t>征信局和征信登记处的运作。每份问卷都针对各自专业领域的专家。为了选择潜在的专家参与问卷调查，制定了筛选问卷(表25)。</w:t>
      </w:r>
    </w:p>
    <w:p>
      <w:pPr>
        <w:pStyle w:val="5"/>
        <w:spacing w:line="400" w:lineRule="exact"/>
        <w:ind w:firstLine="560" w:firstLineChars="200"/>
        <w:rPr>
          <w:rFonts w:eastAsia="宋体"/>
          <w:sz w:val="28"/>
          <w:szCs w:val="28"/>
          <w:lang w:eastAsia="zh-CN"/>
        </w:rPr>
      </w:pPr>
    </w:p>
    <w:p>
      <w:pPr>
        <w:spacing w:line="400" w:lineRule="exact"/>
        <w:jc w:val="center"/>
        <w:rPr>
          <w:rFonts w:eastAsia="宋体"/>
          <w:b/>
          <w:sz w:val="28"/>
          <w:szCs w:val="28"/>
          <w:lang w:eastAsia="zh-CN"/>
        </w:rPr>
      </w:pPr>
      <w:r>
        <w:rPr>
          <w:rFonts w:eastAsia="宋体"/>
          <w:b/>
          <w:sz w:val="28"/>
          <w:szCs w:val="28"/>
          <w:lang w:eastAsia="zh-CN"/>
        </w:rPr>
        <w:t>表25</w:t>
      </w:r>
      <w:r>
        <w:rPr>
          <w:rFonts w:hint="eastAsia" w:eastAsia="宋体"/>
          <w:b/>
          <w:sz w:val="28"/>
          <w:szCs w:val="28"/>
          <w:lang w:eastAsia="zh-CN"/>
        </w:rPr>
        <w:t>.</w:t>
      </w:r>
      <w:r>
        <w:rPr>
          <w:rFonts w:eastAsia="宋体"/>
          <w:b/>
          <w:sz w:val="28"/>
          <w:szCs w:val="28"/>
          <w:lang w:eastAsia="zh-CN"/>
        </w:rPr>
        <w:t xml:space="preserve"> 筛选者问卷和应答标准</w:t>
      </w:r>
    </w:p>
    <w:tbl>
      <w:tblPr>
        <w:tblStyle w:val="8"/>
        <w:tblW w:w="8789"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4"/>
        <w:gridCol w:w="7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8789" w:type="dxa"/>
            <w:gridSpan w:val="2"/>
            <w:shd w:val="clear" w:color="auto" w:fill="E7EBF5"/>
            <w:vAlign w:val="center"/>
          </w:tcPr>
          <w:p>
            <w:pPr>
              <w:pStyle w:val="12"/>
              <w:ind w:left="153"/>
              <w:jc w:val="both"/>
              <w:rPr>
                <w:rFonts w:eastAsia="宋体"/>
                <w:b/>
                <w:sz w:val="24"/>
                <w:szCs w:val="24"/>
              </w:rPr>
            </w:pPr>
            <w:r>
              <w:rPr>
                <w:rFonts w:eastAsia="宋体"/>
                <w:b/>
                <w:sz w:val="24"/>
                <w:szCs w:val="24"/>
              </w:rPr>
              <w:t>相关专家专业: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1594" w:type="dxa"/>
            <w:tcBorders>
              <w:right w:val="single" w:color="auto" w:sz="4" w:space="0"/>
            </w:tcBorders>
            <w:vAlign w:val="center"/>
          </w:tcPr>
          <w:p>
            <w:pPr>
              <w:pStyle w:val="12"/>
              <w:ind w:right="106"/>
              <w:jc w:val="both"/>
              <w:rPr>
                <w:rFonts w:eastAsia="宋体"/>
                <w:sz w:val="24"/>
                <w:szCs w:val="24"/>
              </w:rPr>
            </w:pPr>
            <w:r>
              <w:rPr>
                <w:rFonts w:eastAsia="宋体"/>
                <w:sz w:val="24"/>
                <w:szCs w:val="24"/>
              </w:rPr>
              <w:t>基于专业领域</w:t>
            </w:r>
          </w:p>
        </w:tc>
        <w:tc>
          <w:tcPr>
            <w:tcW w:w="7195" w:type="dxa"/>
            <w:tcBorders>
              <w:left w:val="single" w:color="auto" w:sz="4" w:space="0"/>
            </w:tcBorders>
            <w:vAlign w:val="center"/>
          </w:tcPr>
          <w:p>
            <w:pPr>
              <w:pStyle w:val="12"/>
              <w:ind w:left="124" w:right="47"/>
              <w:jc w:val="both"/>
              <w:rPr>
                <w:rFonts w:eastAsia="宋体"/>
                <w:sz w:val="24"/>
                <w:szCs w:val="24"/>
                <w:lang w:eastAsia="zh-CN"/>
              </w:rPr>
            </w:pPr>
            <w:r>
              <w:rPr>
                <w:rFonts w:eastAsia="宋体"/>
                <w:sz w:val="24"/>
                <w:szCs w:val="24"/>
                <w:lang w:eastAsia="zh-CN"/>
              </w:rPr>
              <w:t>律师、经济学家、金融专业人士、环境顾问、金融服务研究人员、商业银行、金融机构、支付行业专业人士、公证员、信用报告服务提供商(crsp)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8789" w:type="dxa"/>
            <w:gridSpan w:val="2"/>
            <w:shd w:val="clear" w:color="auto" w:fill="E7EBF5"/>
            <w:vAlign w:val="center"/>
          </w:tcPr>
          <w:p>
            <w:pPr>
              <w:pStyle w:val="12"/>
              <w:jc w:val="both"/>
              <w:rPr>
                <w:rFonts w:eastAsia="宋体"/>
                <w:b/>
                <w:sz w:val="24"/>
                <w:szCs w:val="24"/>
              </w:rPr>
            </w:pPr>
            <w:r>
              <w:rPr>
                <w:rFonts w:eastAsia="宋体"/>
                <w:b/>
                <w:sz w:val="24"/>
                <w:szCs w:val="24"/>
              </w:rPr>
              <w:t>相关专业领域: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1594" w:type="dxa"/>
            <w:tcBorders>
              <w:right w:val="single" w:color="auto" w:sz="4" w:space="0"/>
            </w:tcBorders>
            <w:vAlign w:val="center"/>
          </w:tcPr>
          <w:p>
            <w:pPr>
              <w:pStyle w:val="12"/>
              <w:ind w:right="106"/>
              <w:jc w:val="both"/>
              <w:rPr>
                <w:rFonts w:eastAsia="宋体"/>
                <w:sz w:val="24"/>
                <w:szCs w:val="24"/>
              </w:rPr>
            </w:pPr>
            <w:r>
              <w:rPr>
                <w:rFonts w:eastAsia="宋体"/>
                <w:spacing w:val="-2"/>
                <w:sz w:val="24"/>
                <w:szCs w:val="24"/>
              </w:rPr>
              <w:t>商业贷款</w:t>
            </w:r>
          </w:p>
        </w:tc>
        <w:tc>
          <w:tcPr>
            <w:tcW w:w="7195" w:type="dxa"/>
            <w:tcBorders>
              <w:left w:val="single" w:color="auto" w:sz="4" w:space="0"/>
            </w:tcBorders>
            <w:vAlign w:val="center"/>
          </w:tcPr>
          <w:p>
            <w:pPr>
              <w:pStyle w:val="12"/>
              <w:ind w:left="124" w:right="99"/>
              <w:jc w:val="both"/>
              <w:rPr>
                <w:rFonts w:eastAsia="宋体"/>
                <w:sz w:val="24"/>
                <w:szCs w:val="24"/>
                <w:lang w:eastAsia="zh-CN"/>
              </w:rPr>
            </w:pPr>
            <w:r>
              <w:rPr>
                <w:rFonts w:eastAsia="宋体"/>
                <w:sz w:val="24"/>
                <w:szCs w:val="24"/>
                <w:lang w:eastAsia="zh-CN"/>
              </w:rPr>
              <w:t>了解你的客户(KYC)流程和监管要求、金融机构(银行、贷款机构)合规、法律和风险部门、身份和背景核查服务公司的法律专家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594" w:type="dxa"/>
            <w:tcBorders>
              <w:right w:val="single" w:color="auto" w:sz="4" w:space="0"/>
            </w:tcBorders>
            <w:vAlign w:val="center"/>
          </w:tcPr>
          <w:p>
            <w:pPr>
              <w:pStyle w:val="12"/>
              <w:ind w:right="106"/>
              <w:jc w:val="both"/>
              <w:rPr>
                <w:rFonts w:eastAsia="宋体"/>
                <w:sz w:val="24"/>
                <w:szCs w:val="24"/>
              </w:rPr>
            </w:pPr>
            <w:r>
              <w:rPr>
                <w:rFonts w:eastAsia="宋体"/>
                <w:spacing w:val="-2"/>
                <w:sz w:val="24"/>
                <w:szCs w:val="24"/>
              </w:rPr>
              <w:t>安全的交易</w:t>
            </w:r>
          </w:p>
        </w:tc>
        <w:tc>
          <w:tcPr>
            <w:tcW w:w="7195" w:type="dxa"/>
            <w:tcBorders>
              <w:left w:val="single" w:color="auto" w:sz="4" w:space="0"/>
            </w:tcBorders>
            <w:vAlign w:val="center"/>
          </w:tcPr>
          <w:p>
            <w:pPr>
              <w:pStyle w:val="12"/>
              <w:ind w:left="124" w:right="47"/>
              <w:jc w:val="both"/>
              <w:rPr>
                <w:rFonts w:eastAsia="宋体"/>
                <w:sz w:val="24"/>
                <w:szCs w:val="24"/>
                <w:lang w:eastAsia="zh-CN"/>
              </w:rPr>
            </w:pPr>
            <w:r>
              <w:rPr>
                <w:rFonts w:eastAsia="宋体"/>
                <w:sz w:val="24"/>
                <w:szCs w:val="24"/>
                <w:lang w:eastAsia="zh-CN"/>
              </w:rPr>
              <w:t>银行或金融专业的法学学位，目前除公证员外，目前在交易律师事务所或商业银行法务部工作。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594" w:type="dxa"/>
            <w:tcBorders>
              <w:right w:val="single" w:color="auto" w:sz="4" w:space="0"/>
            </w:tcBorders>
            <w:vAlign w:val="center"/>
          </w:tcPr>
          <w:p>
            <w:pPr>
              <w:pStyle w:val="12"/>
              <w:jc w:val="both"/>
              <w:rPr>
                <w:rFonts w:eastAsia="宋体"/>
                <w:sz w:val="24"/>
                <w:szCs w:val="24"/>
              </w:rPr>
            </w:pPr>
            <w:r>
              <w:rPr>
                <w:rFonts w:eastAsia="宋体"/>
                <w:spacing w:val="-2"/>
                <w:sz w:val="24"/>
                <w:szCs w:val="24"/>
              </w:rPr>
              <w:t>网络支付</w:t>
            </w:r>
          </w:p>
        </w:tc>
        <w:tc>
          <w:tcPr>
            <w:tcW w:w="7195" w:type="dxa"/>
            <w:tcBorders>
              <w:left w:val="single" w:color="auto" w:sz="4" w:space="0"/>
            </w:tcBorders>
            <w:vAlign w:val="center"/>
          </w:tcPr>
          <w:p>
            <w:pPr>
              <w:pStyle w:val="12"/>
              <w:ind w:left="124"/>
              <w:jc w:val="both"/>
              <w:rPr>
                <w:rFonts w:eastAsia="宋体"/>
                <w:sz w:val="24"/>
                <w:szCs w:val="24"/>
                <w:lang w:eastAsia="zh-CN"/>
              </w:rPr>
            </w:pPr>
            <w:r>
              <w:rPr>
                <w:rFonts w:eastAsia="宋体"/>
                <w:sz w:val="24"/>
                <w:szCs w:val="24"/>
                <w:lang w:eastAsia="zh-CN"/>
              </w:rPr>
              <w:t>金融律师、商业银行、支付服务商等相关专家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594" w:type="dxa"/>
            <w:tcBorders>
              <w:right w:val="single" w:color="auto" w:sz="4" w:space="0"/>
            </w:tcBorders>
            <w:vAlign w:val="center"/>
          </w:tcPr>
          <w:p>
            <w:pPr>
              <w:pStyle w:val="12"/>
              <w:jc w:val="both"/>
              <w:rPr>
                <w:rFonts w:eastAsia="宋体"/>
                <w:sz w:val="24"/>
                <w:szCs w:val="24"/>
              </w:rPr>
            </w:pPr>
            <w:r>
              <w:rPr>
                <w:rFonts w:eastAsia="宋体"/>
                <w:sz w:val="24"/>
                <w:szCs w:val="24"/>
              </w:rPr>
              <w:t>绿色金融</w:t>
            </w:r>
          </w:p>
        </w:tc>
        <w:tc>
          <w:tcPr>
            <w:tcW w:w="7195" w:type="dxa"/>
            <w:tcBorders>
              <w:left w:val="single" w:color="auto" w:sz="4" w:space="0"/>
            </w:tcBorders>
            <w:vAlign w:val="center"/>
          </w:tcPr>
          <w:p>
            <w:pPr>
              <w:pStyle w:val="12"/>
              <w:ind w:left="124" w:right="47"/>
              <w:jc w:val="both"/>
              <w:rPr>
                <w:rFonts w:eastAsia="宋体"/>
                <w:sz w:val="24"/>
                <w:szCs w:val="24"/>
                <w:lang w:eastAsia="zh-CN"/>
              </w:rPr>
            </w:pPr>
            <w:r>
              <w:rPr>
                <w:rFonts w:eastAsia="宋体"/>
                <w:sz w:val="24"/>
                <w:szCs w:val="24"/>
                <w:lang w:eastAsia="zh-CN"/>
              </w:rPr>
              <w:t>具有绿色金融法规和绿色贷款经验的绿色金融顾问、环境顾问和金融律师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594" w:type="dxa"/>
            <w:tcBorders>
              <w:right w:val="single" w:color="auto" w:sz="4" w:space="0"/>
            </w:tcBorders>
            <w:vAlign w:val="center"/>
          </w:tcPr>
          <w:p>
            <w:pPr>
              <w:pStyle w:val="12"/>
              <w:ind w:right="106"/>
              <w:jc w:val="both"/>
              <w:rPr>
                <w:rFonts w:eastAsia="宋体"/>
                <w:sz w:val="24"/>
                <w:szCs w:val="24"/>
              </w:rPr>
            </w:pPr>
            <w:r>
              <w:rPr>
                <w:rFonts w:eastAsia="宋体"/>
                <w:sz w:val="24"/>
                <w:szCs w:val="24"/>
              </w:rPr>
              <w:t>征信机构和登记机构</w:t>
            </w:r>
          </w:p>
        </w:tc>
        <w:tc>
          <w:tcPr>
            <w:tcW w:w="7195" w:type="dxa"/>
            <w:tcBorders>
              <w:left w:val="single" w:color="auto" w:sz="4" w:space="0"/>
            </w:tcBorders>
            <w:vAlign w:val="center"/>
          </w:tcPr>
          <w:p>
            <w:pPr>
              <w:pStyle w:val="12"/>
              <w:ind w:left="124"/>
              <w:jc w:val="both"/>
              <w:rPr>
                <w:rFonts w:eastAsia="宋体"/>
                <w:sz w:val="24"/>
                <w:szCs w:val="24"/>
                <w:lang w:eastAsia="zh-CN"/>
              </w:rPr>
            </w:pPr>
            <w:r>
              <w:rPr>
                <w:rFonts w:eastAsia="宋体"/>
                <w:sz w:val="24"/>
                <w:szCs w:val="24"/>
                <w:lang w:eastAsia="zh-CN"/>
              </w:rPr>
              <w:t>经济、银行和金融、会计、工商管理、法律或任何相关领域的专家</w:t>
            </w:r>
          </w:p>
          <w:p>
            <w:pPr>
              <w:pStyle w:val="12"/>
              <w:ind w:left="124"/>
              <w:jc w:val="both"/>
              <w:rPr>
                <w:rFonts w:eastAsia="宋体"/>
                <w:sz w:val="24"/>
                <w:szCs w:val="24"/>
                <w:lang w:eastAsia="zh-CN"/>
              </w:rPr>
            </w:pPr>
            <w:r>
              <w:rPr>
                <w:rFonts w:eastAsia="宋体"/>
                <w:sz w:val="24"/>
                <w:szCs w:val="24"/>
                <w:lang w:eastAsia="zh-CN"/>
              </w:rPr>
              <w:t>-目前从事征信行业(征信局/征信登记处)工作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8789" w:type="dxa"/>
            <w:gridSpan w:val="2"/>
            <w:shd w:val="clear" w:color="auto" w:fill="E7EBF5"/>
            <w:vAlign w:val="center"/>
          </w:tcPr>
          <w:p>
            <w:pPr>
              <w:pStyle w:val="12"/>
              <w:jc w:val="both"/>
              <w:rPr>
                <w:rFonts w:eastAsia="宋体"/>
                <w:b/>
                <w:sz w:val="24"/>
                <w:szCs w:val="24"/>
                <w:lang w:eastAsia="zh-CN"/>
              </w:rPr>
            </w:pPr>
            <w:r>
              <w:rPr>
                <w:rFonts w:eastAsia="宋体"/>
                <w:b/>
                <w:sz w:val="24"/>
                <w:szCs w:val="24"/>
                <w:lang w:eastAsia="zh-CN"/>
              </w:rPr>
              <w:t>对专家在商业贷款、担保交易、电子支付、绿色金融、信用信息等方面的知识和经验进行评估: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1594" w:type="dxa"/>
            <w:tcBorders>
              <w:right w:val="single" w:color="auto" w:sz="4" w:space="0"/>
            </w:tcBorders>
            <w:vAlign w:val="center"/>
          </w:tcPr>
          <w:p>
            <w:pPr>
              <w:pStyle w:val="12"/>
              <w:ind w:right="106"/>
              <w:jc w:val="both"/>
              <w:rPr>
                <w:rFonts w:eastAsia="宋体"/>
                <w:sz w:val="24"/>
                <w:szCs w:val="24"/>
              </w:rPr>
            </w:pPr>
            <w:r>
              <w:rPr>
                <w:rFonts w:eastAsia="宋体"/>
                <w:spacing w:val="-2"/>
                <w:sz w:val="24"/>
                <w:szCs w:val="24"/>
              </w:rPr>
              <w:t>商业贷款</w:t>
            </w:r>
          </w:p>
        </w:tc>
        <w:tc>
          <w:tcPr>
            <w:tcW w:w="7195" w:type="dxa"/>
            <w:tcBorders>
              <w:left w:val="single" w:color="auto" w:sz="4" w:space="0"/>
            </w:tcBorders>
            <w:vAlign w:val="center"/>
          </w:tcPr>
          <w:p>
            <w:pPr>
              <w:pStyle w:val="12"/>
              <w:ind w:left="124"/>
              <w:jc w:val="both"/>
              <w:rPr>
                <w:rFonts w:eastAsia="宋体"/>
                <w:sz w:val="24"/>
                <w:szCs w:val="24"/>
                <w:lang w:eastAsia="zh-CN"/>
              </w:rPr>
            </w:pPr>
            <w:r>
              <w:rPr>
                <w:rFonts w:eastAsia="宋体"/>
                <w:sz w:val="24"/>
                <w:szCs w:val="24"/>
                <w:lang w:eastAsia="zh-CN"/>
              </w:rPr>
              <w:t>在银行和金融领域有经验，特别是在KYC处理，开户，贷款方面，或有客户身份验证、合规、经历过KYC流程、客户数据收集、客户尽职调查、风险评估(AML/CFT)方面的经验。</w:t>
            </w:r>
          </w:p>
        </w:tc>
      </w:tr>
    </w:tbl>
    <w:p>
      <w:pPr>
        <w:rPr>
          <w:rFonts w:eastAsia="宋体"/>
          <w:sz w:val="24"/>
          <w:szCs w:val="24"/>
          <w:lang w:eastAsia="zh-CN"/>
        </w:rPr>
        <w:sectPr>
          <w:pgSz w:w="12240" w:h="15840"/>
          <w:pgMar w:top="1440" w:right="1800" w:bottom="1440" w:left="1800" w:header="720" w:footer="720" w:gutter="0"/>
          <w:cols w:space="720" w:num="1"/>
        </w:sectPr>
      </w:pPr>
    </w:p>
    <w:tbl>
      <w:tblPr>
        <w:tblStyle w:val="8"/>
        <w:tblW w:w="8789"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4"/>
        <w:gridCol w:w="7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94" w:type="dxa"/>
            <w:tcBorders>
              <w:top w:val="single" w:color="auto" w:sz="4" w:space="0"/>
              <w:left w:val="single" w:color="auto" w:sz="4" w:space="0"/>
              <w:bottom w:val="single" w:color="auto" w:sz="4" w:space="0"/>
              <w:right w:val="single" w:color="auto" w:sz="4" w:space="0"/>
            </w:tcBorders>
            <w:vAlign w:val="center"/>
          </w:tcPr>
          <w:p>
            <w:pPr>
              <w:pStyle w:val="12"/>
              <w:ind w:right="106"/>
              <w:jc w:val="both"/>
              <w:rPr>
                <w:rFonts w:eastAsia="宋体"/>
                <w:sz w:val="24"/>
                <w:szCs w:val="24"/>
              </w:rPr>
            </w:pPr>
            <w:r>
              <w:rPr>
                <w:rFonts w:eastAsia="宋体"/>
                <w:spacing w:val="-2"/>
                <w:sz w:val="24"/>
                <w:szCs w:val="24"/>
                <w:lang w:eastAsia="zh-CN"/>
              </w:rPr>
              <w:t>担保</w:t>
            </w:r>
            <w:r>
              <w:rPr>
                <w:rFonts w:eastAsia="宋体"/>
                <w:spacing w:val="-2"/>
                <w:sz w:val="24"/>
                <w:szCs w:val="24"/>
              </w:rPr>
              <w:t>交易</w:t>
            </w:r>
          </w:p>
        </w:tc>
        <w:tc>
          <w:tcPr>
            <w:tcW w:w="7195" w:type="dxa"/>
            <w:tcBorders>
              <w:top w:val="single" w:color="auto" w:sz="4" w:space="0"/>
              <w:left w:val="single" w:color="auto" w:sz="4" w:space="0"/>
              <w:bottom w:val="single" w:color="auto" w:sz="4" w:space="0"/>
              <w:right w:val="single" w:color="auto" w:sz="4" w:space="0"/>
            </w:tcBorders>
            <w:vAlign w:val="center"/>
          </w:tcPr>
          <w:p>
            <w:pPr>
              <w:pStyle w:val="12"/>
              <w:ind w:left="124"/>
              <w:jc w:val="both"/>
              <w:rPr>
                <w:rFonts w:eastAsia="宋体"/>
                <w:sz w:val="24"/>
                <w:szCs w:val="24"/>
                <w:lang w:eastAsia="zh-CN"/>
              </w:rPr>
            </w:pPr>
            <w:r>
              <w:rPr>
                <w:rFonts w:eastAsia="宋体"/>
                <w:sz w:val="24"/>
                <w:szCs w:val="24"/>
                <w:lang w:eastAsia="zh-CN"/>
              </w:rPr>
              <w:t>专门从事商业贷款和担保交易法规的金融或银行律师。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594" w:type="dxa"/>
            <w:tcBorders>
              <w:top w:val="single" w:color="auto" w:sz="4" w:space="0"/>
              <w:right w:val="single" w:color="auto" w:sz="4" w:space="0"/>
            </w:tcBorders>
            <w:vAlign w:val="center"/>
          </w:tcPr>
          <w:p>
            <w:pPr>
              <w:pStyle w:val="12"/>
              <w:jc w:val="both"/>
              <w:rPr>
                <w:rFonts w:eastAsia="宋体"/>
                <w:sz w:val="24"/>
                <w:szCs w:val="24"/>
              </w:rPr>
            </w:pPr>
            <w:r>
              <w:rPr>
                <w:rFonts w:eastAsia="宋体"/>
                <w:spacing w:val="-2"/>
                <w:sz w:val="24"/>
                <w:szCs w:val="24"/>
                <w:lang w:eastAsia="zh-CN"/>
              </w:rPr>
              <w:t>电子</w:t>
            </w:r>
            <w:r>
              <w:rPr>
                <w:rFonts w:eastAsia="宋体"/>
                <w:spacing w:val="-2"/>
                <w:sz w:val="24"/>
                <w:szCs w:val="24"/>
              </w:rPr>
              <w:t>支付</w:t>
            </w:r>
          </w:p>
        </w:tc>
        <w:tc>
          <w:tcPr>
            <w:tcW w:w="7195" w:type="dxa"/>
            <w:tcBorders>
              <w:top w:val="single" w:color="auto" w:sz="4" w:space="0"/>
              <w:left w:val="single" w:color="auto" w:sz="4" w:space="0"/>
            </w:tcBorders>
            <w:vAlign w:val="center"/>
          </w:tcPr>
          <w:p>
            <w:pPr>
              <w:pStyle w:val="12"/>
              <w:ind w:left="124"/>
              <w:jc w:val="both"/>
              <w:rPr>
                <w:rFonts w:eastAsia="宋体"/>
                <w:sz w:val="24"/>
                <w:szCs w:val="24"/>
                <w:lang w:eastAsia="zh-CN"/>
              </w:rPr>
            </w:pPr>
            <w:r>
              <w:rPr>
                <w:rFonts w:eastAsia="宋体"/>
                <w:sz w:val="24"/>
                <w:szCs w:val="24"/>
                <w:lang w:eastAsia="zh-CN"/>
              </w:rPr>
              <w:t>具有金融法、支付服务、支付系统、电子支付法、银行法等方面的经验。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1594" w:type="dxa"/>
            <w:tcBorders>
              <w:right w:val="single" w:color="auto" w:sz="4" w:space="0"/>
            </w:tcBorders>
            <w:vAlign w:val="center"/>
          </w:tcPr>
          <w:p>
            <w:pPr>
              <w:pStyle w:val="12"/>
              <w:ind w:right="106"/>
              <w:jc w:val="both"/>
              <w:rPr>
                <w:rFonts w:eastAsia="宋体"/>
                <w:sz w:val="24"/>
                <w:szCs w:val="24"/>
                <w:lang w:eastAsia="zh-CN"/>
              </w:rPr>
            </w:pPr>
            <w:r>
              <w:rPr>
                <w:rFonts w:eastAsia="宋体"/>
                <w:sz w:val="24"/>
                <w:szCs w:val="24"/>
                <w:lang w:eastAsia="zh-CN"/>
              </w:rPr>
              <w:t>绿色金融</w:t>
            </w:r>
          </w:p>
        </w:tc>
        <w:tc>
          <w:tcPr>
            <w:tcW w:w="7195" w:type="dxa"/>
            <w:tcBorders>
              <w:left w:val="single" w:color="auto" w:sz="4" w:space="0"/>
            </w:tcBorders>
            <w:vAlign w:val="center"/>
          </w:tcPr>
          <w:p>
            <w:pPr>
              <w:pStyle w:val="12"/>
              <w:ind w:left="124"/>
              <w:jc w:val="both"/>
              <w:rPr>
                <w:rFonts w:eastAsia="宋体"/>
                <w:sz w:val="24"/>
                <w:szCs w:val="24"/>
                <w:lang w:eastAsia="zh-CN"/>
              </w:rPr>
            </w:pPr>
            <w:r>
              <w:rPr>
                <w:rFonts w:eastAsia="宋体"/>
                <w:sz w:val="24"/>
                <w:szCs w:val="24"/>
                <w:lang w:eastAsia="zh-CN"/>
              </w:rPr>
              <w:t>具有绿色金融法规和原则、绿色融资、绿色债券、气候/环境风险等方面的经验。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1594" w:type="dxa"/>
            <w:tcBorders>
              <w:right w:val="single" w:color="auto" w:sz="4" w:space="0"/>
            </w:tcBorders>
            <w:vAlign w:val="center"/>
          </w:tcPr>
          <w:p>
            <w:pPr>
              <w:pStyle w:val="12"/>
              <w:ind w:right="106"/>
              <w:jc w:val="both"/>
              <w:rPr>
                <w:rFonts w:eastAsia="宋体"/>
                <w:sz w:val="24"/>
                <w:szCs w:val="24"/>
              </w:rPr>
            </w:pPr>
            <w:r>
              <w:rPr>
                <w:rFonts w:eastAsia="宋体"/>
                <w:sz w:val="24"/>
                <w:szCs w:val="24"/>
              </w:rPr>
              <w:t>征信机构和登记机构</w:t>
            </w:r>
          </w:p>
        </w:tc>
        <w:tc>
          <w:tcPr>
            <w:tcW w:w="7195" w:type="dxa"/>
            <w:tcBorders>
              <w:left w:val="single" w:color="auto" w:sz="4" w:space="0"/>
            </w:tcBorders>
            <w:vAlign w:val="center"/>
          </w:tcPr>
          <w:p>
            <w:pPr>
              <w:pStyle w:val="12"/>
              <w:ind w:left="124"/>
              <w:jc w:val="both"/>
              <w:rPr>
                <w:rFonts w:eastAsia="宋体"/>
                <w:sz w:val="24"/>
                <w:szCs w:val="24"/>
                <w:lang w:eastAsia="zh-CN"/>
              </w:rPr>
            </w:pPr>
            <w:r>
              <w:rPr>
                <w:rFonts w:eastAsia="宋体"/>
                <w:sz w:val="24"/>
                <w:szCs w:val="24"/>
                <w:lang w:eastAsia="zh-CN"/>
              </w:rPr>
              <w:t>有收集和报告客户(公司和个人)信用信息数据、企业管理和信息管理经验。</w:t>
            </w:r>
          </w:p>
        </w:tc>
      </w:tr>
    </w:tbl>
    <w:p>
      <w:pPr>
        <w:spacing w:line="400" w:lineRule="exact"/>
        <w:ind w:firstLine="480" w:firstLineChars="200"/>
        <w:jc w:val="both"/>
        <w:rPr>
          <w:rFonts w:eastAsia="宋体"/>
          <w:sz w:val="24"/>
          <w:szCs w:val="24"/>
          <w:lang w:eastAsia="zh-CN"/>
        </w:rPr>
      </w:pPr>
      <w:r>
        <w:rPr>
          <w:rFonts w:eastAsia="宋体"/>
          <w:i/>
          <w:sz w:val="24"/>
          <w:szCs w:val="24"/>
          <w:lang w:eastAsia="zh-CN"/>
        </w:rPr>
        <w:t>注:</w:t>
      </w:r>
      <w:r>
        <w:rPr>
          <w:rFonts w:eastAsia="宋体"/>
          <w:sz w:val="24"/>
          <w:szCs w:val="24"/>
          <w:lang w:eastAsia="zh-CN"/>
        </w:rPr>
        <w:t>AML/CMT =反洗钱/打击恐怖主义融资</w:t>
      </w:r>
      <w:r>
        <w:rPr>
          <w:rFonts w:hint="eastAsia" w:eastAsia="宋体"/>
          <w:sz w:val="24"/>
          <w:szCs w:val="24"/>
          <w:lang w:eastAsia="zh-CN"/>
        </w:rPr>
        <w:t>；</w:t>
      </w:r>
      <w:r>
        <w:rPr>
          <w:rFonts w:eastAsia="宋体"/>
          <w:sz w:val="24"/>
          <w:szCs w:val="24"/>
          <w:lang w:eastAsia="zh-CN"/>
        </w:rPr>
        <w:t>KYC = Know Your Customer。</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因此，筛选问卷中提供的信息将使团队更好地了解专家的职业</w:t>
      </w:r>
      <w:r>
        <w:rPr>
          <w:rFonts w:hint="eastAsia" w:eastAsia="宋体"/>
          <w:sz w:val="28"/>
          <w:szCs w:val="28"/>
          <w:lang w:eastAsia="zh-CN"/>
        </w:rPr>
        <w:t>；</w:t>
      </w:r>
      <w:r>
        <w:rPr>
          <w:rFonts w:eastAsia="宋体"/>
          <w:sz w:val="28"/>
          <w:szCs w:val="28"/>
          <w:lang w:eastAsia="zh-CN"/>
        </w:rPr>
        <w:t>与商业贷款、担保交易、电子支付、绿色金融、征信机构和登记机构相关的专业领域和专家的知识或经验。最终，这将使团队能够选择专家对相关问卷做出回应。</w:t>
      </w:r>
    </w:p>
    <w:p>
      <w:pPr>
        <w:pStyle w:val="3"/>
        <w:spacing w:before="0" w:after="240" w:afterLines="100" w:line="400" w:lineRule="exact"/>
        <w:jc w:val="center"/>
        <w:rPr>
          <w:rFonts w:ascii="Times New Roman" w:hAnsi="Times New Roman" w:eastAsia="宋体"/>
          <w:sz w:val="28"/>
          <w:szCs w:val="28"/>
          <w:lang w:eastAsia="zh-CN"/>
        </w:rPr>
      </w:pPr>
      <w:r>
        <w:rPr>
          <w:rFonts w:ascii="Times New Roman" w:hAnsi="Times New Roman" w:eastAsia="宋体"/>
          <w:sz w:val="28"/>
          <w:szCs w:val="28"/>
          <w:lang w:eastAsia="zh-CN"/>
        </w:rPr>
        <w:t>IV.参数</w:t>
      </w:r>
    </w:p>
    <w:p>
      <w:pPr>
        <w:pStyle w:val="5"/>
        <w:rPr>
          <w:rFonts w:eastAsia="宋体"/>
          <w:b/>
          <w:sz w:val="28"/>
          <w:szCs w:val="28"/>
          <w:lang w:eastAsia="zh-CN"/>
        </w:rPr>
      </w:pPr>
    </w:p>
    <w:p>
      <w:pPr>
        <w:pStyle w:val="5"/>
        <w:spacing w:line="400" w:lineRule="exact"/>
        <w:ind w:firstLine="560" w:firstLineChars="200"/>
        <w:jc w:val="both"/>
        <w:rPr>
          <w:rFonts w:eastAsia="宋体"/>
          <w:sz w:val="28"/>
          <w:szCs w:val="28"/>
          <w:lang w:eastAsia="zh-CN"/>
        </w:rPr>
      </w:pPr>
      <w:r>
        <w:rPr>
          <w:rFonts w:eastAsia="宋体"/>
          <w:sz w:val="28"/>
          <w:szCs w:val="28"/>
          <w:lang w:eastAsia="zh-CN"/>
        </w:rPr>
        <w:t>为确保各经济体专家咨询数据的可比性，金融服务专题使用一般参数。参数是指对业务地点和交易类型所做的假设。向问卷调查对象提供这些参数和假设，并要求他们评估一个标准化的场景，该场景允许不同地区、司法管辖区和经济体之间的可比性。</w:t>
      </w:r>
    </w:p>
    <w:p>
      <w:pPr>
        <w:pStyle w:val="5"/>
        <w:spacing w:line="400" w:lineRule="exact"/>
        <w:ind w:firstLine="560" w:firstLineChars="200"/>
        <w:jc w:val="both"/>
        <w:rPr>
          <w:rFonts w:eastAsia="宋体"/>
          <w:sz w:val="28"/>
          <w:szCs w:val="28"/>
          <w:lang w:eastAsia="zh-CN"/>
        </w:rPr>
      </w:pPr>
    </w:p>
    <w:p>
      <w:pPr>
        <w:pStyle w:val="11"/>
        <w:tabs>
          <w:tab w:val="left" w:pos="840"/>
          <w:tab w:val="left" w:pos="841"/>
        </w:tabs>
        <w:spacing w:line="400" w:lineRule="exact"/>
        <w:ind w:left="0" w:firstLine="562" w:firstLineChars="200"/>
        <w:jc w:val="left"/>
        <w:outlineLvl w:val="1"/>
        <w:rPr>
          <w:rFonts w:eastAsia="宋体"/>
          <w:b/>
          <w:sz w:val="28"/>
          <w:szCs w:val="28"/>
          <w:lang w:eastAsia="zh-CN"/>
        </w:rPr>
      </w:pPr>
      <w:r>
        <w:rPr>
          <w:rFonts w:eastAsia="宋体"/>
          <w:b/>
          <w:sz w:val="28"/>
          <w:szCs w:val="28"/>
          <w:lang w:eastAsia="zh-CN"/>
        </w:rPr>
        <w:t>5.1一般参数</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许多经济体都有国家以下的司法管辖区，要求指定具体的业务地点，以便专家确定需要评估的相关监管框架。此外，指定交易类型很重要，因为这些交易与专家确定适当的法规有关。</w:t>
      </w:r>
    </w:p>
    <w:p>
      <w:pPr>
        <w:pStyle w:val="5"/>
        <w:spacing w:line="400" w:lineRule="exact"/>
        <w:ind w:firstLine="560" w:firstLineChars="200"/>
        <w:jc w:val="both"/>
        <w:rPr>
          <w:rFonts w:eastAsia="宋体"/>
          <w:sz w:val="28"/>
          <w:szCs w:val="28"/>
          <w:lang w:eastAsia="zh-CN"/>
        </w:rPr>
      </w:pPr>
    </w:p>
    <w:p>
      <w:pPr>
        <w:pStyle w:val="11"/>
        <w:tabs>
          <w:tab w:val="left" w:pos="840"/>
          <w:tab w:val="left" w:pos="841"/>
        </w:tabs>
        <w:spacing w:line="400" w:lineRule="exact"/>
        <w:ind w:left="0" w:firstLine="562" w:firstLineChars="200"/>
        <w:jc w:val="left"/>
        <w:outlineLvl w:val="2"/>
        <w:rPr>
          <w:rFonts w:eastAsia="宋体"/>
          <w:b/>
          <w:sz w:val="28"/>
          <w:szCs w:val="28"/>
          <w:lang w:eastAsia="zh-CN"/>
        </w:rPr>
      </w:pPr>
      <w:r>
        <w:rPr>
          <w:rFonts w:eastAsia="宋体"/>
          <w:b/>
          <w:sz w:val="28"/>
          <w:szCs w:val="28"/>
          <w:lang w:eastAsia="zh-CN"/>
        </w:rPr>
        <w:t>5.1.1商业地点-最大的城市</w:t>
      </w:r>
    </w:p>
    <w:p>
      <w:pPr>
        <w:pStyle w:val="5"/>
        <w:spacing w:line="400" w:lineRule="exact"/>
        <w:ind w:firstLine="552" w:firstLineChars="200"/>
        <w:rPr>
          <w:rFonts w:eastAsia="宋体"/>
          <w:sz w:val="28"/>
          <w:szCs w:val="28"/>
          <w:lang w:eastAsia="zh-CN"/>
        </w:rPr>
      </w:pPr>
      <w:r>
        <w:rPr>
          <w:rFonts w:eastAsia="宋体"/>
          <w:spacing w:val="-2"/>
          <w:sz w:val="28"/>
          <w:szCs w:val="28"/>
          <w:u w:val="single"/>
          <w:lang w:eastAsia="zh-CN"/>
        </w:rPr>
        <w:t>理由:</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地理位置决定了管理公司和企业可获得的金融服务的法规。此外，重要的是从实际角度确定地理位置，确定收集监管框架和实际实施数据的专家。根据人口规模选择最大的城市，详见本方法手册概述章节。</w:t>
      </w:r>
    </w:p>
    <w:p>
      <w:pPr>
        <w:pStyle w:val="5"/>
        <w:spacing w:line="400" w:lineRule="exact"/>
        <w:ind w:firstLine="560" w:firstLineChars="200"/>
        <w:jc w:val="both"/>
        <w:rPr>
          <w:rFonts w:eastAsia="宋体"/>
          <w:sz w:val="28"/>
          <w:szCs w:val="28"/>
          <w:lang w:eastAsia="zh-CN"/>
        </w:rPr>
      </w:pPr>
    </w:p>
    <w:p>
      <w:pPr>
        <w:pStyle w:val="5"/>
        <w:spacing w:line="400" w:lineRule="exact"/>
        <w:ind w:firstLine="552" w:firstLineChars="200"/>
        <w:rPr>
          <w:rFonts w:eastAsia="宋体"/>
          <w:sz w:val="28"/>
          <w:szCs w:val="28"/>
          <w:lang w:eastAsia="zh-CN"/>
        </w:rPr>
      </w:pPr>
      <w:r>
        <w:rPr>
          <w:rFonts w:eastAsia="宋体"/>
          <w:spacing w:val="-2"/>
          <w:sz w:val="28"/>
          <w:szCs w:val="28"/>
          <w:u w:val="single"/>
          <w:lang w:eastAsia="zh-CN"/>
        </w:rPr>
        <w:t>应用</w:t>
      </w:r>
      <w:r>
        <w:rPr>
          <w:rFonts w:eastAsia="宋体"/>
          <w:spacing w:val="-2"/>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对于维度I，该参数用于法规不适用于国家层面的情况，因州或地区而异。对于各州法规不同的经济体，衡量的是最大城市的法规。对于维度II和维度III，为有多个附属登记处(即联邦系统)的经济体建立了位置参数。</w:t>
      </w:r>
    </w:p>
    <w:p>
      <w:pPr>
        <w:pStyle w:val="5"/>
        <w:spacing w:line="400" w:lineRule="exact"/>
        <w:ind w:firstLine="560" w:firstLineChars="200"/>
        <w:jc w:val="both"/>
        <w:rPr>
          <w:rFonts w:eastAsia="宋体"/>
          <w:sz w:val="28"/>
          <w:szCs w:val="28"/>
          <w:lang w:eastAsia="zh-CN"/>
        </w:rPr>
      </w:pPr>
    </w:p>
    <w:p>
      <w:pPr>
        <w:pStyle w:val="11"/>
        <w:tabs>
          <w:tab w:val="left" w:pos="840"/>
          <w:tab w:val="left" w:pos="841"/>
        </w:tabs>
        <w:spacing w:line="400" w:lineRule="exact"/>
        <w:ind w:left="0" w:firstLine="562" w:firstLineChars="200"/>
        <w:jc w:val="left"/>
        <w:outlineLvl w:val="2"/>
        <w:rPr>
          <w:rFonts w:eastAsia="宋体"/>
          <w:b/>
          <w:sz w:val="28"/>
          <w:szCs w:val="28"/>
          <w:lang w:eastAsia="zh-CN"/>
        </w:rPr>
      </w:pPr>
      <w:r>
        <w:rPr>
          <w:rFonts w:eastAsia="宋体"/>
          <w:b/>
          <w:sz w:val="28"/>
          <w:szCs w:val="28"/>
          <w:lang w:eastAsia="zh-CN"/>
        </w:rPr>
        <w:t>5.1.2交易类型</w:t>
      </w:r>
    </w:p>
    <w:p>
      <w:pPr>
        <w:pStyle w:val="5"/>
        <w:spacing w:line="400" w:lineRule="exact"/>
        <w:ind w:firstLine="552" w:firstLineChars="200"/>
        <w:rPr>
          <w:rFonts w:eastAsia="宋体"/>
          <w:sz w:val="28"/>
          <w:szCs w:val="28"/>
          <w:lang w:eastAsia="zh-CN"/>
        </w:rPr>
      </w:pPr>
      <w:r>
        <w:rPr>
          <w:rFonts w:eastAsia="宋体"/>
          <w:spacing w:val="-2"/>
          <w:sz w:val="28"/>
          <w:szCs w:val="28"/>
          <w:u w:val="single"/>
          <w:lang w:eastAsia="zh-CN"/>
        </w:rPr>
        <w:t>理由:</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交易类型决定了管理公司和企业可获得的金融服务的法规(例如，国内交易与跨境交易)。为了限制本主题所衡量的范围，并使专家能够确定要评估的相关监管框架，本主题仅侧重于国内商业交易。</w:t>
      </w:r>
    </w:p>
    <w:p>
      <w:pPr>
        <w:pStyle w:val="5"/>
        <w:spacing w:line="400" w:lineRule="exact"/>
        <w:ind w:firstLine="560" w:firstLineChars="200"/>
        <w:jc w:val="both"/>
        <w:rPr>
          <w:rFonts w:eastAsia="宋体"/>
          <w:sz w:val="28"/>
          <w:szCs w:val="28"/>
          <w:lang w:eastAsia="zh-CN"/>
        </w:rPr>
      </w:pPr>
    </w:p>
    <w:p>
      <w:pPr>
        <w:pStyle w:val="5"/>
        <w:spacing w:line="400" w:lineRule="exact"/>
        <w:ind w:firstLine="552" w:firstLineChars="200"/>
        <w:rPr>
          <w:rFonts w:eastAsia="宋体"/>
          <w:sz w:val="28"/>
          <w:szCs w:val="28"/>
          <w:lang w:eastAsia="zh-CN"/>
        </w:rPr>
      </w:pPr>
      <w:r>
        <w:rPr>
          <w:rFonts w:eastAsia="宋体"/>
          <w:spacing w:val="-2"/>
          <w:sz w:val="28"/>
          <w:szCs w:val="28"/>
          <w:u w:val="single"/>
          <w:lang w:eastAsia="zh-CN"/>
        </w:rPr>
        <w:t>应用</w:t>
      </w:r>
      <w:r>
        <w:rPr>
          <w:rFonts w:eastAsia="宋体"/>
          <w:spacing w:val="-2"/>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对于维度I，该参数用于不同类型交易的监管不同的情况。对于不同交易类型的监管不同的经济体，对国内商业交易的监管进行衡量。对于维度II和维度III，衡量的交易仅限于商业贷款，电子支付交易仅限于国内交易，包括付款和收款。</w:t>
      </w:r>
    </w:p>
    <w:p>
      <w:pPr>
        <w:pStyle w:val="3"/>
        <w:spacing w:before="0" w:after="240" w:afterLines="100" w:line="400" w:lineRule="exact"/>
        <w:jc w:val="center"/>
        <w:rPr>
          <w:rFonts w:ascii="Times New Roman" w:hAnsi="Times New Roman"/>
          <w:lang w:eastAsia="zh-CN"/>
        </w:rPr>
        <w:sectPr>
          <w:type w:val="continuous"/>
          <w:pgSz w:w="12240" w:h="15840"/>
          <w:pgMar w:top="1440" w:right="1800" w:bottom="1440" w:left="1800" w:header="720" w:footer="720" w:gutter="0"/>
          <w:cols w:space="720" w:num="1"/>
        </w:sectPr>
      </w:pPr>
    </w:p>
    <w:p>
      <w:pPr>
        <w:pStyle w:val="3"/>
        <w:spacing w:before="0" w:after="240" w:afterLines="100" w:line="400" w:lineRule="exact"/>
        <w:jc w:val="center"/>
        <w:rPr>
          <w:rFonts w:ascii="Times New Roman" w:hAnsi="Times New Roman"/>
          <w:lang w:eastAsia="zh-CN"/>
        </w:rPr>
      </w:pPr>
      <w:r>
        <w:rPr>
          <w:rFonts w:ascii="Times New Roman" w:hAnsi="Times New Roman" w:eastAsia="宋体"/>
          <w:sz w:val="28"/>
          <w:szCs w:val="28"/>
          <w:lang w:eastAsia="zh-CN"/>
        </w:rPr>
        <w:t>V. 主题评分</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金融服务专题有三个维度:维度I:监管框架:商业贷款监管质量</w:t>
      </w:r>
      <w:r>
        <w:rPr>
          <w:rFonts w:hint="eastAsia" w:eastAsia="宋体"/>
          <w:sz w:val="28"/>
          <w:szCs w:val="28"/>
          <w:lang w:eastAsia="zh-CN"/>
        </w:rPr>
        <w:t>；</w:t>
      </w:r>
      <w:r>
        <w:rPr>
          <w:rFonts w:eastAsia="宋体"/>
          <w:sz w:val="28"/>
          <w:szCs w:val="28"/>
          <w:lang w:eastAsia="zh-CN"/>
        </w:rPr>
        <w:t>担保交易</w:t>
      </w:r>
      <w:r>
        <w:rPr>
          <w:rFonts w:hint="eastAsia" w:eastAsia="宋体"/>
          <w:sz w:val="28"/>
          <w:szCs w:val="28"/>
          <w:lang w:eastAsia="zh-CN"/>
        </w:rPr>
        <w:t>；</w:t>
      </w:r>
      <w:r>
        <w:rPr>
          <w:rFonts w:eastAsia="宋体"/>
          <w:sz w:val="28"/>
          <w:szCs w:val="28"/>
          <w:lang w:eastAsia="zh-CN"/>
        </w:rPr>
        <w:t>网络支付</w:t>
      </w:r>
      <w:r>
        <w:rPr>
          <w:rFonts w:hint="eastAsia" w:eastAsia="宋体"/>
          <w:sz w:val="28"/>
          <w:szCs w:val="28"/>
          <w:lang w:eastAsia="zh-CN"/>
        </w:rPr>
        <w:t>；</w:t>
      </w:r>
      <w:r>
        <w:rPr>
          <w:rFonts w:eastAsia="宋体"/>
          <w:sz w:val="28"/>
          <w:szCs w:val="28"/>
          <w:lang w:eastAsia="zh-CN"/>
        </w:rPr>
        <w:t>以及绿色融资</w:t>
      </w:r>
      <w:r>
        <w:rPr>
          <w:rFonts w:hint="eastAsia" w:eastAsia="宋体"/>
          <w:sz w:val="28"/>
          <w:szCs w:val="28"/>
          <w:lang w:eastAsia="zh-CN"/>
        </w:rPr>
        <w:t>；</w:t>
      </w:r>
      <w:r>
        <w:rPr>
          <w:rFonts w:eastAsia="宋体"/>
          <w:sz w:val="28"/>
          <w:szCs w:val="28"/>
          <w:lang w:eastAsia="zh-CN"/>
        </w:rPr>
        <w:t>维度II——信贷基础设施信息可及性和融资可获取性</w:t>
      </w:r>
      <w:r>
        <w:rPr>
          <w:rFonts w:hint="eastAsia" w:eastAsia="宋体"/>
          <w:sz w:val="28"/>
          <w:szCs w:val="28"/>
          <w:lang w:eastAsia="zh-CN"/>
        </w:rPr>
        <w:t>；</w:t>
      </w:r>
      <w:r>
        <w:rPr>
          <w:rFonts w:eastAsia="宋体"/>
          <w:sz w:val="28"/>
          <w:szCs w:val="28"/>
          <w:lang w:eastAsia="zh-CN"/>
        </w:rPr>
        <w:t>维度III——在实践中接受金融服务的效率。维度I涵盖30个指标，总分52分(企业灵活性22分，社会福利30分)。维度II包括9个指标，总分17分(企业灵活性8分，社会福利9分)。维度III有10个指标，企业灵活性得分从0到100分不等。每个维度的总得分进一步重新调整为0到100的数值，随后汇总为总主题得分。每个维度贡献三分之一的总主题得分。金融服务指标考虑了法规和商业惯例对企业(企业灵活性)以及社会(社会效益)的经济影响(表26)。有关进一步的评分细节，请参见附录A，它补充了本节。</w:t>
      </w:r>
    </w:p>
    <w:p>
      <w:pPr>
        <w:pStyle w:val="5"/>
        <w:spacing w:line="400" w:lineRule="exact"/>
        <w:ind w:firstLine="560" w:firstLineChars="200"/>
        <w:rPr>
          <w:rFonts w:eastAsia="宋体"/>
          <w:sz w:val="28"/>
          <w:szCs w:val="28"/>
          <w:lang w:eastAsia="zh-CN"/>
        </w:rPr>
      </w:pPr>
    </w:p>
    <w:p>
      <w:pPr>
        <w:spacing w:line="400" w:lineRule="exact"/>
        <w:jc w:val="center"/>
        <w:rPr>
          <w:rFonts w:eastAsia="宋体"/>
          <w:b/>
          <w:sz w:val="28"/>
          <w:szCs w:val="28"/>
        </w:rPr>
      </w:pPr>
      <w:r>
        <w:rPr>
          <w:rFonts w:eastAsia="宋体"/>
          <w:b/>
          <w:sz w:val="28"/>
          <w:szCs w:val="28"/>
        </w:rPr>
        <w:t>表26</w:t>
      </w:r>
      <w:r>
        <w:rPr>
          <w:rFonts w:hint="eastAsia" w:eastAsia="宋体"/>
          <w:b/>
          <w:sz w:val="28"/>
          <w:szCs w:val="28"/>
          <w:lang w:eastAsia="zh-CN"/>
        </w:rPr>
        <w:t>.</w:t>
      </w:r>
      <w:r>
        <w:rPr>
          <w:rFonts w:eastAsia="宋体"/>
          <w:b/>
          <w:sz w:val="28"/>
          <w:szCs w:val="28"/>
          <w:lang w:eastAsia="zh-CN"/>
        </w:rPr>
        <w:t xml:space="preserve"> </w:t>
      </w:r>
      <w:r>
        <w:rPr>
          <w:rFonts w:eastAsia="宋体"/>
          <w:b/>
          <w:sz w:val="28"/>
          <w:szCs w:val="28"/>
        </w:rPr>
        <w:t>总得分概述</w:t>
      </w:r>
    </w:p>
    <w:tbl>
      <w:tblPr>
        <w:tblStyle w:val="8"/>
        <w:tblW w:w="8759" w:type="dxa"/>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2913"/>
        <w:gridCol w:w="794"/>
        <w:gridCol w:w="896"/>
        <w:gridCol w:w="810"/>
        <w:gridCol w:w="845"/>
        <w:gridCol w:w="1018"/>
        <w:gridCol w:w="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56" w:type="dxa"/>
            <w:vMerge w:val="restart"/>
            <w:shd w:val="clear" w:color="auto" w:fill="E7EBF5"/>
            <w:vAlign w:val="center"/>
          </w:tcPr>
          <w:p>
            <w:pPr>
              <w:pStyle w:val="12"/>
              <w:spacing w:before="103"/>
              <w:ind w:left="134" w:right="121" w:hanging="2"/>
              <w:jc w:val="center"/>
              <w:rPr>
                <w:rFonts w:eastAsia="宋体"/>
                <w:b/>
                <w:sz w:val="24"/>
                <w:szCs w:val="24"/>
              </w:rPr>
            </w:pPr>
            <w:r>
              <w:rPr>
                <w:rFonts w:eastAsia="宋体"/>
                <w:b/>
                <w:spacing w:val="-2"/>
                <w:sz w:val="24"/>
                <w:szCs w:val="24"/>
                <w:lang w:eastAsia="zh-CN"/>
              </w:rPr>
              <w:t>维度编号</w:t>
            </w:r>
          </w:p>
        </w:tc>
        <w:tc>
          <w:tcPr>
            <w:tcW w:w="2913" w:type="dxa"/>
            <w:vMerge w:val="restart"/>
            <w:shd w:val="clear" w:color="auto" w:fill="E7EBF5"/>
            <w:vAlign w:val="center"/>
          </w:tcPr>
          <w:p>
            <w:pPr>
              <w:pStyle w:val="12"/>
              <w:spacing w:before="1"/>
              <w:ind w:left="0"/>
              <w:jc w:val="center"/>
              <w:rPr>
                <w:rFonts w:eastAsia="宋体"/>
                <w:b/>
                <w:sz w:val="24"/>
                <w:szCs w:val="24"/>
              </w:rPr>
            </w:pPr>
          </w:p>
          <w:p>
            <w:pPr>
              <w:pStyle w:val="12"/>
              <w:ind w:left="1256" w:right="1248"/>
              <w:jc w:val="center"/>
              <w:rPr>
                <w:rFonts w:eastAsia="宋体"/>
                <w:b/>
                <w:sz w:val="24"/>
                <w:szCs w:val="24"/>
                <w:lang w:eastAsia="zh-CN"/>
              </w:rPr>
            </w:pPr>
            <w:r>
              <w:rPr>
                <w:rFonts w:eastAsia="宋体"/>
                <w:b/>
                <w:spacing w:val="-2"/>
                <w:sz w:val="24"/>
                <w:szCs w:val="24"/>
                <w:lang w:eastAsia="zh-CN"/>
              </w:rPr>
              <w:t>维度</w:t>
            </w:r>
          </w:p>
        </w:tc>
        <w:tc>
          <w:tcPr>
            <w:tcW w:w="794" w:type="dxa"/>
            <w:vMerge w:val="restart"/>
            <w:shd w:val="clear" w:color="auto" w:fill="E7EBF5"/>
            <w:vAlign w:val="center"/>
          </w:tcPr>
          <w:p>
            <w:pPr>
              <w:pStyle w:val="12"/>
              <w:spacing w:before="103"/>
              <w:ind w:left="108" w:right="104"/>
              <w:jc w:val="center"/>
              <w:rPr>
                <w:rFonts w:eastAsia="宋体"/>
                <w:b/>
                <w:sz w:val="24"/>
                <w:szCs w:val="24"/>
              </w:rPr>
            </w:pPr>
            <w:r>
              <w:rPr>
                <w:rFonts w:eastAsia="宋体"/>
                <w:b/>
                <w:spacing w:val="-2"/>
                <w:sz w:val="24"/>
                <w:szCs w:val="24"/>
              </w:rPr>
              <w:t>指标数量</w:t>
            </w:r>
          </w:p>
        </w:tc>
        <w:tc>
          <w:tcPr>
            <w:tcW w:w="2551" w:type="dxa"/>
            <w:gridSpan w:val="3"/>
            <w:shd w:val="clear" w:color="auto" w:fill="E7EBF5"/>
            <w:vAlign w:val="center"/>
          </w:tcPr>
          <w:p>
            <w:pPr>
              <w:pStyle w:val="12"/>
              <w:ind w:left="0"/>
              <w:jc w:val="center"/>
              <w:rPr>
                <w:rFonts w:eastAsia="宋体"/>
                <w:b/>
                <w:sz w:val="24"/>
                <w:szCs w:val="24"/>
              </w:rPr>
            </w:pPr>
            <w:r>
              <w:rPr>
                <w:rFonts w:eastAsia="宋体"/>
                <w:b/>
                <w:spacing w:val="-2"/>
                <w:sz w:val="24"/>
                <w:szCs w:val="24"/>
              </w:rPr>
              <w:t>分数</w:t>
            </w:r>
          </w:p>
        </w:tc>
        <w:tc>
          <w:tcPr>
            <w:tcW w:w="1018" w:type="dxa"/>
            <w:vMerge w:val="restart"/>
            <w:shd w:val="clear" w:color="auto" w:fill="E7EBF5"/>
            <w:vAlign w:val="center"/>
          </w:tcPr>
          <w:p>
            <w:pPr>
              <w:pStyle w:val="12"/>
              <w:spacing w:before="10"/>
              <w:ind w:left="0"/>
              <w:jc w:val="center"/>
              <w:rPr>
                <w:rFonts w:eastAsia="宋体"/>
                <w:b/>
                <w:sz w:val="24"/>
                <w:szCs w:val="24"/>
              </w:rPr>
            </w:pPr>
          </w:p>
          <w:p>
            <w:pPr>
              <w:pStyle w:val="12"/>
              <w:ind w:left="271" w:right="122" w:hanging="140"/>
              <w:jc w:val="center"/>
              <w:rPr>
                <w:rFonts w:eastAsia="宋体"/>
                <w:b/>
                <w:sz w:val="24"/>
                <w:szCs w:val="24"/>
                <w:lang w:eastAsia="zh-CN"/>
              </w:rPr>
            </w:pPr>
            <w:r>
              <w:rPr>
                <w:rFonts w:eastAsia="宋体"/>
                <w:b/>
                <w:sz w:val="24"/>
                <w:szCs w:val="24"/>
                <w:lang w:eastAsia="zh-CN"/>
              </w:rPr>
              <w:t>调整</w:t>
            </w:r>
          </w:p>
          <w:p>
            <w:pPr>
              <w:pStyle w:val="12"/>
              <w:ind w:left="271" w:right="122" w:hanging="140"/>
              <w:jc w:val="center"/>
              <w:rPr>
                <w:rFonts w:eastAsia="宋体"/>
                <w:b/>
                <w:sz w:val="24"/>
                <w:szCs w:val="24"/>
                <w:lang w:eastAsia="zh-CN"/>
              </w:rPr>
            </w:pPr>
            <w:r>
              <w:rPr>
                <w:rFonts w:hint="eastAsia" w:eastAsia="宋体"/>
                <w:b/>
                <w:sz w:val="24"/>
                <w:szCs w:val="24"/>
                <w:lang w:eastAsia="zh-CN"/>
              </w:rPr>
              <w:t>后</w:t>
            </w:r>
          </w:p>
          <w:p>
            <w:pPr>
              <w:pStyle w:val="12"/>
              <w:ind w:left="271" w:right="122" w:hanging="140"/>
              <w:jc w:val="center"/>
              <w:rPr>
                <w:rFonts w:eastAsia="宋体"/>
                <w:b/>
                <w:sz w:val="24"/>
                <w:szCs w:val="24"/>
                <w:lang w:eastAsia="zh-CN"/>
              </w:rPr>
            </w:pPr>
            <w:r>
              <w:rPr>
                <w:rFonts w:hint="eastAsia" w:eastAsia="宋体"/>
                <w:b/>
                <w:sz w:val="24"/>
                <w:szCs w:val="24"/>
                <w:lang w:eastAsia="zh-CN"/>
              </w:rPr>
              <w:t>得分</w:t>
            </w:r>
          </w:p>
          <w:p>
            <w:pPr>
              <w:pStyle w:val="12"/>
              <w:ind w:left="0" w:right="122"/>
              <w:jc w:val="center"/>
              <w:rPr>
                <w:rFonts w:eastAsia="宋体"/>
                <w:b/>
                <w:sz w:val="24"/>
                <w:szCs w:val="24"/>
                <w:lang w:eastAsia="zh-CN"/>
              </w:rPr>
            </w:pPr>
          </w:p>
          <w:p>
            <w:pPr>
              <w:pStyle w:val="12"/>
              <w:ind w:left="202"/>
              <w:jc w:val="center"/>
              <w:rPr>
                <w:rFonts w:eastAsia="宋体"/>
                <w:b/>
                <w:sz w:val="24"/>
                <w:szCs w:val="24"/>
              </w:rPr>
            </w:pPr>
            <w:r>
              <w:rPr>
                <w:rFonts w:eastAsia="宋体"/>
                <w:b/>
                <w:w w:val="95"/>
                <w:sz w:val="24"/>
                <w:szCs w:val="24"/>
              </w:rPr>
              <w:t>(0 - 100)</w:t>
            </w:r>
          </w:p>
        </w:tc>
        <w:tc>
          <w:tcPr>
            <w:tcW w:w="827" w:type="dxa"/>
            <w:vMerge w:val="restart"/>
            <w:shd w:val="clear" w:color="auto" w:fill="E7EBF5"/>
            <w:vAlign w:val="center"/>
          </w:tcPr>
          <w:p>
            <w:pPr>
              <w:pStyle w:val="12"/>
              <w:spacing w:before="1"/>
              <w:ind w:left="0"/>
              <w:jc w:val="center"/>
              <w:rPr>
                <w:rFonts w:eastAsia="宋体"/>
                <w:b/>
                <w:sz w:val="24"/>
                <w:szCs w:val="24"/>
              </w:rPr>
            </w:pPr>
          </w:p>
          <w:p>
            <w:pPr>
              <w:pStyle w:val="12"/>
              <w:ind w:left="191"/>
              <w:jc w:val="center"/>
              <w:rPr>
                <w:rFonts w:eastAsia="宋体"/>
                <w:b/>
                <w:sz w:val="24"/>
                <w:szCs w:val="24"/>
                <w:lang w:eastAsia="zh-CN"/>
              </w:rPr>
            </w:pPr>
            <w:r>
              <w:rPr>
                <w:rFonts w:eastAsia="宋体"/>
                <w:b/>
                <w:sz w:val="24"/>
                <w:szCs w:val="24"/>
                <w:lang w:eastAsia="zh-CN"/>
              </w:rPr>
              <w:t>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656" w:type="dxa"/>
            <w:vMerge w:val="continue"/>
            <w:tcBorders>
              <w:top w:val="nil"/>
            </w:tcBorders>
            <w:shd w:val="clear" w:color="auto" w:fill="E7EBF5"/>
            <w:vAlign w:val="center"/>
          </w:tcPr>
          <w:p>
            <w:pPr>
              <w:jc w:val="both"/>
              <w:rPr>
                <w:rFonts w:eastAsia="宋体"/>
                <w:sz w:val="24"/>
                <w:szCs w:val="24"/>
              </w:rPr>
            </w:pPr>
          </w:p>
        </w:tc>
        <w:tc>
          <w:tcPr>
            <w:tcW w:w="2913" w:type="dxa"/>
            <w:vMerge w:val="continue"/>
            <w:tcBorders>
              <w:top w:val="nil"/>
            </w:tcBorders>
            <w:shd w:val="clear" w:color="auto" w:fill="E7EBF5"/>
            <w:vAlign w:val="center"/>
          </w:tcPr>
          <w:p>
            <w:pPr>
              <w:jc w:val="both"/>
              <w:rPr>
                <w:rFonts w:eastAsia="宋体"/>
                <w:sz w:val="24"/>
                <w:szCs w:val="24"/>
              </w:rPr>
            </w:pPr>
          </w:p>
        </w:tc>
        <w:tc>
          <w:tcPr>
            <w:tcW w:w="794" w:type="dxa"/>
            <w:vMerge w:val="continue"/>
            <w:tcBorders>
              <w:top w:val="nil"/>
            </w:tcBorders>
            <w:shd w:val="clear" w:color="auto" w:fill="E7EBF5"/>
            <w:vAlign w:val="center"/>
          </w:tcPr>
          <w:p>
            <w:pPr>
              <w:jc w:val="both"/>
              <w:rPr>
                <w:rFonts w:eastAsia="宋体"/>
                <w:sz w:val="24"/>
                <w:szCs w:val="24"/>
              </w:rPr>
            </w:pPr>
          </w:p>
        </w:tc>
        <w:tc>
          <w:tcPr>
            <w:tcW w:w="896" w:type="dxa"/>
            <w:shd w:val="clear" w:color="auto" w:fill="E7EBF5"/>
            <w:vAlign w:val="center"/>
          </w:tcPr>
          <w:p>
            <w:pPr>
              <w:pStyle w:val="12"/>
              <w:jc w:val="center"/>
              <w:rPr>
                <w:rFonts w:eastAsia="宋体"/>
                <w:b/>
                <w:sz w:val="24"/>
                <w:szCs w:val="24"/>
              </w:rPr>
            </w:pPr>
            <w:r>
              <w:rPr>
                <w:rFonts w:eastAsia="宋体"/>
                <w:b/>
                <w:spacing w:val="-4"/>
                <w:sz w:val="24"/>
                <w:szCs w:val="24"/>
                <w:lang w:eastAsia="zh-CN"/>
              </w:rPr>
              <w:t>企业</w:t>
            </w:r>
            <w:r>
              <w:rPr>
                <w:rFonts w:eastAsia="宋体"/>
                <w:b/>
                <w:spacing w:val="-4"/>
                <w:sz w:val="24"/>
                <w:szCs w:val="24"/>
              </w:rPr>
              <w:t>灵活</w:t>
            </w:r>
            <w:r>
              <w:rPr>
                <w:rFonts w:hint="eastAsia" w:eastAsia="宋体"/>
                <w:b/>
                <w:spacing w:val="-4"/>
                <w:sz w:val="24"/>
                <w:szCs w:val="24"/>
                <w:lang w:eastAsia="zh-CN"/>
              </w:rPr>
              <w:t>度得分</w:t>
            </w:r>
          </w:p>
        </w:tc>
        <w:tc>
          <w:tcPr>
            <w:tcW w:w="810" w:type="dxa"/>
            <w:shd w:val="clear" w:color="auto" w:fill="E7EBF5"/>
            <w:vAlign w:val="center"/>
          </w:tcPr>
          <w:p>
            <w:pPr>
              <w:pStyle w:val="12"/>
              <w:ind w:right="134"/>
              <w:jc w:val="center"/>
              <w:rPr>
                <w:rFonts w:eastAsia="宋体"/>
                <w:b/>
                <w:spacing w:val="-2"/>
                <w:sz w:val="24"/>
                <w:szCs w:val="24"/>
              </w:rPr>
            </w:pPr>
            <w:r>
              <w:rPr>
                <w:rFonts w:eastAsia="宋体"/>
                <w:b/>
                <w:spacing w:val="-2"/>
                <w:sz w:val="24"/>
                <w:szCs w:val="24"/>
              </w:rPr>
              <w:t>社会</w:t>
            </w:r>
          </w:p>
          <w:p>
            <w:pPr>
              <w:pStyle w:val="12"/>
              <w:ind w:right="134"/>
              <w:jc w:val="center"/>
              <w:rPr>
                <w:rFonts w:eastAsia="宋体"/>
                <w:b/>
                <w:sz w:val="24"/>
                <w:szCs w:val="24"/>
              </w:rPr>
            </w:pPr>
            <w:r>
              <w:rPr>
                <w:rFonts w:hint="eastAsia" w:eastAsia="宋体"/>
                <w:b/>
                <w:spacing w:val="-2"/>
                <w:sz w:val="24"/>
                <w:szCs w:val="24"/>
                <w:lang w:eastAsia="zh-CN"/>
              </w:rPr>
              <w:t>效益得分</w:t>
            </w:r>
          </w:p>
        </w:tc>
        <w:tc>
          <w:tcPr>
            <w:tcW w:w="845" w:type="dxa"/>
            <w:shd w:val="clear" w:color="auto" w:fill="E7EBF5"/>
            <w:vAlign w:val="center"/>
          </w:tcPr>
          <w:p>
            <w:pPr>
              <w:pStyle w:val="12"/>
              <w:ind w:left="248" w:right="230" w:hanging="5"/>
              <w:jc w:val="center"/>
              <w:rPr>
                <w:rFonts w:eastAsia="宋体"/>
                <w:b/>
                <w:sz w:val="24"/>
                <w:szCs w:val="24"/>
              </w:rPr>
            </w:pPr>
            <w:r>
              <w:rPr>
                <w:rFonts w:eastAsia="宋体"/>
                <w:b/>
                <w:spacing w:val="-2"/>
                <w:sz w:val="24"/>
                <w:szCs w:val="24"/>
              </w:rPr>
              <w:t>总分</w:t>
            </w:r>
          </w:p>
        </w:tc>
        <w:tc>
          <w:tcPr>
            <w:tcW w:w="1018" w:type="dxa"/>
            <w:vMerge w:val="continue"/>
            <w:tcBorders>
              <w:top w:val="nil"/>
            </w:tcBorders>
            <w:shd w:val="clear" w:color="auto" w:fill="E7EBF5"/>
            <w:vAlign w:val="center"/>
          </w:tcPr>
          <w:p>
            <w:pPr>
              <w:jc w:val="both"/>
              <w:rPr>
                <w:rFonts w:eastAsia="宋体"/>
                <w:sz w:val="24"/>
                <w:szCs w:val="24"/>
              </w:rPr>
            </w:pPr>
          </w:p>
        </w:tc>
        <w:tc>
          <w:tcPr>
            <w:tcW w:w="827" w:type="dxa"/>
            <w:vMerge w:val="continue"/>
            <w:tcBorders>
              <w:top w:val="nil"/>
            </w:tcBorders>
            <w:shd w:val="clear" w:color="auto" w:fill="E7EBF5"/>
            <w:vAlign w:val="center"/>
          </w:tcPr>
          <w:p>
            <w:pPr>
              <w:jc w:val="both"/>
              <w:rPr>
                <w:rFonts w:eastAsia="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656" w:type="dxa"/>
            <w:vAlign w:val="center"/>
          </w:tcPr>
          <w:p>
            <w:pPr>
              <w:pStyle w:val="12"/>
              <w:jc w:val="center"/>
              <w:rPr>
                <w:rFonts w:eastAsia="宋体"/>
                <w:sz w:val="24"/>
                <w:szCs w:val="24"/>
              </w:rPr>
            </w:pPr>
            <w:r>
              <w:rPr>
                <w:rFonts w:eastAsia="宋体"/>
                <w:w w:val="99"/>
                <w:sz w:val="24"/>
                <w:szCs w:val="24"/>
              </w:rPr>
              <w:t>I</w:t>
            </w:r>
          </w:p>
        </w:tc>
        <w:tc>
          <w:tcPr>
            <w:tcW w:w="2913" w:type="dxa"/>
            <w:vAlign w:val="center"/>
          </w:tcPr>
          <w:p>
            <w:pPr>
              <w:pStyle w:val="12"/>
              <w:jc w:val="both"/>
              <w:rPr>
                <w:rFonts w:eastAsia="宋体"/>
                <w:sz w:val="24"/>
                <w:szCs w:val="24"/>
                <w:lang w:eastAsia="zh-CN"/>
              </w:rPr>
            </w:pPr>
            <w:r>
              <w:rPr>
                <w:rFonts w:eastAsia="宋体"/>
                <w:sz w:val="24"/>
                <w:szCs w:val="24"/>
                <w:lang w:eastAsia="zh-CN"/>
              </w:rPr>
              <w:t>监管框架:商业贷款监管质量</w:t>
            </w:r>
            <w:r>
              <w:rPr>
                <w:rFonts w:hint="eastAsia" w:eastAsia="宋体"/>
                <w:sz w:val="24"/>
                <w:szCs w:val="24"/>
                <w:lang w:eastAsia="zh-CN"/>
              </w:rPr>
              <w:t>；</w:t>
            </w:r>
          </w:p>
          <w:p>
            <w:pPr>
              <w:pStyle w:val="12"/>
              <w:jc w:val="both"/>
              <w:rPr>
                <w:rFonts w:eastAsia="宋体"/>
                <w:sz w:val="24"/>
                <w:szCs w:val="24"/>
                <w:lang w:eastAsia="zh-CN"/>
              </w:rPr>
            </w:pPr>
            <w:r>
              <w:rPr>
                <w:rFonts w:eastAsia="宋体"/>
                <w:sz w:val="24"/>
                <w:szCs w:val="24"/>
                <w:lang w:eastAsia="zh-CN"/>
              </w:rPr>
              <w:t>担保交易</w:t>
            </w:r>
            <w:r>
              <w:rPr>
                <w:rFonts w:hint="eastAsia" w:eastAsia="宋体"/>
                <w:sz w:val="24"/>
                <w:szCs w:val="24"/>
                <w:lang w:eastAsia="zh-CN"/>
              </w:rPr>
              <w:t>；</w:t>
            </w:r>
            <w:r>
              <w:rPr>
                <w:rFonts w:eastAsia="宋体"/>
                <w:sz w:val="24"/>
                <w:szCs w:val="24"/>
                <w:lang w:eastAsia="zh-CN"/>
              </w:rPr>
              <w:t>电子支付</w:t>
            </w:r>
            <w:r>
              <w:rPr>
                <w:rFonts w:hint="eastAsia" w:eastAsia="宋体"/>
                <w:sz w:val="24"/>
                <w:szCs w:val="24"/>
                <w:lang w:eastAsia="zh-CN"/>
              </w:rPr>
              <w:t>；</w:t>
            </w:r>
            <w:r>
              <w:rPr>
                <w:rFonts w:eastAsia="宋体"/>
                <w:sz w:val="24"/>
                <w:szCs w:val="24"/>
                <w:lang w:eastAsia="zh-CN"/>
              </w:rPr>
              <w:t>以及绿色融资</w:t>
            </w:r>
          </w:p>
        </w:tc>
        <w:tc>
          <w:tcPr>
            <w:tcW w:w="794" w:type="dxa"/>
            <w:vAlign w:val="center"/>
          </w:tcPr>
          <w:p>
            <w:pPr>
              <w:pStyle w:val="12"/>
              <w:ind w:left="0"/>
              <w:jc w:val="center"/>
              <w:rPr>
                <w:rFonts w:eastAsia="宋体"/>
                <w:sz w:val="24"/>
                <w:szCs w:val="24"/>
              </w:rPr>
            </w:pPr>
            <w:r>
              <w:rPr>
                <w:rFonts w:eastAsia="宋体"/>
                <w:spacing w:val="-5"/>
                <w:sz w:val="24"/>
                <w:szCs w:val="24"/>
              </w:rPr>
              <w:t>30</w:t>
            </w:r>
          </w:p>
        </w:tc>
        <w:tc>
          <w:tcPr>
            <w:tcW w:w="896" w:type="dxa"/>
            <w:vAlign w:val="center"/>
          </w:tcPr>
          <w:p>
            <w:pPr>
              <w:pStyle w:val="12"/>
              <w:ind w:left="0" w:right="348"/>
              <w:jc w:val="center"/>
              <w:rPr>
                <w:rFonts w:eastAsia="宋体"/>
                <w:sz w:val="24"/>
                <w:szCs w:val="24"/>
              </w:rPr>
            </w:pPr>
            <w:r>
              <w:rPr>
                <w:rFonts w:eastAsia="宋体"/>
                <w:spacing w:val="-5"/>
                <w:sz w:val="24"/>
                <w:szCs w:val="24"/>
              </w:rPr>
              <w:t>22</w:t>
            </w:r>
          </w:p>
        </w:tc>
        <w:tc>
          <w:tcPr>
            <w:tcW w:w="810" w:type="dxa"/>
            <w:vAlign w:val="center"/>
          </w:tcPr>
          <w:p>
            <w:pPr>
              <w:pStyle w:val="12"/>
              <w:ind w:left="0" w:right="295"/>
              <w:jc w:val="center"/>
              <w:rPr>
                <w:rFonts w:eastAsia="宋体"/>
                <w:sz w:val="24"/>
                <w:szCs w:val="24"/>
              </w:rPr>
            </w:pPr>
            <w:r>
              <w:rPr>
                <w:rFonts w:eastAsia="宋体"/>
                <w:spacing w:val="-5"/>
                <w:sz w:val="24"/>
                <w:szCs w:val="24"/>
              </w:rPr>
              <w:t>30</w:t>
            </w:r>
          </w:p>
        </w:tc>
        <w:tc>
          <w:tcPr>
            <w:tcW w:w="845" w:type="dxa"/>
            <w:vAlign w:val="center"/>
          </w:tcPr>
          <w:p>
            <w:pPr>
              <w:pStyle w:val="12"/>
              <w:ind w:left="0"/>
              <w:jc w:val="center"/>
              <w:rPr>
                <w:rFonts w:eastAsia="宋体"/>
                <w:sz w:val="24"/>
                <w:szCs w:val="24"/>
              </w:rPr>
            </w:pPr>
            <w:r>
              <w:rPr>
                <w:rFonts w:eastAsia="宋体"/>
                <w:spacing w:val="-5"/>
                <w:sz w:val="24"/>
                <w:szCs w:val="24"/>
              </w:rPr>
              <w:t>52</w:t>
            </w:r>
          </w:p>
        </w:tc>
        <w:tc>
          <w:tcPr>
            <w:tcW w:w="1018" w:type="dxa"/>
            <w:vAlign w:val="center"/>
          </w:tcPr>
          <w:p>
            <w:pPr>
              <w:pStyle w:val="12"/>
              <w:ind w:left="0" w:right="316"/>
              <w:jc w:val="center"/>
              <w:rPr>
                <w:rFonts w:eastAsia="宋体"/>
                <w:sz w:val="24"/>
                <w:szCs w:val="24"/>
                <w:lang w:eastAsia="zh-CN"/>
              </w:rPr>
            </w:pPr>
            <w:r>
              <w:rPr>
                <w:rFonts w:eastAsia="宋体"/>
                <w:spacing w:val="-5"/>
                <w:sz w:val="24"/>
                <w:szCs w:val="24"/>
                <w:lang w:eastAsia="zh-CN"/>
              </w:rPr>
              <w:t>100</w:t>
            </w:r>
          </w:p>
        </w:tc>
        <w:tc>
          <w:tcPr>
            <w:tcW w:w="827" w:type="dxa"/>
            <w:vAlign w:val="center"/>
          </w:tcPr>
          <w:p>
            <w:pPr>
              <w:pStyle w:val="12"/>
              <w:ind w:right="298"/>
              <w:jc w:val="center"/>
              <w:rPr>
                <w:rFonts w:eastAsia="宋体"/>
                <w:sz w:val="24"/>
                <w:szCs w:val="24"/>
              </w:rPr>
            </w:pPr>
            <w:r>
              <w:rPr>
                <w:rFonts w:eastAsia="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656" w:type="dxa"/>
            <w:vAlign w:val="center"/>
          </w:tcPr>
          <w:p>
            <w:pPr>
              <w:pStyle w:val="12"/>
              <w:jc w:val="center"/>
              <w:rPr>
                <w:rFonts w:eastAsia="宋体"/>
                <w:sz w:val="24"/>
                <w:szCs w:val="24"/>
              </w:rPr>
            </w:pPr>
            <w:r>
              <w:rPr>
                <w:rFonts w:eastAsia="宋体"/>
                <w:spacing w:val="-5"/>
                <w:sz w:val="24"/>
                <w:szCs w:val="24"/>
              </w:rPr>
              <w:t>II</w:t>
            </w:r>
          </w:p>
        </w:tc>
        <w:tc>
          <w:tcPr>
            <w:tcW w:w="2913" w:type="dxa"/>
            <w:vAlign w:val="center"/>
          </w:tcPr>
          <w:p>
            <w:pPr>
              <w:pStyle w:val="12"/>
              <w:jc w:val="both"/>
              <w:rPr>
                <w:rFonts w:eastAsia="宋体"/>
                <w:sz w:val="24"/>
                <w:szCs w:val="24"/>
                <w:lang w:eastAsia="zh-CN"/>
              </w:rPr>
            </w:pPr>
            <w:r>
              <w:rPr>
                <w:rFonts w:eastAsia="宋体"/>
                <w:sz w:val="24"/>
                <w:szCs w:val="24"/>
                <w:lang w:eastAsia="zh-CN"/>
              </w:rPr>
              <w:t>信贷基础设施信息可及性和融资的可获取性</w:t>
            </w:r>
          </w:p>
        </w:tc>
        <w:tc>
          <w:tcPr>
            <w:tcW w:w="794" w:type="dxa"/>
            <w:vAlign w:val="center"/>
          </w:tcPr>
          <w:p>
            <w:pPr>
              <w:pStyle w:val="12"/>
              <w:spacing w:before="105"/>
              <w:jc w:val="center"/>
              <w:rPr>
                <w:rFonts w:eastAsia="宋体"/>
                <w:sz w:val="24"/>
                <w:szCs w:val="24"/>
              </w:rPr>
            </w:pPr>
            <w:r>
              <w:rPr>
                <w:rFonts w:eastAsia="宋体"/>
                <w:sz w:val="24"/>
                <w:szCs w:val="24"/>
              </w:rPr>
              <w:t>9</w:t>
            </w:r>
          </w:p>
        </w:tc>
        <w:tc>
          <w:tcPr>
            <w:tcW w:w="896" w:type="dxa"/>
            <w:vAlign w:val="center"/>
          </w:tcPr>
          <w:p>
            <w:pPr>
              <w:pStyle w:val="12"/>
              <w:spacing w:before="105"/>
              <w:ind w:left="4"/>
              <w:jc w:val="center"/>
              <w:rPr>
                <w:rFonts w:eastAsia="宋体"/>
                <w:sz w:val="24"/>
                <w:szCs w:val="24"/>
              </w:rPr>
            </w:pPr>
            <w:r>
              <w:rPr>
                <w:rFonts w:eastAsia="宋体"/>
                <w:sz w:val="24"/>
                <w:szCs w:val="24"/>
              </w:rPr>
              <w:t>8</w:t>
            </w:r>
          </w:p>
        </w:tc>
        <w:tc>
          <w:tcPr>
            <w:tcW w:w="810" w:type="dxa"/>
            <w:vAlign w:val="center"/>
          </w:tcPr>
          <w:p>
            <w:pPr>
              <w:pStyle w:val="12"/>
              <w:spacing w:before="105"/>
              <w:ind w:left="6"/>
              <w:jc w:val="center"/>
              <w:rPr>
                <w:rFonts w:eastAsia="宋体"/>
                <w:sz w:val="24"/>
                <w:szCs w:val="24"/>
              </w:rPr>
            </w:pPr>
            <w:r>
              <w:rPr>
                <w:rFonts w:eastAsia="宋体"/>
                <w:sz w:val="24"/>
                <w:szCs w:val="24"/>
              </w:rPr>
              <w:t>9</w:t>
            </w:r>
          </w:p>
        </w:tc>
        <w:tc>
          <w:tcPr>
            <w:tcW w:w="845" w:type="dxa"/>
            <w:vAlign w:val="center"/>
          </w:tcPr>
          <w:p>
            <w:pPr>
              <w:pStyle w:val="12"/>
              <w:spacing w:before="105"/>
              <w:jc w:val="center"/>
              <w:rPr>
                <w:rFonts w:eastAsia="宋体"/>
                <w:sz w:val="24"/>
                <w:szCs w:val="24"/>
              </w:rPr>
            </w:pPr>
            <w:r>
              <w:rPr>
                <w:rFonts w:eastAsia="宋体"/>
                <w:spacing w:val="-5"/>
                <w:sz w:val="24"/>
                <w:szCs w:val="24"/>
              </w:rPr>
              <w:t>17</w:t>
            </w:r>
          </w:p>
        </w:tc>
        <w:tc>
          <w:tcPr>
            <w:tcW w:w="1018" w:type="dxa"/>
            <w:vAlign w:val="center"/>
          </w:tcPr>
          <w:p>
            <w:pPr>
              <w:pStyle w:val="12"/>
              <w:spacing w:before="105"/>
              <w:ind w:right="316"/>
              <w:jc w:val="center"/>
              <w:rPr>
                <w:rFonts w:eastAsia="宋体"/>
                <w:sz w:val="24"/>
                <w:szCs w:val="24"/>
                <w:lang w:eastAsia="zh-CN"/>
              </w:rPr>
            </w:pPr>
            <w:r>
              <w:rPr>
                <w:rFonts w:eastAsia="宋体"/>
                <w:spacing w:val="-5"/>
                <w:sz w:val="24"/>
                <w:szCs w:val="24"/>
                <w:lang w:eastAsia="zh-CN"/>
              </w:rPr>
              <w:t>100</w:t>
            </w:r>
          </w:p>
        </w:tc>
        <w:tc>
          <w:tcPr>
            <w:tcW w:w="827" w:type="dxa"/>
            <w:vAlign w:val="center"/>
          </w:tcPr>
          <w:p>
            <w:pPr>
              <w:pStyle w:val="12"/>
              <w:spacing w:before="105"/>
              <w:ind w:right="298"/>
              <w:jc w:val="center"/>
              <w:rPr>
                <w:rFonts w:eastAsia="宋体"/>
                <w:sz w:val="24"/>
                <w:szCs w:val="24"/>
              </w:rPr>
            </w:pPr>
            <w:r>
              <w:rPr>
                <w:rFonts w:eastAsia="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656" w:type="dxa"/>
            <w:vAlign w:val="center"/>
          </w:tcPr>
          <w:p>
            <w:pPr>
              <w:pStyle w:val="12"/>
              <w:jc w:val="center"/>
              <w:rPr>
                <w:rFonts w:eastAsia="宋体"/>
                <w:sz w:val="24"/>
                <w:szCs w:val="24"/>
              </w:rPr>
            </w:pPr>
            <w:r>
              <w:rPr>
                <w:rFonts w:eastAsia="宋体"/>
                <w:spacing w:val="-5"/>
                <w:sz w:val="24"/>
                <w:szCs w:val="24"/>
              </w:rPr>
              <w:t>III</w:t>
            </w:r>
          </w:p>
        </w:tc>
        <w:tc>
          <w:tcPr>
            <w:tcW w:w="2913" w:type="dxa"/>
            <w:vAlign w:val="center"/>
          </w:tcPr>
          <w:p>
            <w:pPr>
              <w:pStyle w:val="12"/>
              <w:jc w:val="both"/>
              <w:rPr>
                <w:rFonts w:eastAsia="宋体"/>
                <w:sz w:val="24"/>
                <w:szCs w:val="24"/>
                <w:lang w:eastAsia="zh-CN"/>
              </w:rPr>
            </w:pPr>
            <w:r>
              <w:rPr>
                <w:rFonts w:eastAsia="宋体"/>
                <w:sz w:val="24"/>
                <w:szCs w:val="24"/>
                <w:lang w:eastAsia="zh-CN"/>
              </w:rPr>
              <w:t>在实践中接受金融服务的效率</w:t>
            </w:r>
          </w:p>
        </w:tc>
        <w:tc>
          <w:tcPr>
            <w:tcW w:w="794" w:type="dxa"/>
            <w:vAlign w:val="center"/>
          </w:tcPr>
          <w:p>
            <w:pPr>
              <w:pStyle w:val="12"/>
              <w:spacing w:before="101"/>
              <w:jc w:val="center"/>
              <w:rPr>
                <w:rFonts w:eastAsia="宋体"/>
                <w:sz w:val="24"/>
                <w:szCs w:val="24"/>
              </w:rPr>
            </w:pPr>
            <w:r>
              <w:rPr>
                <w:rFonts w:eastAsia="宋体"/>
                <w:spacing w:val="-5"/>
                <w:sz w:val="24"/>
                <w:szCs w:val="24"/>
              </w:rPr>
              <w:t>10</w:t>
            </w:r>
          </w:p>
        </w:tc>
        <w:tc>
          <w:tcPr>
            <w:tcW w:w="896" w:type="dxa"/>
            <w:vAlign w:val="center"/>
          </w:tcPr>
          <w:p>
            <w:pPr>
              <w:pStyle w:val="12"/>
              <w:spacing w:before="101"/>
              <w:ind w:left="0" w:right="348"/>
              <w:jc w:val="center"/>
              <w:rPr>
                <w:rFonts w:eastAsia="宋体"/>
                <w:sz w:val="24"/>
                <w:szCs w:val="24"/>
                <w:lang w:eastAsia="zh-CN"/>
              </w:rPr>
            </w:pPr>
            <w:r>
              <w:rPr>
                <w:rFonts w:eastAsia="宋体"/>
                <w:spacing w:val="-5"/>
                <w:sz w:val="24"/>
                <w:szCs w:val="24"/>
                <w:lang w:eastAsia="zh-CN"/>
              </w:rPr>
              <w:t>100</w:t>
            </w:r>
          </w:p>
        </w:tc>
        <w:tc>
          <w:tcPr>
            <w:tcW w:w="810" w:type="dxa"/>
            <w:vAlign w:val="center"/>
          </w:tcPr>
          <w:p>
            <w:pPr>
              <w:pStyle w:val="12"/>
              <w:spacing w:before="101"/>
              <w:ind w:left="304" w:right="295"/>
              <w:jc w:val="center"/>
              <w:rPr>
                <w:rFonts w:eastAsia="宋体"/>
                <w:sz w:val="24"/>
                <w:szCs w:val="24"/>
                <w:lang w:eastAsia="zh-CN"/>
              </w:rPr>
            </w:pPr>
            <w:r>
              <w:rPr>
                <w:rFonts w:eastAsia="宋体"/>
                <w:sz w:val="24"/>
                <w:szCs w:val="24"/>
                <w:lang w:eastAsia="zh-CN"/>
              </w:rPr>
              <w:t>不适用</w:t>
            </w:r>
          </w:p>
        </w:tc>
        <w:tc>
          <w:tcPr>
            <w:tcW w:w="845" w:type="dxa"/>
            <w:vAlign w:val="center"/>
          </w:tcPr>
          <w:p>
            <w:pPr>
              <w:pStyle w:val="12"/>
              <w:spacing w:before="101"/>
              <w:ind w:left="313"/>
              <w:jc w:val="center"/>
              <w:rPr>
                <w:rFonts w:eastAsia="宋体"/>
                <w:sz w:val="24"/>
                <w:szCs w:val="24"/>
              </w:rPr>
            </w:pPr>
            <w:r>
              <w:rPr>
                <w:rFonts w:eastAsia="宋体"/>
                <w:spacing w:val="-5"/>
                <w:sz w:val="24"/>
                <w:szCs w:val="24"/>
                <w:lang w:eastAsia="zh-CN"/>
              </w:rPr>
              <w:t>100</w:t>
            </w:r>
            <w:r>
              <w:rPr>
                <w:rFonts w:eastAsia="宋体"/>
                <w:spacing w:val="-5"/>
                <w:sz w:val="24"/>
                <w:szCs w:val="24"/>
              </w:rPr>
              <w:t>.</w:t>
            </w:r>
          </w:p>
        </w:tc>
        <w:tc>
          <w:tcPr>
            <w:tcW w:w="1018" w:type="dxa"/>
            <w:vAlign w:val="center"/>
          </w:tcPr>
          <w:p>
            <w:pPr>
              <w:pStyle w:val="12"/>
              <w:spacing w:before="101"/>
              <w:ind w:right="316"/>
              <w:jc w:val="center"/>
              <w:rPr>
                <w:rFonts w:eastAsia="宋体"/>
                <w:sz w:val="24"/>
                <w:szCs w:val="24"/>
                <w:lang w:eastAsia="zh-CN"/>
              </w:rPr>
            </w:pPr>
            <w:r>
              <w:rPr>
                <w:rFonts w:eastAsia="宋体"/>
                <w:spacing w:val="-5"/>
                <w:sz w:val="24"/>
                <w:szCs w:val="24"/>
                <w:lang w:eastAsia="zh-CN"/>
              </w:rPr>
              <w:t>100</w:t>
            </w:r>
          </w:p>
        </w:tc>
        <w:tc>
          <w:tcPr>
            <w:tcW w:w="827" w:type="dxa"/>
            <w:vAlign w:val="center"/>
          </w:tcPr>
          <w:p>
            <w:pPr>
              <w:pStyle w:val="12"/>
              <w:spacing w:before="101"/>
              <w:ind w:right="298"/>
              <w:jc w:val="center"/>
              <w:rPr>
                <w:rFonts w:eastAsia="宋体"/>
                <w:sz w:val="24"/>
                <w:szCs w:val="24"/>
              </w:rPr>
            </w:pPr>
            <w:r>
              <w:rPr>
                <w:rFonts w:eastAsia="宋体"/>
                <w:spacing w:val="-4"/>
                <w:sz w:val="24"/>
                <w:szCs w:val="24"/>
              </w:rPr>
              <w:t>0.33</w:t>
            </w:r>
          </w:p>
        </w:tc>
      </w:tr>
    </w:tbl>
    <w:p>
      <w:pPr>
        <w:spacing w:before="3"/>
        <w:ind w:left="120"/>
        <w:jc w:val="both"/>
        <w:rPr>
          <w:rFonts w:eastAsia="宋体"/>
          <w:sz w:val="24"/>
          <w:szCs w:val="24"/>
          <w:lang w:eastAsia="zh-CN"/>
        </w:rPr>
      </w:pPr>
      <w:r>
        <w:rPr>
          <w:rFonts w:eastAsia="宋体"/>
          <w:i/>
          <w:sz w:val="24"/>
          <w:szCs w:val="24"/>
          <w:lang w:eastAsia="zh-CN"/>
        </w:rPr>
        <w:t>注:</w:t>
      </w:r>
      <w:r>
        <w:rPr>
          <w:rFonts w:eastAsia="宋体"/>
          <w:sz w:val="24"/>
          <w:szCs w:val="24"/>
          <w:lang w:eastAsia="zh-CN"/>
        </w:rPr>
        <w:t>n.a. =不适用(指对企业或社会的影响不明确或不存在的情况)。</w:t>
      </w:r>
    </w:p>
    <w:p>
      <w:pPr>
        <w:pStyle w:val="5"/>
        <w:spacing w:before="9"/>
        <w:rPr>
          <w:rFonts w:eastAsia="宋体"/>
          <w:sz w:val="24"/>
          <w:szCs w:val="24"/>
          <w:lang w:eastAsia="zh-CN"/>
        </w:rPr>
      </w:pPr>
    </w:p>
    <w:p>
      <w:pPr>
        <w:pStyle w:val="11"/>
        <w:tabs>
          <w:tab w:val="left" w:pos="840"/>
          <w:tab w:val="left" w:pos="841"/>
        </w:tabs>
        <w:spacing w:line="400" w:lineRule="exact"/>
        <w:ind w:left="0" w:firstLine="0"/>
        <w:outlineLvl w:val="1"/>
        <w:rPr>
          <w:rFonts w:eastAsia="宋体"/>
          <w:b/>
          <w:sz w:val="28"/>
          <w:szCs w:val="28"/>
          <w:lang w:eastAsia="zh-CN"/>
        </w:rPr>
      </w:pPr>
      <w:r>
        <w:rPr>
          <w:rFonts w:eastAsia="宋体"/>
          <w:b/>
          <w:sz w:val="28"/>
          <w:szCs w:val="28"/>
          <w:lang w:eastAsia="zh-CN"/>
        </w:rPr>
        <w:t>6.1维度I-监管框架:商业贷款、担保交易、电子支付和绿色融资的监管质量</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维度I涵盖30项指标，总分52分(企业灵活性22分，社会福利30分)(表27)。该维度下各类别的得分情况如下:</w:t>
      </w:r>
    </w:p>
    <w:p>
      <w:pPr>
        <w:pStyle w:val="11"/>
        <w:tabs>
          <w:tab w:val="left" w:pos="841"/>
        </w:tabs>
        <w:spacing w:line="400" w:lineRule="exact"/>
        <w:ind w:left="0" w:firstLine="562" w:firstLineChars="200"/>
        <w:rPr>
          <w:rFonts w:eastAsia="宋体"/>
          <w:sz w:val="28"/>
          <w:szCs w:val="28"/>
          <w:lang w:eastAsia="zh-CN"/>
        </w:rPr>
      </w:pPr>
      <w:r>
        <w:rPr>
          <w:rFonts w:eastAsia="宋体"/>
          <w:b/>
          <w:bCs/>
          <w:sz w:val="28"/>
          <w:szCs w:val="28"/>
          <w:lang w:eastAsia="zh-CN"/>
        </w:rPr>
        <w:t>6.1.1</w:t>
      </w:r>
      <w:r>
        <w:rPr>
          <w:rFonts w:hint="eastAsia" w:eastAsia="宋体"/>
          <w:sz w:val="28"/>
          <w:szCs w:val="28"/>
          <w:lang w:eastAsia="zh-CN"/>
        </w:rPr>
        <w:t>“</w:t>
      </w:r>
      <w:r>
        <w:rPr>
          <w:rFonts w:eastAsia="宋体"/>
          <w:i/>
          <w:sz w:val="28"/>
          <w:szCs w:val="28"/>
          <w:u w:val="single"/>
          <w:lang w:eastAsia="zh-CN"/>
        </w:rPr>
        <w:t>商业贷款良好监管实践</w:t>
      </w:r>
      <w:r>
        <w:rPr>
          <w:rFonts w:hint="eastAsia" w:eastAsia="宋体"/>
          <w:i/>
          <w:sz w:val="28"/>
          <w:szCs w:val="28"/>
          <w:u w:val="single"/>
          <w:lang w:eastAsia="zh-CN"/>
        </w:rPr>
        <w:t>”</w:t>
      </w:r>
      <w:r>
        <w:rPr>
          <w:rFonts w:eastAsia="宋体"/>
          <w:iCs/>
          <w:sz w:val="28"/>
          <w:szCs w:val="28"/>
          <w:lang w:eastAsia="zh-CN"/>
        </w:rPr>
        <w:t>类别共有6项指标，总分最高为</w:t>
      </w:r>
      <w:r>
        <w:rPr>
          <w:rFonts w:eastAsia="宋体"/>
          <w:sz w:val="28"/>
          <w:szCs w:val="28"/>
          <w:lang w:eastAsia="zh-CN"/>
        </w:rPr>
        <w:t>8分(企业灵活性2分，社会福利6分)。具体而言，</w:t>
      </w:r>
      <w:r>
        <w:rPr>
          <w:rFonts w:hint="eastAsia" w:eastAsia="宋体"/>
          <w:sz w:val="28"/>
          <w:szCs w:val="28"/>
          <w:lang w:eastAsia="zh-CN"/>
        </w:rPr>
        <w:t>“</w:t>
      </w:r>
      <w:r>
        <w:rPr>
          <w:rFonts w:eastAsia="宋体"/>
          <w:sz w:val="28"/>
          <w:szCs w:val="28"/>
          <w:lang w:eastAsia="zh-CN"/>
        </w:rPr>
        <w:t>开展</w:t>
      </w:r>
      <w:r>
        <w:rPr>
          <w:rFonts w:eastAsia="宋体"/>
          <w:i/>
          <w:sz w:val="28"/>
          <w:szCs w:val="28"/>
          <w:lang w:eastAsia="zh-CN"/>
        </w:rPr>
        <w:t>客户尽职调查(CDD)和记录保存</w:t>
      </w:r>
      <w:r>
        <w:rPr>
          <w:rFonts w:hint="eastAsia" w:eastAsia="宋体"/>
          <w:i/>
          <w:sz w:val="28"/>
          <w:szCs w:val="28"/>
          <w:lang w:eastAsia="zh-CN"/>
        </w:rPr>
        <w:t>”</w:t>
      </w:r>
      <w:r>
        <w:rPr>
          <w:rFonts w:eastAsia="宋体"/>
          <w:sz w:val="28"/>
          <w:szCs w:val="28"/>
          <w:lang w:eastAsia="zh-CN"/>
        </w:rPr>
        <w:t>子类别的要求</w:t>
      </w:r>
      <w:r>
        <w:rPr>
          <w:rFonts w:hint="eastAsia" w:eastAsia="宋体"/>
          <w:sz w:val="28"/>
          <w:szCs w:val="28"/>
          <w:lang w:eastAsia="zh-CN"/>
        </w:rPr>
        <w:t>”</w:t>
      </w:r>
      <w:r>
        <w:rPr>
          <w:rFonts w:eastAsia="宋体"/>
          <w:sz w:val="28"/>
          <w:szCs w:val="28"/>
          <w:lang w:eastAsia="zh-CN"/>
        </w:rPr>
        <w:t>有2个指标</w:t>
      </w:r>
      <w:r>
        <w:rPr>
          <w:rFonts w:hint="eastAsia" w:eastAsia="宋体"/>
          <w:sz w:val="28"/>
          <w:szCs w:val="28"/>
          <w:lang w:eastAsia="zh-CN"/>
        </w:rPr>
        <w:t>；“</w:t>
      </w:r>
      <w:r>
        <w:rPr>
          <w:rFonts w:eastAsia="宋体"/>
          <w:i/>
          <w:sz w:val="28"/>
          <w:szCs w:val="28"/>
          <w:lang w:eastAsia="zh-CN"/>
        </w:rPr>
        <w:t>基于风险的方法和风险因素</w:t>
      </w:r>
      <w:r>
        <w:rPr>
          <w:rFonts w:hint="eastAsia" w:eastAsia="宋体"/>
          <w:i/>
          <w:sz w:val="28"/>
          <w:szCs w:val="28"/>
          <w:lang w:eastAsia="zh-CN"/>
        </w:rPr>
        <w:t>”</w:t>
      </w:r>
      <w:r>
        <w:rPr>
          <w:rFonts w:eastAsia="宋体"/>
          <w:sz w:val="28"/>
          <w:szCs w:val="28"/>
          <w:lang w:eastAsia="zh-CN"/>
        </w:rPr>
        <w:t>子类别有2个指标</w:t>
      </w:r>
      <w:r>
        <w:rPr>
          <w:rFonts w:hint="eastAsia" w:eastAsia="宋体"/>
          <w:sz w:val="28"/>
          <w:szCs w:val="28"/>
          <w:lang w:eastAsia="zh-CN"/>
        </w:rPr>
        <w:t>；“</w:t>
      </w:r>
      <w:r>
        <w:rPr>
          <w:rFonts w:eastAsia="宋体"/>
          <w:i/>
          <w:sz w:val="28"/>
          <w:szCs w:val="28"/>
          <w:lang w:eastAsia="zh-CN"/>
        </w:rPr>
        <w:t>增强和简化CDD措施的可获得性</w:t>
      </w:r>
      <w:r>
        <w:rPr>
          <w:rFonts w:hint="eastAsia" w:eastAsia="宋体"/>
          <w:i/>
          <w:sz w:val="28"/>
          <w:szCs w:val="28"/>
          <w:lang w:eastAsia="zh-CN"/>
        </w:rPr>
        <w:t>”</w:t>
      </w:r>
      <w:r>
        <w:rPr>
          <w:rFonts w:eastAsia="宋体"/>
          <w:iCs/>
          <w:sz w:val="28"/>
          <w:szCs w:val="28"/>
          <w:lang w:eastAsia="zh-CN"/>
        </w:rPr>
        <w:t>子</w:t>
      </w:r>
      <w:r>
        <w:rPr>
          <w:rFonts w:eastAsia="宋体"/>
          <w:sz w:val="28"/>
          <w:szCs w:val="28"/>
          <w:lang w:eastAsia="zh-CN"/>
        </w:rPr>
        <w:t>类别有2个指标。遵循商业贷款客户尽职调查良好做法的监管框架有利于社会(社会效益)，有时也有利于公司(企业灵活性)。因此，这两个类别的得分并不均衡。</w:t>
      </w:r>
    </w:p>
    <w:p>
      <w:pPr>
        <w:pStyle w:val="11"/>
        <w:tabs>
          <w:tab w:val="left" w:pos="841"/>
        </w:tabs>
        <w:spacing w:line="400" w:lineRule="exact"/>
        <w:ind w:left="0" w:firstLine="562" w:firstLineChars="200"/>
        <w:rPr>
          <w:rFonts w:eastAsia="宋体"/>
          <w:sz w:val="28"/>
          <w:szCs w:val="28"/>
          <w:lang w:eastAsia="zh-CN"/>
        </w:rPr>
      </w:pPr>
      <w:r>
        <w:rPr>
          <w:rFonts w:eastAsia="宋体"/>
          <w:b/>
          <w:bCs/>
          <w:sz w:val="28"/>
          <w:szCs w:val="28"/>
          <w:lang w:eastAsia="zh-CN"/>
        </w:rPr>
        <w:t>6.1.2</w:t>
      </w:r>
      <w:r>
        <w:rPr>
          <w:rFonts w:hint="eastAsia" w:eastAsia="宋体"/>
          <w:sz w:val="28"/>
          <w:szCs w:val="28"/>
          <w:lang w:eastAsia="zh-CN"/>
        </w:rPr>
        <w:t>“</w:t>
      </w:r>
      <w:r>
        <w:rPr>
          <w:rFonts w:eastAsia="宋体"/>
          <w:i/>
          <w:sz w:val="28"/>
          <w:szCs w:val="28"/>
          <w:u w:val="single"/>
          <w:lang w:eastAsia="zh-CN"/>
        </w:rPr>
        <w:t>担保交易良好监管措施</w:t>
      </w:r>
      <w:r>
        <w:rPr>
          <w:rFonts w:hint="eastAsia" w:eastAsia="宋体"/>
          <w:i/>
          <w:sz w:val="28"/>
          <w:szCs w:val="28"/>
          <w:u w:val="single"/>
          <w:lang w:eastAsia="zh-CN"/>
        </w:rPr>
        <w:t>”</w:t>
      </w:r>
      <w:r>
        <w:rPr>
          <w:rFonts w:eastAsia="宋体"/>
          <w:iCs/>
          <w:sz w:val="28"/>
          <w:szCs w:val="28"/>
          <w:lang w:eastAsia="zh-CN"/>
        </w:rPr>
        <w:t>类别有7项指标，总分最高为</w:t>
      </w:r>
      <w:r>
        <w:rPr>
          <w:rFonts w:eastAsia="宋体"/>
          <w:sz w:val="28"/>
          <w:szCs w:val="28"/>
          <w:lang w:eastAsia="zh-CN"/>
        </w:rPr>
        <w:t>14分(公司灵活性7分，社会福利7分)。具体而言，</w:t>
      </w:r>
      <w:r>
        <w:rPr>
          <w:rFonts w:hint="eastAsia" w:eastAsia="宋体"/>
          <w:sz w:val="28"/>
          <w:szCs w:val="28"/>
          <w:lang w:eastAsia="zh-CN"/>
        </w:rPr>
        <w:t>“</w:t>
      </w:r>
      <w:r>
        <w:rPr>
          <w:rFonts w:eastAsia="宋体"/>
          <w:i/>
          <w:sz w:val="28"/>
          <w:szCs w:val="28"/>
          <w:lang w:eastAsia="zh-CN"/>
        </w:rPr>
        <w:t>担保交易的统一法律框架</w:t>
      </w:r>
      <w:r>
        <w:rPr>
          <w:rFonts w:hint="eastAsia" w:eastAsia="宋体"/>
          <w:sz w:val="28"/>
          <w:szCs w:val="28"/>
          <w:lang w:eastAsia="zh-CN"/>
        </w:rPr>
        <w:t>”</w:t>
      </w:r>
      <w:r>
        <w:rPr>
          <w:rFonts w:eastAsia="宋体"/>
          <w:sz w:val="28"/>
          <w:szCs w:val="28"/>
          <w:lang w:eastAsia="zh-CN"/>
        </w:rPr>
        <w:t>子类别有1个指标</w:t>
      </w:r>
      <w:r>
        <w:rPr>
          <w:rFonts w:hint="eastAsia" w:eastAsia="宋体"/>
          <w:sz w:val="28"/>
          <w:szCs w:val="28"/>
          <w:lang w:eastAsia="zh-CN"/>
        </w:rPr>
        <w:t>；“</w:t>
      </w:r>
      <w:r>
        <w:rPr>
          <w:rFonts w:eastAsia="宋体"/>
          <w:i/>
          <w:sz w:val="28"/>
          <w:szCs w:val="28"/>
          <w:lang w:eastAsia="zh-CN"/>
        </w:rPr>
        <w:t>可担保的动产、债务和义务类型</w:t>
      </w:r>
      <w:r>
        <w:rPr>
          <w:rFonts w:hint="eastAsia" w:eastAsia="宋体"/>
          <w:sz w:val="28"/>
          <w:szCs w:val="28"/>
          <w:lang w:eastAsia="zh-CN"/>
        </w:rPr>
        <w:t>”</w:t>
      </w:r>
      <w:r>
        <w:rPr>
          <w:rFonts w:eastAsia="宋体"/>
          <w:sz w:val="28"/>
          <w:szCs w:val="28"/>
          <w:lang w:eastAsia="zh-CN"/>
        </w:rPr>
        <w:t>子类别有4个指标</w:t>
      </w:r>
      <w:r>
        <w:rPr>
          <w:rFonts w:hint="eastAsia" w:eastAsia="宋体"/>
          <w:sz w:val="28"/>
          <w:szCs w:val="28"/>
          <w:lang w:eastAsia="zh-CN"/>
        </w:rPr>
        <w:t>；</w:t>
      </w:r>
      <w:r>
        <w:rPr>
          <w:rFonts w:eastAsia="宋体"/>
          <w:i/>
          <w:sz w:val="28"/>
          <w:szCs w:val="28"/>
          <w:lang w:eastAsia="zh-CN"/>
        </w:rPr>
        <w:t>优先/执行</w:t>
      </w:r>
      <w:r>
        <w:rPr>
          <w:rFonts w:eastAsia="宋体"/>
          <w:sz w:val="28"/>
          <w:szCs w:val="28"/>
          <w:lang w:eastAsia="zh-CN"/>
        </w:rPr>
        <w:t>子类别有2个指标。遵循担保交易良好实践的监管框架有利于社会(社会效益)和企业(企业灵活性)。因此，这两个类别的得分是相等的。</w:t>
      </w:r>
    </w:p>
    <w:p>
      <w:pPr>
        <w:pStyle w:val="11"/>
        <w:tabs>
          <w:tab w:val="left" w:pos="841"/>
        </w:tabs>
        <w:spacing w:line="400" w:lineRule="exact"/>
        <w:ind w:left="0" w:firstLine="562" w:firstLineChars="200"/>
        <w:rPr>
          <w:rFonts w:eastAsia="宋体"/>
          <w:sz w:val="28"/>
          <w:szCs w:val="28"/>
          <w:lang w:eastAsia="zh-CN"/>
        </w:rPr>
      </w:pPr>
      <w:r>
        <w:rPr>
          <w:rFonts w:eastAsia="宋体"/>
          <w:b/>
          <w:bCs/>
          <w:sz w:val="28"/>
          <w:szCs w:val="28"/>
          <w:lang w:eastAsia="zh-CN"/>
        </w:rPr>
        <w:t>6.1.3</w:t>
      </w:r>
      <w:r>
        <w:rPr>
          <w:rFonts w:hint="eastAsia" w:eastAsia="宋体"/>
          <w:sz w:val="28"/>
          <w:szCs w:val="28"/>
          <w:lang w:eastAsia="zh-CN"/>
        </w:rPr>
        <w:t>“</w:t>
      </w:r>
      <w:r>
        <w:rPr>
          <w:rFonts w:eastAsia="宋体"/>
          <w:i/>
          <w:sz w:val="28"/>
          <w:szCs w:val="28"/>
          <w:u w:val="single"/>
          <w:lang w:eastAsia="zh-CN"/>
        </w:rPr>
        <w:t>电子支付的良好监管实践</w:t>
      </w:r>
      <w:r>
        <w:rPr>
          <w:rFonts w:hint="eastAsia" w:eastAsia="宋体"/>
          <w:sz w:val="28"/>
          <w:szCs w:val="28"/>
          <w:lang w:eastAsia="zh-CN"/>
        </w:rPr>
        <w:t>”</w:t>
      </w:r>
      <w:r>
        <w:rPr>
          <w:rFonts w:eastAsia="宋体"/>
          <w:sz w:val="28"/>
          <w:szCs w:val="28"/>
          <w:lang w:eastAsia="zh-CN"/>
        </w:rPr>
        <w:t>类别共有12项指标，总分最高为24分(企业灵活性12分，社会福利12分)。具体而言，</w:t>
      </w:r>
      <w:r>
        <w:rPr>
          <w:rFonts w:hint="eastAsia" w:eastAsia="宋体"/>
          <w:sz w:val="28"/>
          <w:szCs w:val="28"/>
          <w:lang w:eastAsia="zh-CN"/>
        </w:rPr>
        <w:t>“</w:t>
      </w:r>
      <w:r>
        <w:rPr>
          <w:rFonts w:eastAsia="宋体"/>
          <w:i/>
          <w:sz w:val="28"/>
          <w:szCs w:val="28"/>
          <w:lang w:eastAsia="zh-CN"/>
        </w:rPr>
        <w:t>风险管理</w:t>
      </w:r>
      <w:r>
        <w:rPr>
          <w:rFonts w:hint="eastAsia" w:eastAsia="宋体"/>
          <w:i/>
          <w:sz w:val="28"/>
          <w:szCs w:val="28"/>
          <w:lang w:eastAsia="zh-CN"/>
        </w:rPr>
        <w:t>”</w:t>
      </w:r>
      <w:r>
        <w:rPr>
          <w:rFonts w:eastAsia="宋体"/>
          <w:spacing w:val="-2"/>
          <w:sz w:val="28"/>
          <w:szCs w:val="28"/>
          <w:lang w:eastAsia="zh-CN"/>
        </w:rPr>
        <w:t>子类别有3个指标</w:t>
      </w:r>
      <w:r>
        <w:rPr>
          <w:rFonts w:hint="eastAsia" w:eastAsia="宋体"/>
          <w:spacing w:val="-2"/>
          <w:sz w:val="28"/>
          <w:szCs w:val="28"/>
          <w:lang w:eastAsia="zh-CN"/>
        </w:rPr>
        <w:t>；</w:t>
      </w:r>
      <w:r>
        <w:rPr>
          <w:rFonts w:hint="eastAsia" w:eastAsia="宋体"/>
          <w:sz w:val="28"/>
          <w:szCs w:val="28"/>
          <w:lang w:eastAsia="zh-CN"/>
        </w:rPr>
        <w:t>“</w:t>
      </w:r>
      <w:r>
        <w:rPr>
          <w:rFonts w:eastAsia="宋体"/>
          <w:i/>
          <w:sz w:val="28"/>
          <w:szCs w:val="28"/>
          <w:lang w:eastAsia="zh-CN"/>
        </w:rPr>
        <w:t>客户资金保护</w:t>
      </w:r>
      <w:r>
        <w:rPr>
          <w:rFonts w:hint="eastAsia" w:eastAsia="宋体"/>
          <w:sz w:val="28"/>
          <w:szCs w:val="28"/>
          <w:lang w:eastAsia="zh-CN"/>
        </w:rPr>
        <w:t>”</w:t>
      </w:r>
      <w:r>
        <w:rPr>
          <w:rFonts w:eastAsia="宋体"/>
          <w:sz w:val="28"/>
          <w:szCs w:val="28"/>
          <w:lang w:eastAsia="zh-CN"/>
        </w:rPr>
        <w:t>子类别有2个指标</w:t>
      </w:r>
      <w:r>
        <w:rPr>
          <w:rFonts w:hint="eastAsia" w:eastAsia="宋体"/>
          <w:sz w:val="28"/>
          <w:szCs w:val="28"/>
          <w:lang w:eastAsia="zh-CN"/>
        </w:rPr>
        <w:t>；“</w:t>
      </w:r>
      <w:r>
        <w:rPr>
          <w:rFonts w:eastAsia="宋体"/>
          <w:i/>
          <w:sz w:val="28"/>
          <w:szCs w:val="28"/>
          <w:lang w:eastAsia="zh-CN"/>
        </w:rPr>
        <w:t>费用、条款和条件的透明度</w:t>
      </w:r>
      <w:r>
        <w:rPr>
          <w:rFonts w:hint="eastAsia" w:eastAsia="宋体"/>
          <w:sz w:val="28"/>
          <w:szCs w:val="28"/>
          <w:lang w:eastAsia="zh-CN"/>
        </w:rPr>
        <w:t>”</w:t>
      </w:r>
      <w:r>
        <w:rPr>
          <w:rFonts w:eastAsia="宋体"/>
          <w:sz w:val="28"/>
          <w:szCs w:val="28"/>
          <w:lang w:eastAsia="zh-CN"/>
        </w:rPr>
        <w:t>子类别有2个指标</w:t>
      </w:r>
      <w:r>
        <w:rPr>
          <w:rFonts w:hint="eastAsia" w:eastAsia="宋体"/>
          <w:sz w:val="28"/>
          <w:szCs w:val="28"/>
          <w:lang w:eastAsia="zh-CN"/>
        </w:rPr>
        <w:t>；“</w:t>
      </w:r>
      <w:r>
        <w:rPr>
          <w:rFonts w:eastAsia="宋体"/>
          <w:i/>
          <w:sz w:val="28"/>
          <w:szCs w:val="28"/>
          <w:lang w:eastAsia="zh-CN"/>
        </w:rPr>
        <w:t>可靠追索权和争议解决机制的可用性</w:t>
      </w:r>
      <w:r>
        <w:rPr>
          <w:rFonts w:hint="eastAsia" w:eastAsia="宋体"/>
          <w:sz w:val="28"/>
          <w:szCs w:val="28"/>
          <w:lang w:eastAsia="zh-CN"/>
        </w:rPr>
        <w:t>”</w:t>
      </w:r>
      <w:r>
        <w:rPr>
          <w:rFonts w:eastAsia="宋体"/>
          <w:sz w:val="28"/>
          <w:szCs w:val="28"/>
          <w:lang w:eastAsia="zh-CN"/>
        </w:rPr>
        <w:t>子类别有2个指标</w:t>
      </w:r>
      <w:r>
        <w:rPr>
          <w:rFonts w:hint="eastAsia" w:eastAsia="宋体"/>
          <w:sz w:val="28"/>
          <w:szCs w:val="28"/>
          <w:lang w:eastAsia="zh-CN"/>
        </w:rPr>
        <w:t>；“</w:t>
      </w:r>
      <w:r>
        <w:rPr>
          <w:rFonts w:eastAsia="宋体"/>
          <w:i/>
          <w:sz w:val="28"/>
          <w:szCs w:val="28"/>
          <w:lang w:eastAsia="zh-CN"/>
        </w:rPr>
        <w:t>互操作性</w:t>
      </w:r>
      <w:r>
        <w:rPr>
          <w:rFonts w:eastAsia="宋体"/>
          <w:i/>
          <w:spacing w:val="-4"/>
          <w:sz w:val="28"/>
          <w:szCs w:val="28"/>
          <w:lang w:eastAsia="zh-CN"/>
        </w:rPr>
        <w:t>和</w:t>
      </w:r>
      <w:r>
        <w:rPr>
          <w:rFonts w:eastAsia="宋体"/>
          <w:i/>
          <w:sz w:val="28"/>
          <w:szCs w:val="28"/>
          <w:lang w:eastAsia="zh-CN"/>
        </w:rPr>
        <w:t>促进</w:t>
      </w:r>
      <w:r>
        <w:rPr>
          <w:rFonts w:eastAsia="宋体"/>
          <w:i/>
          <w:spacing w:val="-3"/>
          <w:sz w:val="28"/>
          <w:szCs w:val="28"/>
          <w:lang w:eastAsia="zh-CN"/>
        </w:rPr>
        <w:t>竞争</w:t>
      </w:r>
      <w:r>
        <w:rPr>
          <w:rFonts w:hint="eastAsia" w:eastAsia="宋体"/>
          <w:i/>
          <w:spacing w:val="-3"/>
          <w:sz w:val="28"/>
          <w:szCs w:val="28"/>
          <w:lang w:eastAsia="zh-CN"/>
        </w:rPr>
        <w:t>”</w:t>
      </w:r>
      <w:r>
        <w:rPr>
          <w:rFonts w:eastAsia="宋体"/>
          <w:iCs/>
          <w:sz w:val="28"/>
          <w:szCs w:val="28"/>
          <w:lang w:eastAsia="zh-CN"/>
        </w:rPr>
        <w:t>子</w:t>
      </w:r>
      <w:r>
        <w:rPr>
          <w:rFonts w:eastAsia="宋体"/>
          <w:sz w:val="28"/>
          <w:szCs w:val="28"/>
          <w:lang w:eastAsia="zh-CN"/>
        </w:rPr>
        <w:t>类别有3个指标。遵循电子支付良好实践的监管框架有利于社会(社会效益)和企业(企业灵活性)。因此，这两个类别的得分是相等的。</w:t>
      </w:r>
    </w:p>
    <w:p>
      <w:pPr>
        <w:pStyle w:val="11"/>
        <w:tabs>
          <w:tab w:val="left" w:pos="841"/>
        </w:tabs>
        <w:spacing w:line="400" w:lineRule="exact"/>
        <w:ind w:left="0" w:firstLine="562" w:firstLineChars="200"/>
        <w:rPr>
          <w:rFonts w:eastAsia="宋体"/>
          <w:sz w:val="28"/>
          <w:szCs w:val="28"/>
          <w:lang w:eastAsia="zh-CN"/>
        </w:rPr>
      </w:pPr>
      <w:r>
        <w:rPr>
          <w:rFonts w:eastAsia="宋体"/>
          <w:b/>
          <w:bCs/>
          <w:sz w:val="28"/>
          <w:szCs w:val="28"/>
          <w:lang w:eastAsia="zh-CN"/>
        </w:rPr>
        <w:t>6.1.4</w:t>
      </w:r>
      <w:r>
        <w:rPr>
          <w:rFonts w:hint="eastAsia" w:eastAsia="宋体"/>
          <w:sz w:val="28"/>
          <w:szCs w:val="28"/>
          <w:lang w:eastAsia="zh-CN"/>
        </w:rPr>
        <w:t>“</w:t>
      </w:r>
      <w:r>
        <w:rPr>
          <w:rFonts w:eastAsia="宋体"/>
          <w:i/>
          <w:sz w:val="28"/>
          <w:szCs w:val="28"/>
          <w:u w:val="single"/>
          <w:lang w:eastAsia="zh-CN"/>
        </w:rPr>
        <w:t>绿色融资良好监管实践</w:t>
      </w:r>
      <w:r>
        <w:rPr>
          <w:rFonts w:hint="eastAsia" w:eastAsia="宋体"/>
          <w:i/>
          <w:sz w:val="28"/>
          <w:szCs w:val="28"/>
          <w:u w:val="single"/>
          <w:lang w:eastAsia="zh-CN"/>
        </w:rPr>
        <w:t>”</w:t>
      </w:r>
      <w:r>
        <w:rPr>
          <w:rFonts w:eastAsia="宋体"/>
          <w:iCs/>
          <w:sz w:val="28"/>
          <w:szCs w:val="28"/>
          <w:lang w:eastAsia="zh-CN"/>
        </w:rPr>
        <w:t>类别有5个指标，总分最高为</w:t>
      </w:r>
      <w:r>
        <w:rPr>
          <w:rFonts w:eastAsia="宋体"/>
          <w:sz w:val="28"/>
          <w:szCs w:val="28"/>
          <w:lang w:eastAsia="zh-CN"/>
        </w:rPr>
        <w:t>6分(企业灵活性1分，社会效益5分)。具体而言，</w:t>
      </w:r>
      <w:r>
        <w:rPr>
          <w:rFonts w:hint="eastAsia" w:eastAsia="宋体"/>
          <w:sz w:val="28"/>
          <w:szCs w:val="28"/>
          <w:lang w:eastAsia="zh-CN"/>
        </w:rPr>
        <w:t>“</w:t>
      </w:r>
      <w:r>
        <w:rPr>
          <w:rFonts w:eastAsia="宋体"/>
          <w:i/>
          <w:sz w:val="28"/>
          <w:szCs w:val="28"/>
          <w:lang w:eastAsia="zh-CN"/>
        </w:rPr>
        <w:t>风险管理</w:t>
      </w:r>
      <w:r>
        <w:rPr>
          <w:rFonts w:hint="eastAsia" w:eastAsia="宋体"/>
          <w:i/>
          <w:sz w:val="28"/>
          <w:szCs w:val="28"/>
          <w:lang w:eastAsia="zh-CN"/>
        </w:rPr>
        <w:t>”</w:t>
      </w:r>
      <w:r>
        <w:rPr>
          <w:rFonts w:eastAsia="宋体"/>
          <w:sz w:val="28"/>
          <w:szCs w:val="28"/>
          <w:lang w:eastAsia="zh-CN"/>
        </w:rPr>
        <w:t>子类别有1个指标</w:t>
      </w:r>
      <w:r>
        <w:rPr>
          <w:rFonts w:hint="eastAsia" w:eastAsia="宋体"/>
          <w:sz w:val="28"/>
          <w:szCs w:val="28"/>
          <w:lang w:eastAsia="zh-CN"/>
        </w:rPr>
        <w:t>；“</w:t>
      </w:r>
      <w:r>
        <w:rPr>
          <w:rFonts w:eastAsia="宋体"/>
          <w:i/>
          <w:sz w:val="28"/>
          <w:szCs w:val="28"/>
          <w:lang w:eastAsia="zh-CN"/>
        </w:rPr>
        <w:t>披露要求和影响报告</w:t>
      </w:r>
      <w:r>
        <w:rPr>
          <w:rFonts w:hint="eastAsia" w:eastAsia="宋体"/>
          <w:i/>
          <w:sz w:val="28"/>
          <w:szCs w:val="28"/>
          <w:lang w:eastAsia="zh-CN"/>
        </w:rPr>
        <w:t>”</w:t>
      </w:r>
      <w:r>
        <w:rPr>
          <w:rFonts w:eastAsia="宋体"/>
          <w:sz w:val="28"/>
          <w:szCs w:val="28"/>
          <w:lang w:eastAsia="zh-CN"/>
        </w:rPr>
        <w:t>子类别有2个指标</w:t>
      </w:r>
      <w:r>
        <w:rPr>
          <w:rFonts w:hint="eastAsia" w:eastAsia="宋体"/>
          <w:sz w:val="28"/>
          <w:szCs w:val="28"/>
          <w:lang w:eastAsia="zh-CN"/>
        </w:rPr>
        <w:t>；“</w:t>
      </w:r>
      <w:r>
        <w:rPr>
          <w:rFonts w:eastAsia="宋体"/>
          <w:i/>
          <w:sz w:val="28"/>
          <w:szCs w:val="28"/>
          <w:lang w:eastAsia="zh-CN"/>
        </w:rPr>
        <w:t>绿色融资的可获得性和采用绿色</w:t>
      </w:r>
      <w:r>
        <w:rPr>
          <w:rFonts w:eastAsia="宋体"/>
          <w:i/>
          <w:spacing w:val="-16"/>
          <w:sz w:val="28"/>
          <w:szCs w:val="28"/>
          <w:lang w:eastAsia="zh-CN"/>
        </w:rPr>
        <w:t>原则的可行性</w:t>
      </w:r>
      <w:r>
        <w:rPr>
          <w:rFonts w:hint="eastAsia" w:eastAsia="宋体"/>
          <w:sz w:val="28"/>
          <w:szCs w:val="28"/>
          <w:lang w:eastAsia="zh-CN"/>
        </w:rPr>
        <w:t>”</w:t>
      </w:r>
      <w:r>
        <w:rPr>
          <w:rFonts w:eastAsia="宋体"/>
          <w:sz w:val="28"/>
          <w:szCs w:val="28"/>
          <w:lang w:eastAsia="zh-CN"/>
        </w:rPr>
        <w:t>子类别有2个指标。遵循绿色融资良好实践的监管框架有利于社会(社会效益)，有时也有利于企业(企业灵活性)。因此，这两个类别的得分并不均衡。</w:t>
      </w:r>
    </w:p>
    <w:p>
      <w:pPr>
        <w:spacing w:line="400" w:lineRule="exact"/>
        <w:jc w:val="center"/>
        <w:rPr>
          <w:rFonts w:eastAsia="宋体"/>
          <w:b/>
          <w:sz w:val="28"/>
          <w:szCs w:val="28"/>
          <w:lang w:eastAsia="zh-CN"/>
        </w:rPr>
      </w:pPr>
      <w:r>
        <w:rPr>
          <w:rFonts w:eastAsia="宋体"/>
          <w:b/>
          <w:sz w:val="28"/>
          <w:szCs w:val="28"/>
          <w:lang w:eastAsia="zh-CN"/>
        </w:rPr>
        <w:t>表27</w:t>
      </w:r>
      <w:r>
        <w:rPr>
          <w:rFonts w:hint="eastAsia" w:eastAsia="宋体"/>
          <w:b/>
          <w:sz w:val="28"/>
          <w:szCs w:val="28"/>
          <w:lang w:eastAsia="zh-CN"/>
        </w:rPr>
        <w:t>.</w:t>
      </w:r>
      <w:r>
        <w:rPr>
          <w:rFonts w:eastAsia="宋体"/>
          <w:b/>
          <w:sz w:val="28"/>
          <w:szCs w:val="28"/>
          <w:lang w:eastAsia="zh-CN"/>
        </w:rPr>
        <w:t xml:space="preserve"> 维度I得分</w:t>
      </w:r>
    </w:p>
    <w:tbl>
      <w:tblPr>
        <w:tblStyle w:val="8"/>
        <w:tblW w:w="8593"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9"/>
        <w:gridCol w:w="3009"/>
        <w:gridCol w:w="776"/>
        <w:gridCol w:w="931"/>
        <w:gridCol w:w="1086"/>
        <w:gridCol w:w="793"/>
        <w:gridCol w:w="1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2" w:hRule="atLeast"/>
        </w:trPr>
        <w:tc>
          <w:tcPr>
            <w:tcW w:w="3628" w:type="dxa"/>
            <w:gridSpan w:val="2"/>
            <w:shd w:val="clear" w:color="auto" w:fill="D9E1F3"/>
            <w:vAlign w:val="center"/>
          </w:tcPr>
          <w:p>
            <w:pPr>
              <w:pStyle w:val="12"/>
              <w:spacing w:before="103"/>
              <w:ind w:left="4"/>
              <w:jc w:val="center"/>
              <w:rPr>
                <w:rFonts w:eastAsia="宋体"/>
                <w:b/>
                <w:sz w:val="24"/>
                <w:szCs w:val="24"/>
                <w:lang w:eastAsia="zh-CN"/>
              </w:rPr>
            </w:pPr>
            <w:r>
              <w:rPr>
                <w:rFonts w:eastAsia="宋体"/>
                <w:b/>
                <w:sz w:val="24"/>
                <w:szCs w:val="24"/>
                <w:lang w:eastAsia="zh-CN"/>
              </w:rPr>
              <w:t>维度I</w:t>
            </w:r>
            <w:r>
              <w:rPr>
                <w:rFonts w:hint="eastAsia" w:eastAsia="宋体"/>
                <w:b/>
                <w:sz w:val="24"/>
                <w:szCs w:val="24"/>
                <w:lang w:eastAsia="zh-CN"/>
              </w:rPr>
              <w:t>：</w:t>
            </w:r>
            <w:r>
              <w:rPr>
                <w:rFonts w:eastAsia="宋体"/>
                <w:b/>
                <w:sz w:val="24"/>
                <w:szCs w:val="24"/>
                <w:lang w:eastAsia="zh-CN"/>
              </w:rPr>
              <w:t>监</w:t>
            </w:r>
            <w:r>
              <w:rPr>
                <w:rFonts w:eastAsia="宋体"/>
                <w:b/>
                <w:sz w:val="24"/>
                <w:szCs w:val="24"/>
              </w:rPr>
              <w:t>管</w:t>
            </w:r>
            <w:r>
              <w:rPr>
                <w:rFonts w:eastAsia="宋体"/>
                <w:b/>
                <w:sz w:val="24"/>
                <w:szCs w:val="24"/>
                <w:lang w:eastAsia="zh-CN"/>
              </w:rPr>
              <w:t>框架</w:t>
            </w:r>
          </w:p>
        </w:tc>
        <w:tc>
          <w:tcPr>
            <w:tcW w:w="776" w:type="dxa"/>
            <w:shd w:val="clear" w:color="auto" w:fill="D9E1F3"/>
            <w:vAlign w:val="center"/>
          </w:tcPr>
          <w:p>
            <w:pPr>
              <w:pStyle w:val="12"/>
              <w:ind w:left="15" w:right="8"/>
              <w:jc w:val="center"/>
              <w:rPr>
                <w:rFonts w:eastAsia="宋体"/>
                <w:b/>
                <w:sz w:val="24"/>
                <w:szCs w:val="24"/>
              </w:rPr>
            </w:pPr>
            <w:r>
              <w:rPr>
                <w:rFonts w:eastAsia="宋体"/>
                <w:b/>
                <w:sz w:val="24"/>
                <w:szCs w:val="24"/>
              </w:rPr>
              <w:t>指标</w:t>
            </w:r>
          </w:p>
          <w:p>
            <w:pPr>
              <w:pStyle w:val="12"/>
              <w:ind w:left="15" w:right="8"/>
              <w:jc w:val="center"/>
              <w:rPr>
                <w:rFonts w:eastAsia="宋体"/>
                <w:b/>
                <w:sz w:val="24"/>
                <w:szCs w:val="24"/>
                <w:lang w:eastAsia="zh-CN"/>
              </w:rPr>
            </w:pPr>
            <w:r>
              <w:rPr>
                <w:rFonts w:eastAsia="宋体"/>
                <w:b/>
                <w:sz w:val="24"/>
                <w:szCs w:val="24"/>
                <w:lang w:eastAsia="zh-CN"/>
              </w:rPr>
              <w:t>数量</w:t>
            </w:r>
          </w:p>
        </w:tc>
        <w:tc>
          <w:tcPr>
            <w:tcW w:w="931" w:type="dxa"/>
            <w:shd w:val="clear" w:color="auto" w:fill="D9E1F3"/>
            <w:vAlign w:val="center"/>
          </w:tcPr>
          <w:p>
            <w:pPr>
              <w:pStyle w:val="12"/>
              <w:spacing w:before="103"/>
              <w:ind w:left="0" w:right="332"/>
              <w:jc w:val="center"/>
              <w:rPr>
                <w:rFonts w:eastAsia="宋体"/>
                <w:b/>
                <w:sz w:val="24"/>
                <w:szCs w:val="24"/>
                <w:lang w:eastAsia="zh-CN"/>
              </w:rPr>
            </w:pPr>
            <w:r>
              <w:rPr>
                <w:rFonts w:eastAsia="宋体"/>
                <w:b/>
                <w:spacing w:val="-5"/>
                <w:sz w:val="24"/>
                <w:szCs w:val="24"/>
                <w:lang w:eastAsia="zh-CN"/>
              </w:rPr>
              <w:t>企业灵活</w:t>
            </w:r>
            <w:r>
              <w:rPr>
                <w:rFonts w:hint="eastAsia" w:eastAsia="宋体"/>
                <w:b/>
                <w:spacing w:val="-5"/>
                <w:sz w:val="24"/>
                <w:szCs w:val="24"/>
                <w:lang w:eastAsia="zh-CN"/>
              </w:rPr>
              <w:t>度</w:t>
            </w:r>
          </w:p>
        </w:tc>
        <w:tc>
          <w:tcPr>
            <w:tcW w:w="1086" w:type="dxa"/>
            <w:shd w:val="clear" w:color="auto" w:fill="D9E1F3"/>
            <w:vAlign w:val="center"/>
          </w:tcPr>
          <w:p>
            <w:pPr>
              <w:pStyle w:val="12"/>
              <w:spacing w:before="103"/>
              <w:ind w:left="293" w:right="283"/>
              <w:jc w:val="center"/>
              <w:rPr>
                <w:rFonts w:eastAsia="宋体"/>
                <w:b/>
                <w:sz w:val="24"/>
                <w:szCs w:val="24"/>
              </w:rPr>
            </w:pPr>
            <w:r>
              <w:rPr>
                <w:rFonts w:eastAsia="宋体"/>
                <w:b/>
                <w:spacing w:val="-5"/>
                <w:sz w:val="24"/>
                <w:szCs w:val="24"/>
                <w:lang w:eastAsia="zh-CN"/>
              </w:rPr>
              <w:t>社会效益得分</w:t>
            </w:r>
          </w:p>
        </w:tc>
        <w:tc>
          <w:tcPr>
            <w:tcW w:w="793" w:type="dxa"/>
            <w:shd w:val="clear" w:color="auto" w:fill="D9E1F3"/>
            <w:vAlign w:val="center"/>
          </w:tcPr>
          <w:p>
            <w:pPr>
              <w:pStyle w:val="12"/>
              <w:spacing w:before="103"/>
              <w:ind w:left="20" w:right="6"/>
              <w:jc w:val="center"/>
              <w:rPr>
                <w:rFonts w:eastAsia="宋体"/>
                <w:b/>
                <w:sz w:val="24"/>
                <w:szCs w:val="24"/>
              </w:rPr>
            </w:pPr>
            <w:r>
              <w:rPr>
                <w:rFonts w:eastAsia="宋体"/>
                <w:b/>
                <w:sz w:val="24"/>
                <w:szCs w:val="24"/>
                <w:lang w:eastAsia="zh-CN"/>
              </w:rPr>
              <w:t>总</w:t>
            </w:r>
            <w:r>
              <w:rPr>
                <w:rFonts w:eastAsia="宋体"/>
                <w:b/>
                <w:sz w:val="24"/>
                <w:szCs w:val="24"/>
              </w:rPr>
              <w:t>分</w:t>
            </w:r>
          </w:p>
        </w:tc>
        <w:tc>
          <w:tcPr>
            <w:tcW w:w="1379" w:type="dxa"/>
            <w:shd w:val="clear" w:color="auto" w:fill="D9E1F3"/>
            <w:vAlign w:val="center"/>
          </w:tcPr>
          <w:p>
            <w:pPr>
              <w:pStyle w:val="12"/>
              <w:ind w:left="271" w:right="122" w:hanging="140"/>
              <w:jc w:val="center"/>
              <w:rPr>
                <w:rFonts w:eastAsia="宋体"/>
                <w:b/>
                <w:sz w:val="24"/>
                <w:szCs w:val="24"/>
                <w:lang w:eastAsia="zh-CN"/>
              </w:rPr>
            </w:pPr>
            <w:r>
              <w:rPr>
                <w:rFonts w:eastAsia="宋体"/>
                <w:b/>
                <w:sz w:val="24"/>
                <w:szCs w:val="24"/>
                <w:lang w:eastAsia="zh-CN"/>
              </w:rPr>
              <w:t>调整</w:t>
            </w:r>
          </w:p>
          <w:p>
            <w:pPr>
              <w:pStyle w:val="12"/>
              <w:ind w:left="271" w:right="122" w:hanging="140"/>
              <w:jc w:val="center"/>
              <w:rPr>
                <w:rFonts w:eastAsia="宋体"/>
                <w:b/>
                <w:sz w:val="24"/>
                <w:szCs w:val="24"/>
                <w:lang w:eastAsia="zh-CN"/>
              </w:rPr>
            </w:pPr>
            <w:r>
              <w:rPr>
                <w:rFonts w:hint="eastAsia" w:eastAsia="宋体"/>
                <w:b/>
                <w:sz w:val="24"/>
                <w:szCs w:val="24"/>
                <w:lang w:eastAsia="zh-CN"/>
              </w:rPr>
              <w:t>后</w:t>
            </w:r>
          </w:p>
          <w:p>
            <w:pPr>
              <w:pStyle w:val="12"/>
              <w:ind w:left="271" w:right="122" w:hanging="140"/>
              <w:jc w:val="center"/>
              <w:rPr>
                <w:rFonts w:eastAsia="宋体"/>
                <w:b/>
                <w:sz w:val="24"/>
                <w:szCs w:val="24"/>
                <w:lang w:eastAsia="zh-CN"/>
              </w:rPr>
            </w:pPr>
            <w:r>
              <w:rPr>
                <w:rFonts w:hint="eastAsia" w:eastAsia="宋体"/>
                <w:b/>
                <w:sz w:val="24"/>
                <w:szCs w:val="24"/>
                <w:lang w:eastAsia="zh-CN"/>
              </w:rPr>
              <w:t>得分</w:t>
            </w:r>
          </w:p>
          <w:p>
            <w:pPr>
              <w:pStyle w:val="12"/>
              <w:ind w:right="158"/>
              <w:jc w:val="center"/>
              <w:rPr>
                <w:rFonts w:eastAsia="宋体"/>
                <w:b/>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4" w:hRule="atLeast"/>
        </w:trPr>
        <w:tc>
          <w:tcPr>
            <w:tcW w:w="619" w:type="dxa"/>
            <w:shd w:val="clear" w:color="auto" w:fill="D9E1F3"/>
          </w:tcPr>
          <w:p>
            <w:pPr>
              <w:pStyle w:val="12"/>
              <w:spacing w:before="105"/>
              <w:ind w:left="4"/>
              <w:rPr>
                <w:rFonts w:eastAsia="宋体"/>
                <w:b/>
                <w:sz w:val="24"/>
                <w:szCs w:val="24"/>
              </w:rPr>
            </w:pPr>
            <w:r>
              <w:rPr>
                <w:rFonts w:eastAsia="宋体"/>
                <w:b/>
                <w:spacing w:val="-5"/>
                <w:sz w:val="24"/>
                <w:szCs w:val="24"/>
              </w:rPr>
              <w:t>1.1</w:t>
            </w:r>
          </w:p>
        </w:tc>
        <w:tc>
          <w:tcPr>
            <w:tcW w:w="3009" w:type="dxa"/>
            <w:shd w:val="clear" w:color="auto" w:fill="D9E1F3"/>
          </w:tcPr>
          <w:p>
            <w:pPr>
              <w:pStyle w:val="12"/>
              <w:ind w:left="7" w:right="99"/>
              <w:rPr>
                <w:rFonts w:eastAsia="宋体"/>
                <w:b/>
                <w:sz w:val="24"/>
                <w:szCs w:val="24"/>
                <w:lang w:eastAsia="zh-CN"/>
              </w:rPr>
            </w:pPr>
            <w:r>
              <w:rPr>
                <w:rFonts w:eastAsia="宋体"/>
                <w:b/>
                <w:sz w:val="24"/>
                <w:szCs w:val="24"/>
                <w:lang w:eastAsia="zh-CN"/>
              </w:rPr>
              <w:t>商业贷款的良好监管实践</w:t>
            </w:r>
          </w:p>
        </w:tc>
        <w:tc>
          <w:tcPr>
            <w:tcW w:w="776" w:type="dxa"/>
            <w:shd w:val="clear" w:color="auto" w:fill="D9E1F3"/>
          </w:tcPr>
          <w:p>
            <w:pPr>
              <w:pStyle w:val="12"/>
              <w:spacing w:before="105"/>
              <w:ind w:left="9"/>
              <w:jc w:val="center"/>
              <w:rPr>
                <w:rFonts w:eastAsia="宋体"/>
                <w:b/>
                <w:sz w:val="24"/>
                <w:szCs w:val="24"/>
              </w:rPr>
            </w:pPr>
            <w:r>
              <w:rPr>
                <w:rFonts w:eastAsia="宋体"/>
                <w:b/>
                <w:sz w:val="24"/>
                <w:szCs w:val="24"/>
              </w:rPr>
              <w:t>6</w:t>
            </w:r>
          </w:p>
        </w:tc>
        <w:tc>
          <w:tcPr>
            <w:tcW w:w="931" w:type="dxa"/>
            <w:shd w:val="clear" w:color="auto" w:fill="D9E1F3"/>
          </w:tcPr>
          <w:p>
            <w:pPr>
              <w:pStyle w:val="12"/>
              <w:spacing w:before="105"/>
              <w:ind w:left="10"/>
              <w:jc w:val="center"/>
              <w:rPr>
                <w:rFonts w:eastAsia="宋体"/>
                <w:b/>
                <w:sz w:val="24"/>
                <w:szCs w:val="24"/>
              </w:rPr>
            </w:pPr>
            <w:r>
              <w:rPr>
                <w:rFonts w:eastAsia="宋体"/>
                <w:b/>
                <w:sz w:val="24"/>
                <w:szCs w:val="24"/>
              </w:rPr>
              <w:t>2</w:t>
            </w:r>
          </w:p>
        </w:tc>
        <w:tc>
          <w:tcPr>
            <w:tcW w:w="1086" w:type="dxa"/>
            <w:shd w:val="clear" w:color="auto" w:fill="D9E1F3"/>
          </w:tcPr>
          <w:p>
            <w:pPr>
              <w:pStyle w:val="12"/>
              <w:spacing w:before="105"/>
              <w:ind w:left="9"/>
              <w:jc w:val="center"/>
              <w:rPr>
                <w:rFonts w:eastAsia="宋体"/>
                <w:b/>
                <w:sz w:val="24"/>
                <w:szCs w:val="24"/>
              </w:rPr>
            </w:pPr>
            <w:r>
              <w:rPr>
                <w:rFonts w:eastAsia="宋体"/>
                <w:b/>
                <w:sz w:val="24"/>
                <w:szCs w:val="24"/>
              </w:rPr>
              <w:t>6</w:t>
            </w:r>
          </w:p>
        </w:tc>
        <w:tc>
          <w:tcPr>
            <w:tcW w:w="793" w:type="dxa"/>
            <w:shd w:val="clear" w:color="auto" w:fill="D9E1F3"/>
          </w:tcPr>
          <w:p>
            <w:pPr>
              <w:pStyle w:val="12"/>
              <w:spacing w:before="105"/>
              <w:ind w:left="13"/>
              <w:jc w:val="center"/>
              <w:rPr>
                <w:rFonts w:eastAsia="宋体"/>
                <w:b/>
                <w:sz w:val="24"/>
                <w:szCs w:val="24"/>
              </w:rPr>
            </w:pPr>
            <w:r>
              <w:rPr>
                <w:rFonts w:eastAsia="宋体"/>
                <w:b/>
                <w:sz w:val="24"/>
                <w:szCs w:val="24"/>
              </w:rPr>
              <w:t>8</w:t>
            </w:r>
          </w:p>
        </w:tc>
        <w:tc>
          <w:tcPr>
            <w:tcW w:w="1379" w:type="dxa"/>
            <w:shd w:val="clear" w:color="auto" w:fill="D9E1F3"/>
          </w:tcPr>
          <w:p>
            <w:pPr>
              <w:pStyle w:val="12"/>
              <w:spacing w:before="105"/>
              <w:ind w:left="295" w:right="283"/>
              <w:jc w:val="center"/>
              <w:rPr>
                <w:rFonts w:eastAsia="宋体"/>
                <w:b/>
                <w:sz w:val="24"/>
                <w:szCs w:val="24"/>
              </w:rPr>
            </w:pPr>
            <w:r>
              <w:rPr>
                <w:rFonts w:eastAsia="宋体"/>
                <w:b/>
                <w:spacing w:val="-2"/>
                <w:sz w:val="24"/>
                <w:szCs w:val="24"/>
              </w:rPr>
              <w:t>15.38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619" w:type="dxa"/>
          </w:tcPr>
          <w:p>
            <w:pPr>
              <w:pStyle w:val="12"/>
              <w:spacing w:before="103"/>
              <w:ind w:left="4"/>
              <w:rPr>
                <w:rFonts w:eastAsia="宋体"/>
                <w:sz w:val="24"/>
                <w:szCs w:val="24"/>
              </w:rPr>
            </w:pPr>
            <w:r>
              <w:rPr>
                <w:rFonts w:eastAsia="宋体"/>
                <w:spacing w:val="-2"/>
                <w:sz w:val="24"/>
                <w:szCs w:val="24"/>
              </w:rPr>
              <w:t>1.1.1</w:t>
            </w:r>
          </w:p>
        </w:tc>
        <w:tc>
          <w:tcPr>
            <w:tcW w:w="3009" w:type="dxa"/>
          </w:tcPr>
          <w:p>
            <w:pPr>
              <w:pStyle w:val="12"/>
              <w:ind w:left="7" w:right="99"/>
              <w:rPr>
                <w:rFonts w:eastAsia="宋体"/>
                <w:sz w:val="24"/>
                <w:szCs w:val="24"/>
                <w:lang w:eastAsia="zh-CN"/>
              </w:rPr>
            </w:pPr>
            <w:r>
              <w:rPr>
                <w:rFonts w:eastAsia="宋体"/>
                <w:sz w:val="24"/>
                <w:szCs w:val="24"/>
                <w:lang w:eastAsia="zh-CN"/>
              </w:rPr>
              <w:t>进行客户尽职调查(CDD)和记录保存的要求</w:t>
            </w:r>
          </w:p>
        </w:tc>
        <w:tc>
          <w:tcPr>
            <w:tcW w:w="776" w:type="dxa"/>
          </w:tcPr>
          <w:p>
            <w:pPr>
              <w:pStyle w:val="12"/>
              <w:spacing w:before="103"/>
              <w:ind w:left="9"/>
              <w:jc w:val="center"/>
              <w:rPr>
                <w:rFonts w:eastAsia="宋体"/>
                <w:sz w:val="24"/>
                <w:szCs w:val="24"/>
              </w:rPr>
            </w:pPr>
            <w:r>
              <w:rPr>
                <w:rFonts w:eastAsia="宋体"/>
                <w:sz w:val="24"/>
                <w:szCs w:val="24"/>
              </w:rPr>
              <w:t>2</w:t>
            </w:r>
          </w:p>
        </w:tc>
        <w:tc>
          <w:tcPr>
            <w:tcW w:w="931" w:type="dxa"/>
          </w:tcPr>
          <w:p>
            <w:pPr>
              <w:pStyle w:val="12"/>
              <w:spacing w:before="103"/>
              <w:ind w:left="10"/>
              <w:jc w:val="center"/>
              <w:rPr>
                <w:rFonts w:eastAsia="宋体"/>
                <w:sz w:val="24"/>
                <w:szCs w:val="24"/>
              </w:rPr>
            </w:pPr>
            <w:r>
              <w:rPr>
                <w:rFonts w:eastAsia="宋体"/>
                <w:sz w:val="24"/>
                <w:szCs w:val="24"/>
              </w:rPr>
              <w:t>1</w:t>
            </w:r>
          </w:p>
        </w:tc>
        <w:tc>
          <w:tcPr>
            <w:tcW w:w="1086" w:type="dxa"/>
          </w:tcPr>
          <w:p>
            <w:pPr>
              <w:pStyle w:val="12"/>
              <w:spacing w:before="103"/>
              <w:ind w:left="9"/>
              <w:jc w:val="center"/>
              <w:rPr>
                <w:rFonts w:eastAsia="宋体"/>
                <w:sz w:val="24"/>
                <w:szCs w:val="24"/>
              </w:rPr>
            </w:pPr>
            <w:r>
              <w:rPr>
                <w:rFonts w:eastAsia="宋体"/>
                <w:sz w:val="24"/>
                <w:szCs w:val="24"/>
              </w:rPr>
              <w:t>2</w:t>
            </w:r>
          </w:p>
        </w:tc>
        <w:tc>
          <w:tcPr>
            <w:tcW w:w="793" w:type="dxa"/>
          </w:tcPr>
          <w:p>
            <w:pPr>
              <w:pStyle w:val="12"/>
              <w:spacing w:before="103"/>
              <w:ind w:left="13"/>
              <w:jc w:val="center"/>
              <w:rPr>
                <w:rFonts w:eastAsia="宋体"/>
                <w:sz w:val="24"/>
                <w:szCs w:val="24"/>
              </w:rPr>
            </w:pPr>
            <w:r>
              <w:rPr>
                <w:rFonts w:eastAsia="宋体"/>
                <w:sz w:val="24"/>
                <w:szCs w:val="24"/>
              </w:rPr>
              <w:t>3.</w:t>
            </w:r>
          </w:p>
        </w:tc>
        <w:tc>
          <w:tcPr>
            <w:tcW w:w="1379" w:type="dxa"/>
          </w:tcPr>
          <w:p>
            <w:pPr>
              <w:pStyle w:val="12"/>
              <w:spacing w:before="103"/>
              <w:ind w:left="295" w:right="283"/>
              <w:jc w:val="center"/>
              <w:rPr>
                <w:rFonts w:eastAsia="宋体"/>
                <w:sz w:val="24"/>
                <w:szCs w:val="24"/>
              </w:rPr>
            </w:pPr>
            <w:r>
              <w:rPr>
                <w:rFonts w:eastAsia="宋体"/>
                <w:spacing w:val="-4"/>
                <w:sz w:val="24"/>
                <w:szCs w:val="24"/>
              </w:rPr>
              <w:t>5.77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19" w:type="dxa"/>
          </w:tcPr>
          <w:p>
            <w:pPr>
              <w:pStyle w:val="12"/>
              <w:ind w:left="4"/>
              <w:rPr>
                <w:rFonts w:eastAsia="宋体"/>
                <w:sz w:val="24"/>
                <w:szCs w:val="24"/>
              </w:rPr>
            </w:pPr>
            <w:r>
              <w:rPr>
                <w:rFonts w:eastAsia="宋体"/>
                <w:spacing w:val="-2"/>
                <w:sz w:val="24"/>
                <w:szCs w:val="24"/>
              </w:rPr>
              <w:t>1.1.2</w:t>
            </w:r>
          </w:p>
        </w:tc>
        <w:tc>
          <w:tcPr>
            <w:tcW w:w="3009" w:type="dxa"/>
          </w:tcPr>
          <w:p>
            <w:pPr>
              <w:pStyle w:val="12"/>
              <w:ind w:left="7"/>
              <w:rPr>
                <w:rFonts w:eastAsia="宋体"/>
                <w:sz w:val="24"/>
                <w:szCs w:val="24"/>
                <w:lang w:eastAsia="zh-CN"/>
              </w:rPr>
            </w:pPr>
            <w:r>
              <w:rPr>
                <w:rFonts w:eastAsia="宋体"/>
                <w:sz w:val="24"/>
                <w:szCs w:val="24"/>
                <w:lang w:eastAsia="zh-CN"/>
              </w:rPr>
              <w:t>基于风险的方法和风险因素</w:t>
            </w:r>
          </w:p>
        </w:tc>
        <w:tc>
          <w:tcPr>
            <w:tcW w:w="776" w:type="dxa"/>
          </w:tcPr>
          <w:p>
            <w:pPr>
              <w:pStyle w:val="12"/>
              <w:ind w:left="9"/>
              <w:jc w:val="center"/>
              <w:rPr>
                <w:rFonts w:eastAsia="宋体"/>
                <w:sz w:val="24"/>
                <w:szCs w:val="24"/>
              </w:rPr>
            </w:pPr>
            <w:r>
              <w:rPr>
                <w:rFonts w:eastAsia="宋体"/>
                <w:sz w:val="24"/>
                <w:szCs w:val="24"/>
              </w:rPr>
              <w:t>2</w:t>
            </w:r>
          </w:p>
        </w:tc>
        <w:tc>
          <w:tcPr>
            <w:tcW w:w="931" w:type="dxa"/>
            <w:vAlign w:val="center"/>
          </w:tcPr>
          <w:p>
            <w:pPr>
              <w:pStyle w:val="12"/>
              <w:ind w:left="0" w:right="367"/>
              <w:jc w:val="both"/>
              <w:rPr>
                <w:rFonts w:eastAsia="宋体"/>
                <w:sz w:val="24"/>
                <w:szCs w:val="24"/>
                <w:lang w:eastAsia="zh-CN"/>
              </w:rPr>
            </w:pPr>
            <w:r>
              <w:rPr>
                <w:rFonts w:eastAsia="宋体"/>
                <w:spacing w:val="-4"/>
                <w:sz w:val="24"/>
                <w:szCs w:val="24"/>
                <w:lang w:eastAsia="zh-CN"/>
              </w:rPr>
              <w:t>不适用</w:t>
            </w:r>
          </w:p>
        </w:tc>
        <w:tc>
          <w:tcPr>
            <w:tcW w:w="1086" w:type="dxa"/>
          </w:tcPr>
          <w:p>
            <w:pPr>
              <w:pStyle w:val="12"/>
              <w:ind w:left="9"/>
              <w:jc w:val="center"/>
              <w:rPr>
                <w:rFonts w:eastAsia="宋体"/>
                <w:sz w:val="24"/>
                <w:szCs w:val="24"/>
              </w:rPr>
            </w:pPr>
            <w:r>
              <w:rPr>
                <w:rFonts w:eastAsia="宋体"/>
                <w:sz w:val="24"/>
                <w:szCs w:val="24"/>
              </w:rPr>
              <w:t>2</w:t>
            </w:r>
          </w:p>
        </w:tc>
        <w:tc>
          <w:tcPr>
            <w:tcW w:w="793" w:type="dxa"/>
          </w:tcPr>
          <w:p>
            <w:pPr>
              <w:pStyle w:val="12"/>
              <w:ind w:left="13"/>
              <w:jc w:val="center"/>
              <w:rPr>
                <w:rFonts w:eastAsia="宋体"/>
                <w:sz w:val="24"/>
                <w:szCs w:val="24"/>
              </w:rPr>
            </w:pPr>
            <w:r>
              <w:rPr>
                <w:rFonts w:eastAsia="宋体"/>
                <w:sz w:val="24"/>
                <w:szCs w:val="24"/>
              </w:rPr>
              <w:t>2</w:t>
            </w:r>
          </w:p>
        </w:tc>
        <w:tc>
          <w:tcPr>
            <w:tcW w:w="1379" w:type="dxa"/>
          </w:tcPr>
          <w:p>
            <w:pPr>
              <w:pStyle w:val="12"/>
              <w:ind w:left="295" w:right="283"/>
              <w:jc w:val="center"/>
              <w:rPr>
                <w:rFonts w:eastAsia="宋体"/>
                <w:sz w:val="24"/>
                <w:szCs w:val="24"/>
              </w:rPr>
            </w:pPr>
            <w:r>
              <w:rPr>
                <w:rFonts w:eastAsia="宋体"/>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2" w:hRule="atLeast"/>
        </w:trPr>
        <w:tc>
          <w:tcPr>
            <w:tcW w:w="619" w:type="dxa"/>
          </w:tcPr>
          <w:p>
            <w:pPr>
              <w:pStyle w:val="12"/>
              <w:spacing w:before="129"/>
              <w:ind w:left="4"/>
              <w:rPr>
                <w:rFonts w:eastAsia="宋体"/>
                <w:sz w:val="24"/>
                <w:szCs w:val="24"/>
              </w:rPr>
            </w:pPr>
            <w:r>
              <w:rPr>
                <w:rFonts w:eastAsia="宋体"/>
                <w:spacing w:val="-2"/>
                <w:sz w:val="24"/>
                <w:szCs w:val="24"/>
              </w:rPr>
              <w:t>1.1.3</w:t>
            </w:r>
          </w:p>
        </w:tc>
        <w:tc>
          <w:tcPr>
            <w:tcW w:w="3009" w:type="dxa"/>
          </w:tcPr>
          <w:p>
            <w:pPr>
              <w:pStyle w:val="12"/>
              <w:spacing w:before="26"/>
              <w:ind w:left="7" w:right="99"/>
              <w:rPr>
                <w:rFonts w:eastAsia="宋体"/>
                <w:sz w:val="24"/>
                <w:szCs w:val="24"/>
                <w:lang w:eastAsia="zh-CN"/>
              </w:rPr>
            </w:pPr>
            <w:r>
              <w:rPr>
                <w:rFonts w:eastAsia="宋体"/>
                <w:sz w:val="24"/>
                <w:szCs w:val="24"/>
                <w:lang w:eastAsia="zh-CN"/>
              </w:rPr>
              <w:t>增强和简化CDD措施的可用性</w:t>
            </w:r>
          </w:p>
        </w:tc>
        <w:tc>
          <w:tcPr>
            <w:tcW w:w="776" w:type="dxa"/>
          </w:tcPr>
          <w:p>
            <w:pPr>
              <w:pStyle w:val="12"/>
              <w:spacing w:before="129"/>
              <w:ind w:left="9"/>
              <w:jc w:val="center"/>
              <w:rPr>
                <w:rFonts w:eastAsia="宋体"/>
                <w:sz w:val="24"/>
                <w:szCs w:val="24"/>
              </w:rPr>
            </w:pPr>
            <w:r>
              <w:rPr>
                <w:rFonts w:eastAsia="宋体"/>
                <w:sz w:val="24"/>
                <w:szCs w:val="24"/>
              </w:rPr>
              <w:t>2</w:t>
            </w:r>
          </w:p>
        </w:tc>
        <w:tc>
          <w:tcPr>
            <w:tcW w:w="931" w:type="dxa"/>
          </w:tcPr>
          <w:p>
            <w:pPr>
              <w:pStyle w:val="12"/>
              <w:spacing w:before="129"/>
              <w:ind w:left="10"/>
              <w:jc w:val="center"/>
              <w:rPr>
                <w:rFonts w:eastAsia="宋体"/>
                <w:sz w:val="24"/>
                <w:szCs w:val="24"/>
              </w:rPr>
            </w:pPr>
            <w:r>
              <w:rPr>
                <w:rFonts w:eastAsia="宋体"/>
                <w:sz w:val="24"/>
                <w:szCs w:val="24"/>
              </w:rPr>
              <w:t>1</w:t>
            </w:r>
          </w:p>
        </w:tc>
        <w:tc>
          <w:tcPr>
            <w:tcW w:w="1086" w:type="dxa"/>
          </w:tcPr>
          <w:p>
            <w:pPr>
              <w:pStyle w:val="12"/>
              <w:spacing w:before="129"/>
              <w:ind w:left="9"/>
              <w:jc w:val="center"/>
              <w:rPr>
                <w:rFonts w:eastAsia="宋体"/>
                <w:sz w:val="24"/>
                <w:szCs w:val="24"/>
              </w:rPr>
            </w:pPr>
            <w:r>
              <w:rPr>
                <w:rFonts w:eastAsia="宋体"/>
                <w:sz w:val="24"/>
                <w:szCs w:val="24"/>
              </w:rPr>
              <w:t>2</w:t>
            </w:r>
          </w:p>
        </w:tc>
        <w:tc>
          <w:tcPr>
            <w:tcW w:w="793" w:type="dxa"/>
          </w:tcPr>
          <w:p>
            <w:pPr>
              <w:pStyle w:val="12"/>
              <w:spacing w:before="129"/>
              <w:ind w:left="13"/>
              <w:jc w:val="center"/>
              <w:rPr>
                <w:rFonts w:eastAsia="宋体"/>
                <w:sz w:val="24"/>
                <w:szCs w:val="24"/>
              </w:rPr>
            </w:pPr>
            <w:r>
              <w:rPr>
                <w:rFonts w:eastAsia="宋体"/>
                <w:sz w:val="24"/>
                <w:szCs w:val="24"/>
              </w:rPr>
              <w:t>3.</w:t>
            </w:r>
          </w:p>
        </w:tc>
        <w:tc>
          <w:tcPr>
            <w:tcW w:w="1379" w:type="dxa"/>
          </w:tcPr>
          <w:p>
            <w:pPr>
              <w:pStyle w:val="12"/>
              <w:spacing w:before="129"/>
              <w:ind w:left="295" w:right="283"/>
              <w:jc w:val="center"/>
              <w:rPr>
                <w:rFonts w:eastAsia="宋体"/>
                <w:sz w:val="24"/>
                <w:szCs w:val="24"/>
              </w:rPr>
            </w:pPr>
            <w:r>
              <w:rPr>
                <w:rFonts w:eastAsia="宋体"/>
                <w:spacing w:val="-4"/>
                <w:sz w:val="24"/>
                <w:szCs w:val="24"/>
              </w:rPr>
              <w:t>5.77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shd w:val="clear" w:color="auto" w:fill="D9E1F3"/>
          </w:tcPr>
          <w:p>
            <w:pPr>
              <w:pStyle w:val="12"/>
              <w:spacing w:before="129"/>
              <w:ind w:left="4"/>
              <w:rPr>
                <w:rFonts w:eastAsia="宋体"/>
                <w:b/>
                <w:sz w:val="24"/>
                <w:szCs w:val="24"/>
              </w:rPr>
            </w:pPr>
            <w:r>
              <w:rPr>
                <w:rFonts w:eastAsia="宋体"/>
                <w:b/>
                <w:spacing w:val="-5"/>
                <w:sz w:val="24"/>
                <w:szCs w:val="24"/>
              </w:rPr>
              <w:t>1.2</w:t>
            </w:r>
          </w:p>
        </w:tc>
        <w:tc>
          <w:tcPr>
            <w:tcW w:w="3009" w:type="dxa"/>
            <w:shd w:val="clear" w:color="auto" w:fill="D9E1F3"/>
          </w:tcPr>
          <w:p>
            <w:pPr>
              <w:pStyle w:val="12"/>
              <w:spacing w:before="26"/>
              <w:ind w:left="7" w:right="99"/>
              <w:rPr>
                <w:rFonts w:eastAsia="宋体"/>
                <w:b/>
                <w:sz w:val="24"/>
                <w:szCs w:val="24"/>
                <w:lang w:eastAsia="zh-CN"/>
              </w:rPr>
            </w:pPr>
            <w:r>
              <w:rPr>
                <w:rFonts w:eastAsia="宋体"/>
                <w:b/>
                <w:sz w:val="24"/>
                <w:szCs w:val="24"/>
                <w:lang w:eastAsia="zh-CN"/>
              </w:rPr>
              <w:t>对担保交易的良好监管措施</w:t>
            </w:r>
          </w:p>
        </w:tc>
        <w:tc>
          <w:tcPr>
            <w:tcW w:w="776" w:type="dxa"/>
            <w:shd w:val="clear" w:color="auto" w:fill="D9E1F3"/>
          </w:tcPr>
          <w:p>
            <w:pPr>
              <w:pStyle w:val="12"/>
              <w:spacing w:before="129"/>
              <w:ind w:left="9"/>
              <w:jc w:val="center"/>
              <w:rPr>
                <w:rFonts w:eastAsia="宋体"/>
                <w:b/>
                <w:sz w:val="24"/>
                <w:szCs w:val="24"/>
              </w:rPr>
            </w:pPr>
            <w:r>
              <w:rPr>
                <w:rFonts w:eastAsia="宋体"/>
                <w:b/>
                <w:sz w:val="24"/>
                <w:szCs w:val="24"/>
              </w:rPr>
              <w:t>7</w:t>
            </w:r>
          </w:p>
        </w:tc>
        <w:tc>
          <w:tcPr>
            <w:tcW w:w="931" w:type="dxa"/>
            <w:shd w:val="clear" w:color="auto" w:fill="D9E1F3"/>
          </w:tcPr>
          <w:p>
            <w:pPr>
              <w:pStyle w:val="12"/>
              <w:spacing w:before="129"/>
              <w:ind w:left="10"/>
              <w:jc w:val="center"/>
              <w:rPr>
                <w:rFonts w:eastAsia="宋体"/>
                <w:b/>
                <w:sz w:val="24"/>
                <w:szCs w:val="24"/>
              </w:rPr>
            </w:pPr>
            <w:r>
              <w:rPr>
                <w:rFonts w:eastAsia="宋体"/>
                <w:b/>
                <w:sz w:val="24"/>
                <w:szCs w:val="24"/>
              </w:rPr>
              <w:t>7</w:t>
            </w:r>
          </w:p>
        </w:tc>
        <w:tc>
          <w:tcPr>
            <w:tcW w:w="1086" w:type="dxa"/>
            <w:shd w:val="clear" w:color="auto" w:fill="D9E1F3"/>
          </w:tcPr>
          <w:p>
            <w:pPr>
              <w:pStyle w:val="12"/>
              <w:spacing w:before="129"/>
              <w:ind w:left="9"/>
              <w:jc w:val="center"/>
              <w:rPr>
                <w:rFonts w:eastAsia="宋体"/>
                <w:b/>
                <w:sz w:val="24"/>
                <w:szCs w:val="24"/>
              </w:rPr>
            </w:pPr>
            <w:r>
              <w:rPr>
                <w:rFonts w:eastAsia="宋体"/>
                <w:b/>
                <w:sz w:val="24"/>
                <w:szCs w:val="24"/>
              </w:rPr>
              <w:t>7</w:t>
            </w:r>
          </w:p>
        </w:tc>
        <w:tc>
          <w:tcPr>
            <w:tcW w:w="793" w:type="dxa"/>
            <w:shd w:val="clear" w:color="auto" w:fill="D9E1F3"/>
          </w:tcPr>
          <w:p>
            <w:pPr>
              <w:pStyle w:val="12"/>
              <w:spacing w:before="129"/>
              <w:ind w:left="20" w:right="6"/>
              <w:jc w:val="center"/>
              <w:rPr>
                <w:rFonts w:eastAsia="宋体"/>
                <w:b/>
                <w:sz w:val="24"/>
                <w:szCs w:val="24"/>
              </w:rPr>
            </w:pPr>
            <w:r>
              <w:rPr>
                <w:rFonts w:eastAsia="宋体"/>
                <w:b/>
                <w:spacing w:val="-5"/>
                <w:sz w:val="24"/>
                <w:szCs w:val="24"/>
              </w:rPr>
              <w:t>14</w:t>
            </w:r>
          </w:p>
        </w:tc>
        <w:tc>
          <w:tcPr>
            <w:tcW w:w="1379" w:type="dxa"/>
            <w:shd w:val="clear" w:color="auto" w:fill="D9E1F3"/>
          </w:tcPr>
          <w:p>
            <w:pPr>
              <w:pStyle w:val="12"/>
              <w:spacing w:before="129"/>
              <w:ind w:left="295" w:right="283"/>
              <w:jc w:val="center"/>
              <w:rPr>
                <w:rFonts w:eastAsia="宋体"/>
                <w:b/>
                <w:sz w:val="24"/>
                <w:szCs w:val="24"/>
              </w:rPr>
            </w:pPr>
            <w:r>
              <w:rPr>
                <w:rFonts w:eastAsia="宋体"/>
                <w:b/>
                <w:spacing w:val="-2"/>
                <w:sz w:val="24"/>
                <w:szCs w:val="24"/>
              </w:rPr>
              <w:t>26.92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619" w:type="dxa"/>
          </w:tcPr>
          <w:p>
            <w:pPr>
              <w:pStyle w:val="12"/>
              <w:spacing w:before="105"/>
              <w:ind w:left="4"/>
              <w:rPr>
                <w:rFonts w:eastAsia="宋体"/>
                <w:sz w:val="24"/>
                <w:szCs w:val="24"/>
              </w:rPr>
            </w:pPr>
            <w:r>
              <w:rPr>
                <w:rFonts w:eastAsia="宋体"/>
                <w:spacing w:val="-2"/>
                <w:sz w:val="24"/>
                <w:szCs w:val="24"/>
              </w:rPr>
              <w:t>1.2.1 "</w:t>
            </w:r>
          </w:p>
        </w:tc>
        <w:tc>
          <w:tcPr>
            <w:tcW w:w="3009" w:type="dxa"/>
          </w:tcPr>
          <w:p>
            <w:pPr>
              <w:pStyle w:val="12"/>
              <w:ind w:left="7" w:right="99"/>
              <w:rPr>
                <w:rFonts w:eastAsia="宋体"/>
                <w:sz w:val="24"/>
                <w:szCs w:val="24"/>
                <w:lang w:eastAsia="zh-CN"/>
              </w:rPr>
            </w:pPr>
            <w:r>
              <w:rPr>
                <w:rFonts w:eastAsia="宋体"/>
                <w:sz w:val="24"/>
                <w:szCs w:val="24"/>
                <w:lang w:eastAsia="zh-CN"/>
              </w:rPr>
              <w:t>担保交易的统一法律框架</w:t>
            </w:r>
          </w:p>
        </w:tc>
        <w:tc>
          <w:tcPr>
            <w:tcW w:w="776" w:type="dxa"/>
          </w:tcPr>
          <w:p>
            <w:pPr>
              <w:pStyle w:val="12"/>
              <w:spacing w:before="105"/>
              <w:ind w:left="9"/>
              <w:jc w:val="center"/>
              <w:rPr>
                <w:rFonts w:eastAsia="宋体"/>
                <w:sz w:val="24"/>
                <w:szCs w:val="24"/>
              </w:rPr>
            </w:pPr>
            <w:r>
              <w:rPr>
                <w:rFonts w:eastAsia="宋体"/>
                <w:sz w:val="24"/>
                <w:szCs w:val="24"/>
              </w:rPr>
              <w:t>1</w:t>
            </w:r>
          </w:p>
        </w:tc>
        <w:tc>
          <w:tcPr>
            <w:tcW w:w="931" w:type="dxa"/>
          </w:tcPr>
          <w:p>
            <w:pPr>
              <w:pStyle w:val="12"/>
              <w:spacing w:before="105"/>
              <w:ind w:left="10"/>
              <w:jc w:val="center"/>
              <w:rPr>
                <w:rFonts w:eastAsia="宋体"/>
                <w:sz w:val="24"/>
                <w:szCs w:val="24"/>
              </w:rPr>
            </w:pPr>
            <w:r>
              <w:rPr>
                <w:rFonts w:eastAsia="宋体"/>
                <w:sz w:val="24"/>
                <w:szCs w:val="24"/>
              </w:rPr>
              <w:t>1</w:t>
            </w:r>
          </w:p>
        </w:tc>
        <w:tc>
          <w:tcPr>
            <w:tcW w:w="1086" w:type="dxa"/>
          </w:tcPr>
          <w:p>
            <w:pPr>
              <w:pStyle w:val="12"/>
              <w:spacing w:before="105"/>
              <w:ind w:left="9"/>
              <w:jc w:val="center"/>
              <w:rPr>
                <w:rFonts w:eastAsia="宋体"/>
                <w:sz w:val="24"/>
                <w:szCs w:val="24"/>
              </w:rPr>
            </w:pPr>
            <w:r>
              <w:rPr>
                <w:rFonts w:eastAsia="宋体"/>
                <w:sz w:val="24"/>
                <w:szCs w:val="24"/>
              </w:rPr>
              <w:t>1</w:t>
            </w:r>
          </w:p>
        </w:tc>
        <w:tc>
          <w:tcPr>
            <w:tcW w:w="793" w:type="dxa"/>
          </w:tcPr>
          <w:p>
            <w:pPr>
              <w:pStyle w:val="12"/>
              <w:spacing w:before="105"/>
              <w:ind w:left="13"/>
              <w:jc w:val="center"/>
              <w:rPr>
                <w:rFonts w:eastAsia="宋体"/>
                <w:sz w:val="24"/>
                <w:szCs w:val="24"/>
              </w:rPr>
            </w:pPr>
            <w:r>
              <w:rPr>
                <w:rFonts w:eastAsia="宋体"/>
                <w:sz w:val="24"/>
                <w:szCs w:val="24"/>
              </w:rPr>
              <w:t>2</w:t>
            </w:r>
          </w:p>
        </w:tc>
        <w:tc>
          <w:tcPr>
            <w:tcW w:w="1379" w:type="dxa"/>
          </w:tcPr>
          <w:p>
            <w:pPr>
              <w:pStyle w:val="12"/>
              <w:spacing w:before="105"/>
              <w:ind w:left="295" w:right="283"/>
              <w:jc w:val="center"/>
              <w:rPr>
                <w:rFonts w:eastAsia="宋体"/>
                <w:sz w:val="24"/>
                <w:szCs w:val="24"/>
              </w:rPr>
            </w:pPr>
            <w:r>
              <w:rPr>
                <w:rFonts w:eastAsia="宋体"/>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hRule="atLeast"/>
        </w:trPr>
        <w:tc>
          <w:tcPr>
            <w:tcW w:w="619" w:type="dxa"/>
          </w:tcPr>
          <w:p>
            <w:pPr>
              <w:pStyle w:val="12"/>
              <w:spacing w:before="103"/>
              <w:ind w:left="4"/>
              <w:rPr>
                <w:rFonts w:eastAsia="宋体"/>
                <w:sz w:val="24"/>
                <w:szCs w:val="24"/>
              </w:rPr>
            </w:pPr>
            <w:r>
              <w:rPr>
                <w:rFonts w:eastAsia="宋体"/>
                <w:spacing w:val="-2"/>
                <w:sz w:val="24"/>
                <w:szCs w:val="24"/>
              </w:rPr>
              <w:t>1.2.2</w:t>
            </w:r>
          </w:p>
        </w:tc>
        <w:tc>
          <w:tcPr>
            <w:tcW w:w="3009" w:type="dxa"/>
          </w:tcPr>
          <w:p>
            <w:pPr>
              <w:pStyle w:val="12"/>
              <w:ind w:left="7"/>
              <w:rPr>
                <w:rFonts w:eastAsia="宋体"/>
                <w:sz w:val="24"/>
                <w:szCs w:val="24"/>
                <w:lang w:eastAsia="zh-CN"/>
              </w:rPr>
            </w:pPr>
            <w:r>
              <w:rPr>
                <w:rFonts w:eastAsia="宋体"/>
                <w:sz w:val="24"/>
                <w:szCs w:val="24"/>
                <w:lang w:eastAsia="zh-CN"/>
              </w:rPr>
              <w:t>可担保的动产、债务和义务类型</w:t>
            </w:r>
          </w:p>
        </w:tc>
        <w:tc>
          <w:tcPr>
            <w:tcW w:w="776" w:type="dxa"/>
          </w:tcPr>
          <w:p>
            <w:pPr>
              <w:pStyle w:val="12"/>
              <w:spacing w:before="103"/>
              <w:ind w:left="9"/>
              <w:jc w:val="center"/>
              <w:rPr>
                <w:rFonts w:eastAsia="宋体"/>
                <w:sz w:val="24"/>
                <w:szCs w:val="24"/>
              </w:rPr>
            </w:pPr>
            <w:r>
              <w:rPr>
                <w:rFonts w:eastAsia="宋体"/>
                <w:sz w:val="24"/>
                <w:szCs w:val="24"/>
              </w:rPr>
              <w:t>4</w:t>
            </w:r>
          </w:p>
        </w:tc>
        <w:tc>
          <w:tcPr>
            <w:tcW w:w="931" w:type="dxa"/>
          </w:tcPr>
          <w:p>
            <w:pPr>
              <w:pStyle w:val="12"/>
              <w:spacing w:before="103"/>
              <w:ind w:left="10"/>
              <w:jc w:val="center"/>
              <w:rPr>
                <w:rFonts w:eastAsia="宋体"/>
                <w:sz w:val="24"/>
                <w:szCs w:val="24"/>
              </w:rPr>
            </w:pPr>
            <w:r>
              <w:rPr>
                <w:rFonts w:eastAsia="宋体"/>
                <w:sz w:val="24"/>
                <w:szCs w:val="24"/>
              </w:rPr>
              <w:t>4</w:t>
            </w:r>
          </w:p>
        </w:tc>
        <w:tc>
          <w:tcPr>
            <w:tcW w:w="1086" w:type="dxa"/>
          </w:tcPr>
          <w:p>
            <w:pPr>
              <w:pStyle w:val="12"/>
              <w:spacing w:before="103"/>
              <w:ind w:left="9"/>
              <w:jc w:val="center"/>
              <w:rPr>
                <w:rFonts w:eastAsia="宋体"/>
                <w:sz w:val="24"/>
                <w:szCs w:val="24"/>
              </w:rPr>
            </w:pPr>
            <w:r>
              <w:rPr>
                <w:rFonts w:eastAsia="宋体"/>
                <w:sz w:val="24"/>
                <w:szCs w:val="24"/>
              </w:rPr>
              <w:t>4</w:t>
            </w:r>
          </w:p>
        </w:tc>
        <w:tc>
          <w:tcPr>
            <w:tcW w:w="793" w:type="dxa"/>
          </w:tcPr>
          <w:p>
            <w:pPr>
              <w:pStyle w:val="12"/>
              <w:spacing w:before="103"/>
              <w:ind w:left="13"/>
              <w:jc w:val="center"/>
              <w:rPr>
                <w:rFonts w:eastAsia="宋体"/>
                <w:sz w:val="24"/>
                <w:szCs w:val="24"/>
              </w:rPr>
            </w:pPr>
            <w:r>
              <w:rPr>
                <w:rFonts w:eastAsia="宋体"/>
                <w:sz w:val="24"/>
                <w:szCs w:val="24"/>
              </w:rPr>
              <w:t>8</w:t>
            </w:r>
          </w:p>
        </w:tc>
        <w:tc>
          <w:tcPr>
            <w:tcW w:w="1379" w:type="dxa"/>
          </w:tcPr>
          <w:p>
            <w:pPr>
              <w:pStyle w:val="12"/>
              <w:spacing w:before="103"/>
              <w:ind w:left="295" w:right="283"/>
              <w:jc w:val="center"/>
              <w:rPr>
                <w:rFonts w:eastAsia="宋体"/>
                <w:sz w:val="24"/>
                <w:szCs w:val="24"/>
              </w:rPr>
            </w:pPr>
            <w:r>
              <w:rPr>
                <w:rFonts w:eastAsia="宋体"/>
                <w:spacing w:val="-2"/>
                <w:sz w:val="24"/>
                <w:szCs w:val="24"/>
              </w:rPr>
              <w:t>15.38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5" w:hRule="atLeast"/>
        </w:trPr>
        <w:tc>
          <w:tcPr>
            <w:tcW w:w="619" w:type="dxa"/>
          </w:tcPr>
          <w:p>
            <w:pPr>
              <w:pStyle w:val="12"/>
              <w:ind w:left="4"/>
              <w:rPr>
                <w:rFonts w:eastAsia="宋体"/>
                <w:sz w:val="24"/>
                <w:szCs w:val="24"/>
              </w:rPr>
            </w:pPr>
            <w:r>
              <w:rPr>
                <w:rFonts w:eastAsia="宋体"/>
                <w:spacing w:val="-2"/>
                <w:sz w:val="24"/>
                <w:szCs w:val="24"/>
              </w:rPr>
              <w:t>1.2.3</w:t>
            </w:r>
          </w:p>
        </w:tc>
        <w:tc>
          <w:tcPr>
            <w:tcW w:w="3009" w:type="dxa"/>
          </w:tcPr>
          <w:p>
            <w:pPr>
              <w:pStyle w:val="12"/>
              <w:ind w:left="7"/>
              <w:rPr>
                <w:rFonts w:eastAsia="宋体"/>
                <w:sz w:val="24"/>
                <w:szCs w:val="24"/>
              </w:rPr>
            </w:pPr>
            <w:r>
              <w:rPr>
                <w:rFonts w:eastAsia="宋体"/>
                <w:spacing w:val="-2"/>
                <w:sz w:val="24"/>
                <w:szCs w:val="24"/>
              </w:rPr>
              <w:t>优先级/执行</w:t>
            </w:r>
          </w:p>
        </w:tc>
        <w:tc>
          <w:tcPr>
            <w:tcW w:w="776" w:type="dxa"/>
          </w:tcPr>
          <w:p>
            <w:pPr>
              <w:pStyle w:val="12"/>
              <w:ind w:left="9"/>
              <w:jc w:val="center"/>
              <w:rPr>
                <w:rFonts w:eastAsia="宋体"/>
                <w:sz w:val="24"/>
                <w:szCs w:val="24"/>
              </w:rPr>
            </w:pPr>
            <w:r>
              <w:rPr>
                <w:rFonts w:eastAsia="宋体"/>
                <w:sz w:val="24"/>
                <w:szCs w:val="24"/>
              </w:rPr>
              <w:t>2</w:t>
            </w:r>
          </w:p>
        </w:tc>
        <w:tc>
          <w:tcPr>
            <w:tcW w:w="931" w:type="dxa"/>
          </w:tcPr>
          <w:p>
            <w:pPr>
              <w:pStyle w:val="12"/>
              <w:ind w:left="10"/>
              <w:jc w:val="center"/>
              <w:rPr>
                <w:rFonts w:eastAsia="宋体"/>
                <w:sz w:val="24"/>
                <w:szCs w:val="24"/>
              </w:rPr>
            </w:pPr>
            <w:r>
              <w:rPr>
                <w:rFonts w:eastAsia="宋体"/>
                <w:sz w:val="24"/>
                <w:szCs w:val="24"/>
              </w:rPr>
              <w:t>2</w:t>
            </w:r>
          </w:p>
        </w:tc>
        <w:tc>
          <w:tcPr>
            <w:tcW w:w="1086" w:type="dxa"/>
          </w:tcPr>
          <w:p>
            <w:pPr>
              <w:pStyle w:val="12"/>
              <w:ind w:left="9"/>
              <w:jc w:val="center"/>
              <w:rPr>
                <w:rFonts w:eastAsia="宋体"/>
                <w:sz w:val="24"/>
                <w:szCs w:val="24"/>
              </w:rPr>
            </w:pPr>
            <w:r>
              <w:rPr>
                <w:rFonts w:eastAsia="宋体"/>
                <w:sz w:val="24"/>
                <w:szCs w:val="24"/>
              </w:rPr>
              <w:t>2</w:t>
            </w:r>
          </w:p>
        </w:tc>
        <w:tc>
          <w:tcPr>
            <w:tcW w:w="793" w:type="dxa"/>
          </w:tcPr>
          <w:p>
            <w:pPr>
              <w:pStyle w:val="12"/>
              <w:ind w:left="13"/>
              <w:jc w:val="center"/>
              <w:rPr>
                <w:rFonts w:eastAsia="宋体"/>
                <w:sz w:val="24"/>
                <w:szCs w:val="24"/>
              </w:rPr>
            </w:pPr>
            <w:r>
              <w:rPr>
                <w:rFonts w:eastAsia="宋体"/>
                <w:sz w:val="24"/>
                <w:szCs w:val="24"/>
              </w:rPr>
              <w:t>4</w:t>
            </w:r>
          </w:p>
        </w:tc>
        <w:tc>
          <w:tcPr>
            <w:tcW w:w="1379" w:type="dxa"/>
          </w:tcPr>
          <w:p>
            <w:pPr>
              <w:pStyle w:val="12"/>
              <w:ind w:left="295" w:right="283"/>
              <w:jc w:val="center"/>
              <w:rPr>
                <w:rFonts w:eastAsia="宋体"/>
                <w:sz w:val="24"/>
                <w:szCs w:val="24"/>
              </w:rPr>
            </w:pPr>
            <w:r>
              <w:rPr>
                <w:rFonts w:eastAsia="宋体"/>
                <w:spacing w:val="-4"/>
                <w:sz w:val="24"/>
                <w:szCs w:val="24"/>
              </w:rPr>
              <w:t>7.69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2" w:hRule="atLeast"/>
        </w:trPr>
        <w:tc>
          <w:tcPr>
            <w:tcW w:w="619" w:type="dxa"/>
            <w:shd w:val="clear" w:color="auto" w:fill="D9E1F3"/>
          </w:tcPr>
          <w:p>
            <w:pPr>
              <w:pStyle w:val="12"/>
              <w:spacing w:before="129"/>
              <w:ind w:left="4"/>
              <w:rPr>
                <w:rFonts w:eastAsia="宋体"/>
                <w:b/>
                <w:sz w:val="24"/>
                <w:szCs w:val="24"/>
              </w:rPr>
            </w:pPr>
            <w:r>
              <w:rPr>
                <w:rFonts w:eastAsia="宋体"/>
                <w:b/>
                <w:spacing w:val="-5"/>
                <w:sz w:val="24"/>
                <w:szCs w:val="24"/>
              </w:rPr>
              <w:t>1.3</w:t>
            </w:r>
          </w:p>
        </w:tc>
        <w:tc>
          <w:tcPr>
            <w:tcW w:w="3009" w:type="dxa"/>
            <w:shd w:val="clear" w:color="auto" w:fill="D9E1F3"/>
          </w:tcPr>
          <w:p>
            <w:pPr>
              <w:pStyle w:val="12"/>
              <w:spacing w:before="129"/>
              <w:ind w:left="7"/>
              <w:rPr>
                <w:rFonts w:eastAsia="宋体"/>
                <w:b/>
                <w:sz w:val="24"/>
                <w:szCs w:val="24"/>
                <w:lang w:eastAsia="zh-CN"/>
              </w:rPr>
            </w:pPr>
            <w:r>
              <w:rPr>
                <w:rFonts w:eastAsia="宋体"/>
                <w:b/>
                <w:sz w:val="24"/>
                <w:szCs w:val="24"/>
                <w:lang w:eastAsia="zh-CN"/>
              </w:rPr>
              <w:t>电子支付的良好规管措施</w:t>
            </w:r>
          </w:p>
        </w:tc>
        <w:tc>
          <w:tcPr>
            <w:tcW w:w="776" w:type="dxa"/>
            <w:shd w:val="clear" w:color="auto" w:fill="D9E1F3"/>
          </w:tcPr>
          <w:p>
            <w:pPr>
              <w:pStyle w:val="12"/>
              <w:spacing w:before="129"/>
              <w:ind w:left="18" w:right="8"/>
              <w:jc w:val="center"/>
              <w:rPr>
                <w:rFonts w:eastAsia="宋体"/>
                <w:b/>
                <w:sz w:val="24"/>
                <w:szCs w:val="24"/>
              </w:rPr>
            </w:pPr>
            <w:r>
              <w:rPr>
                <w:rFonts w:eastAsia="宋体"/>
                <w:b/>
                <w:spacing w:val="-5"/>
                <w:sz w:val="24"/>
                <w:szCs w:val="24"/>
              </w:rPr>
              <w:t>12</w:t>
            </w:r>
          </w:p>
        </w:tc>
        <w:tc>
          <w:tcPr>
            <w:tcW w:w="931" w:type="dxa"/>
            <w:shd w:val="clear" w:color="auto" w:fill="D9E1F3"/>
          </w:tcPr>
          <w:p>
            <w:pPr>
              <w:pStyle w:val="12"/>
              <w:spacing w:before="129"/>
              <w:ind w:left="19" w:right="8"/>
              <w:jc w:val="center"/>
              <w:rPr>
                <w:rFonts w:eastAsia="宋体"/>
                <w:b/>
                <w:sz w:val="24"/>
                <w:szCs w:val="24"/>
              </w:rPr>
            </w:pPr>
            <w:r>
              <w:rPr>
                <w:rFonts w:eastAsia="宋体"/>
                <w:b/>
                <w:spacing w:val="-5"/>
                <w:sz w:val="24"/>
                <w:szCs w:val="24"/>
              </w:rPr>
              <w:t>12</w:t>
            </w:r>
          </w:p>
        </w:tc>
        <w:tc>
          <w:tcPr>
            <w:tcW w:w="1086" w:type="dxa"/>
            <w:shd w:val="clear" w:color="auto" w:fill="D9E1F3"/>
          </w:tcPr>
          <w:p>
            <w:pPr>
              <w:pStyle w:val="12"/>
              <w:spacing w:before="129"/>
              <w:ind w:left="293" w:right="283"/>
              <w:jc w:val="center"/>
              <w:rPr>
                <w:rFonts w:eastAsia="宋体"/>
                <w:b/>
                <w:sz w:val="24"/>
                <w:szCs w:val="24"/>
              </w:rPr>
            </w:pPr>
            <w:r>
              <w:rPr>
                <w:rFonts w:eastAsia="宋体"/>
                <w:b/>
                <w:spacing w:val="-5"/>
                <w:sz w:val="24"/>
                <w:szCs w:val="24"/>
              </w:rPr>
              <w:t>12</w:t>
            </w:r>
          </w:p>
        </w:tc>
        <w:tc>
          <w:tcPr>
            <w:tcW w:w="793" w:type="dxa"/>
            <w:shd w:val="clear" w:color="auto" w:fill="D9E1F3"/>
          </w:tcPr>
          <w:p>
            <w:pPr>
              <w:pStyle w:val="12"/>
              <w:spacing w:before="129"/>
              <w:ind w:left="20" w:right="6"/>
              <w:jc w:val="center"/>
              <w:rPr>
                <w:rFonts w:eastAsia="宋体"/>
                <w:b/>
                <w:sz w:val="24"/>
                <w:szCs w:val="24"/>
              </w:rPr>
            </w:pPr>
            <w:r>
              <w:rPr>
                <w:rFonts w:eastAsia="宋体"/>
                <w:b/>
                <w:spacing w:val="-5"/>
                <w:sz w:val="24"/>
                <w:szCs w:val="24"/>
              </w:rPr>
              <w:t>24</w:t>
            </w:r>
          </w:p>
        </w:tc>
        <w:tc>
          <w:tcPr>
            <w:tcW w:w="1379" w:type="dxa"/>
            <w:shd w:val="clear" w:color="auto" w:fill="D9E1F3"/>
          </w:tcPr>
          <w:p>
            <w:pPr>
              <w:pStyle w:val="12"/>
              <w:spacing w:before="129"/>
              <w:ind w:left="295" w:right="283"/>
              <w:jc w:val="center"/>
              <w:rPr>
                <w:rFonts w:eastAsia="宋体"/>
                <w:b/>
                <w:sz w:val="24"/>
                <w:szCs w:val="24"/>
              </w:rPr>
            </w:pPr>
            <w:r>
              <w:rPr>
                <w:rFonts w:eastAsia="宋体"/>
                <w:b/>
                <w:spacing w:val="-2"/>
                <w:sz w:val="24"/>
                <w:szCs w:val="24"/>
              </w:rPr>
              <w:t>46.15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2" w:hRule="atLeast"/>
        </w:trPr>
        <w:tc>
          <w:tcPr>
            <w:tcW w:w="619" w:type="dxa"/>
          </w:tcPr>
          <w:p>
            <w:pPr>
              <w:pStyle w:val="12"/>
              <w:spacing w:before="129"/>
              <w:ind w:left="4"/>
              <w:rPr>
                <w:rFonts w:eastAsia="宋体"/>
                <w:sz w:val="24"/>
                <w:szCs w:val="24"/>
              </w:rPr>
            </w:pPr>
            <w:r>
              <w:rPr>
                <w:rFonts w:eastAsia="宋体"/>
                <w:spacing w:val="-2"/>
                <w:sz w:val="24"/>
                <w:szCs w:val="24"/>
              </w:rPr>
              <w:t>1.3.1</w:t>
            </w:r>
          </w:p>
        </w:tc>
        <w:tc>
          <w:tcPr>
            <w:tcW w:w="3009" w:type="dxa"/>
          </w:tcPr>
          <w:p>
            <w:pPr>
              <w:pStyle w:val="12"/>
              <w:spacing w:before="129"/>
              <w:ind w:left="7"/>
              <w:rPr>
                <w:rFonts w:eastAsia="宋体"/>
                <w:sz w:val="24"/>
                <w:szCs w:val="24"/>
              </w:rPr>
            </w:pPr>
            <w:r>
              <w:rPr>
                <w:rFonts w:eastAsia="宋体"/>
                <w:sz w:val="24"/>
                <w:szCs w:val="24"/>
              </w:rPr>
              <w:t>风险管理</w:t>
            </w:r>
          </w:p>
        </w:tc>
        <w:tc>
          <w:tcPr>
            <w:tcW w:w="776" w:type="dxa"/>
          </w:tcPr>
          <w:p>
            <w:pPr>
              <w:pStyle w:val="12"/>
              <w:spacing w:before="129"/>
              <w:ind w:left="9"/>
              <w:jc w:val="center"/>
              <w:rPr>
                <w:rFonts w:eastAsia="宋体"/>
                <w:sz w:val="24"/>
                <w:szCs w:val="24"/>
              </w:rPr>
            </w:pPr>
            <w:r>
              <w:rPr>
                <w:rFonts w:eastAsia="宋体"/>
                <w:sz w:val="24"/>
                <w:szCs w:val="24"/>
              </w:rPr>
              <w:t>3.</w:t>
            </w:r>
          </w:p>
        </w:tc>
        <w:tc>
          <w:tcPr>
            <w:tcW w:w="931" w:type="dxa"/>
          </w:tcPr>
          <w:p>
            <w:pPr>
              <w:pStyle w:val="12"/>
              <w:spacing w:before="129"/>
              <w:ind w:left="10"/>
              <w:jc w:val="center"/>
              <w:rPr>
                <w:rFonts w:eastAsia="宋体"/>
                <w:sz w:val="24"/>
                <w:szCs w:val="24"/>
              </w:rPr>
            </w:pPr>
            <w:r>
              <w:rPr>
                <w:rFonts w:eastAsia="宋体"/>
                <w:sz w:val="24"/>
                <w:szCs w:val="24"/>
              </w:rPr>
              <w:t>3.</w:t>
            </w:r>
          </w:p>
        </w:tc>
        <w:tc>
          <w:tcPr>
            <w:tcW w:w="1086" w:type="dxa"/>
          </w:tcPr>
          <w:p>
            <w:pPr>
              <w:pStyle w:val="12"/>
              <w:spacing w:before="129"/>
              <w:ind w:left="9"/>
              <w:jc w:val="center"/>
              <w:rPr>
                <w:rFonts w:eastAsia="宋体"/>
                <w:sz w:val="24"/>
                <w:szCs w:val="24"/>
              </w:rPr>
            </w:pPr>
            <w:r>
              <w:rPr>
                <w:rFonts w:eastAsia="宋体"/>
                <w:sz w:val="24"/>
                <w:szCs w:val="24"/>
              </w:rPr>
              <w:t>3.</w:t>
            </w:r>
          </w:p>
        </w:tc>
        <w:tc>
          <w:tcPr>
            <w:tcW w:w="793" w:type="dxa"/>
          </w:tcPr>
          <w:p>
            <w:pPr>
              <w:pStyle w:val="12"/>
              <w:spacing w:before="129"/>
              <w:ind w:left="13"/>
              <w:jc w:val="center"/>
              <w:rPr>
                <w:rFonts w:eastAsia="宋体"/>
                <w:sz w:val="24"/>
                <w:szCs w:val="24"/>
              </w:rPr>
            </w:pPr>
            <w:r>
              <w:rPr>
                <w:rFonts w:eastAsia="宋体"/>
                <w:sz w:val="24"/>
                <w:szCs w:val="24"/>
              </w:rPr>
              <w:t>6</w:t>
            </w:r>
          </w:p>
        </w:tc>
        <w:tc>
          <w:tcPr>
            <w:tcW w:w="1379" w:type="dxa"/>
          </w:tcPr>
          <w:p>
            <w:pPr>
              <w:pStyle w:val="12"/>
              <w:spacing w:before="129"/>
              <w:ind w:right="283"/>
              <w:jc w:val="center"/>
              <w:rPr>
                <w:rFonts w:eastAsia="宋体"/>
                <w:sz w:val="24"/>
                <w:szCs w:val="24"/>
              </w:rPr>
            </w:pPr>
            <w:r>
              <w:rPr>
                <w:rFonts w:eastAsia="宋体"/>
                <w:spacing w:val="-2"/>
                <w:sz w:val="24"/>
                <w:szCs w:val="24"/>
              </w:rPr>
              <w:t>11.54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12"/>
              <w:spacing w:before="129"/>
              <w:ind w:left="4"/>
              <w:rPr>
                <w:rFonts w:eastAsia="宋体"/>
                <w:sz w:val="24"/>
                <w:szCs w:val="24"/>
              </w:rPr>
            </w:pPr>
            <w:r>
              <w:rPr>
                <w:rFonts w:eastAsia="宋体"/>
                <w:spacing w:val="-2"/>
                <w:sz w:val="24"/>
                <w:szCs w:val="24"/>
              </w:rPr>
              <w:t>1.3.2</w:t>
            </w:r>
          </w:p>
        </w:tc>
        <w:tc>
          <w:tcPr>
            <w:tcW w:w="3009" w:type="dxa"/>
          </w:tcPr>
          <w:p>
            <w:pPr>
              <w:pStyle w:val="12"/>
              <w:spacing w:before="129"/>
              <w:ind w:left="7"/>
              <w:rPr>
                <w:rFonts w:eastAsia="宋体"/>
                <w:sz w:val="24"/>
                <w:szCs w:val="24"/>
              </w:rPr>
            </w:pPr>
            <w:r>
              <w:rPr>
                <w:rFonts w:eastAsia="宋体"/>
                <w:sz w:val="24"/>
                <w:szCs w:val="24"/>
              </w:rPr>
              <w:t>客户资金的保护</w:t>
            </w:r>
          </w:p>
        </w:tc>
        <w:tc>
          <w:tcPr>
            <w:tcW w:w="776" w:type="dxa"/>
          </w:tcPr>
          <w:p>
            <w:pPr>
              <w:pStyle w:val="12"/>
              <w:spacing w:before="129"/>
              <w:ind w:left="9"/>
              <w:jc w:val="center"/>
              <w:rPr>
                <w:rFonts w:eastAsia="宋体"/>
                <w:sz w:val="24"/>
                <w:szCs w:val="24"/>
              </w:rPr>
            </w:pPr>
            <w:r>
              <w:rPr>
                <w:rFonts w:eastAsia="宋体"/>
                <w:sz w:val="24"/>
                <w:szCs w:val="24"/>
              </w:rPr>
              <w:t>2</w:t>
            </w:r>
          </w:p>
        </w:tc>
        <w:tc>
          <w:tcPr>
            <w:tcW w:w="931" w:type="dxa"/>
          </w:tcPr>
          <w:p>
            <w:pPr>
              <w:pStyle w:val="12"/>
              <w:spacing w:before="129"/>
              <w:ind w:left="10"/>
              <w:jc w:val="center"/>
              <w:rPr>
                <w:rFonts w:eastAsia="宋体"/>
                <w:sz w:val="24"/>
                <w:szCs w:val="24"/>
              </w:rPr>
            </w:pPr>
            <w:r>
              <w:rPr>
                <w:rFonts w:eastAsia="宋体"/>
                <w:sz w:val="24"/>
                <w:szCs w:val="24"/>
              </w:rPr>
              <w:t>2</w:t>
            </w:r>
          </w:p>
        </w:tc>
        <w:tc>
          <w:tcPr>
            <w:tcW w:w="1086" w:type="dxa"/>
          </w:tcPr>
          <w:p>
            <w:pPr>
              <w:pStyle w:val="12"/>
              <w:spacing w:before="129"/>
              <w:ind w:left="9"/>
              <w:jc w:val="center"/>
              <w:rPr>
                <w:rFonts w:eastAsia="宋体"/>
                <w:sz w:val="24"/>
                <w:szCs w:val="24"/>
              </w:rPr>
            </w:pPr>
            <w:r>
              <w:rPr>
                <w:rFonts w:eastAsia="宋体"/>
                <w:sz w:val="24"/>
                <w:szCs w:val="24"/>
              </w:rPr>
              <w:t>2</w:t>
            </w:r>
          </w:p>
        </w:tc>
        <w:tc>
          <w:tcPr>
            <w:tcW w:w="793" w:type="dxa"/>
          </w:tcPr>
          <w:p>
            <w:pPr>
              <w:pStyle w:val="12"/>
              <w:spacing w:before="129"/>
              <w:ind w:left="13"/>
              <w:jc w:val="center"/>
              <w:rPr>
                <w:rFonts w:eastAsia="宋体"/>
                <w:sz w:val="24"/>
                <w:szCs w:val="24"/>
              </w:rPr>
            </w:pPr>
            <w:r>
              <w:rPr>
                <w:rFonts w:eastAsia="宋体"/>
                <w:sz w:val="24"/>
                <w:szCs w:val="24"/>
              </w:rPr>
              <w:t>4</w:t>
            </w:r>
          </w:p>
        </w:tc>
        <w:tc>
          <w:tcPr>
            <w:tcW w:w="1379" w:type="dxa"/>
          </w:tcPr>
          <w:p>
            <w:pPr>
              <w:pStyle w:val="12"/>
              <w:spacing w:before="129"/>
              <w:ind w:left="295" w:right="283"/>
              <w:jc w:val="center"/>
              <w:rPr>
                <w:rFonts w:eastAsia="宋体"/>
                <w:sz w:val="24"/>
                <w:szCs w:val="24"/>
              </w:rPr>
            </w:pPr>
            <w:r>
              <w:rPr>
                <w:rFonts w:eastAsia="宋体"/>
                <w:spacing w:val="-4"/>
                <w:sz w:val="24"/>
                <w:szCs w:val="24"/>
              </w:rPr>
              <w:t>7.69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2" w:hRule="atLeast"/>
        </w:trPr>
        <w:tc>
          <w:tcPr>
            <w:tcW w:w="619" w:type="dxa"/>
          </w:tcPr>
          <w:p>
            <w:pPr>
              <w:pStyle w:val="12"/>
              <w:spacing w:before="129"/>
              <w:ind w:left="4"/>
              <w:rPr>
                <w:rFonts w:eastAsia="宋体"/>
                <w:sz w:val="24"/>
                <w:szCs w:val="24"/>
              </w:rPr>
            </w:pPr>
            <w:r>
              <w:rPr>
                <w:rFonts w:eastAsia="宋体"/>
                <w:spacing w:val="-2"/>
                <w:sz w:val="24"/>
                <w:szCs w:val="24"/>
              </w:rPr>
              <w:t>1.3.3</w:t>
            </w:r>
          </w:p>
        </w:tc>
        <w:tc>
          <w:tcPr>
            <w:tcW w:w="3009" w:type="dxa"/>
          </w:tcPr>
          <w:p>
            <w:pPr>
              <w:pStyle w:val="12"/>
              <w:spacing w:before="129"/>
              <w:ind w:left="7"/>
              <w:rPr>
                <w:rFonts w:eastAsia="宋体"/>
                <w:sz w:val="24"/>
                <w:szCs w:val="24"/>
                <w:lang w:eastAsia="zh-CN"/>
              </w:rPr>
            </w:pPr>
            <w:r>
              <w:rPr>
                <w:rFonts w:eastAsia="宋体"/>
                <w:sz w:val="24"/>
                <w:szCs w:val="24"/>
                <w:lang w:eastAsia="zh-CN"/>
              </w:rPr>
              <w:t>费用、条款和条件的透明度</w:t>
            </w:r>
          </w:p>
        </w:tc>
        <w:tc>
          <w:tcPr>
            <w:tcW w:w="776" w:type="dxa"/>
          </w:tcPr>
          <w:p>
            <w:pPr>
              <w:pStyle w:val="12"/>
              <w:spacing w:before="129"/>
              <w:ind w:left="9"/>
              <w:jc w:val="center"/>
              <w:rPr>
                <w:rFonts w:eastAsia="宋体"/>
                <w:sz w:val="24"/>
                <w:szCs w:val="24"/>
              </w:rPr>
            </w:pPr>
            <w:r>
              <w:rPr>
                <w:rFonts w:eastAsia="宋体"/>
                <w:sz w:val="24"/>
                <w:szCs w:val="24"/>
              </w:rPr>
              <w:t>2</w:t>
            </w:r>
          </w:p>
        </w:tc>
        <w:tc>
          <w:tcPr>
            <w:tcW w:w="931" w:type="dxa"/>
          </w:tcPr>
          <w:p>
            <w:pPr>
              <w:pStyle w:val="12"/>
              <w:spacing w:before="129"/>
              <w:ind w:left="10"/>
              <w:jc w:val="center"/>
              <w:rPr>
                <w:rFonts w:eastAsia="宋体"/>
                <w:sz w:val="24"/>
                <w:szCs w:val="24"/>
              </w:rPr>
            </w:pPr>
            <w:r>
              <w:rPr>
                <w:rFonts w:eastAsia="宋体"/>
                <w:sz w:val="24"/>
                <w:szCs w:val="24"/>
              </w:rPr>
              <w:t>2</w:t>
            </w:r>
          </w:p>
        </w:tc>
        <w:tc>
          <w:tcPr>
            <w:tcW w:w="1086" w:type="dxa"/>
          </w:tcPr>
          <w:p>
            <w:pPr>
              <w:pStyle w:val="12"/>
              <w:spacing w:before="129"/>
              <w:ind w:left="9"/>
              <w:jc w:val="center"/>
              <w:rPr>
                <w:rFonts w:eastAsia="宋体"/>
                <w:sz w:val="24"/>
                <w:szCs w:val="24"/>
              </w:rPr>
            </w:pPr>
            <w:r>
              <w:rPr>
                <w:rFonts w:eastAsia="宋体"/>
                <w:sz w:val="24"/>
                <w:szCs w:val="24"/>
              </w:rPr>
              <w:t>2</w:t>
            </w:r>
          </w:p>
        </w:tc>
        <w:tc>
          <w:tcPr>
            <w:tcW w:w="793" w:type="dxa"/>
          </w:tcPr>
          <w:p>
            <w:pPr>
              <w:pStyle w:val="12"/>
              <w:spacing w:before="129"/>
              <w:ind w:left="13"/>
              <w:jc w:val="center"/>
              <w:rPr>
                <w:rFonts w:eastAsia="宋体"/>
                <w:sz w:val="24"/>
                <w:szCs w:val="24"/>
              </w:rPr>
            </w:pPr>
            <w:r>
              <w:rPr>
                <w:rFonts w:eastAsia="宋体"/>
                <w:sz w:val="24"/>
                <w:szCs w:val="24"/>
              </w:rPr>
              <w:t>4</w:t>
            </w:r>
          </w:p>
        </w:tc>
        <w:tc>
          <w:tcPr>
            <w:tcW w:w="1379" w:type="dxa"/>
          </w:tcPr>
          <w:p>
            <w:pPr>
              <w:pStyle w:val="12"/>
              <w:spacing w:before="129"/>
              <w:ind w:left="295" w:right="283"/>
              <w:jc w:val="center"/>
              <w:rPr>
                <w:rFonts w:eastAsia="宋体"/>
                <w:sz w:val="24"/>
                <w:szCs w:val="24"/>
              </w:rPr>
            </w:pPr>
            <w:r>
              <w:rPr>
                <w:rFonts w:eastAsia="宋体"/>
                <w:spacing w:val="-4"/>
                <w:sz w:val="24"/>
                <w:szCs w:val="24"/>
              </w:rPr>
              <w:t>7.69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12"/>
              <w:spacing w:before="129"/>
              <w:ind w:left="4"/>
              <w:rPr>
                <w:rFonts w:eastAsia="宋体"/>
                <w:sz w:val="24"/>
                <w:szCs w:val="24"/>
              </w:rPr>
            </w:pPr>
            <w:r>
              <w:rPr>
                <w:rFonts w:eastAsia="宋体"/>
                <w:spacing w:val="-2"/>
                <w:sz w:val="24"/>
                <w:szCs w:val="24"/>
              </w:rPr>
              <w:t>1.3.4</w:t>
            </w:r>
          </w:p>
        </w:tc>
        <w:tc>
          <w:tcPr>
            <w:tcW w:w="3009" w:type="dxa"/>
          </w:tcPr>
          <w:p>
            <w:pPr>
              <w:pStyle w:val="12"/>
              <w:spacing w:before="26"/>
              <w:ind w:left="7" w:right="99"/>
              <w:rPr>
                <w:rFonts w:eastAsia="宋体"/>
                <w:sz w:val="24"/>
                <w:szCs w:val="24"/>
                <w:lang w:eastAsia="zh-CN"/>
              </w:rPr>
            </w:pPr>
            <w:r>
              <w:rPr>
                <w:rFonts w:eastAsia="宋体"/>
                <w:sz w:val="24"/>
                <w:szCs w:val="24"/>
                <w:lang w:eastAsia="zh-CN"/>
              </w:rPr>
              <w:t>提供可靠的追索权和争端解决机制</w:t>
            </w:r>
          </w:p>
        </w:tc>
        <w:tc>
          <w:tcPr>
            <w:tcW w:w="776" w:type="dxa"/>
          </w:tcPr>
          <w:p>
            <w:pPr>
              <w:pStyle w:val="12"/>
              <w:spacing w:before="129"/>
              <w:ind w:left="9"/>
              <w:jc w:val="center"/>
              <w:rPr>
                <w:rFonts w:eastAsia="宋体"/>
                <w:sz w:val="24"/>
                <w:szCs w:val="24"/>
              </w:rPr>
            </w:pPr>
            <w:r>
              <w:rPr>
                <w:rFonts w:eastAsia="宋体"/>
                <w:sz w:val="24"/>
                <w:szCs w:val="24"/>
              </w:rPr>
              <w:t>2</w:t>
            </w:r>
          </w:p>
        </w:tc>
        <w:tc>
          <w:tcPr>
            <w:tcW w:w="931" w:type="dxa"/>
          </w:tcPr>
          <w:p>
            <w:pPr>
              <w:pStyle w:val="12"/>
              <w:spacing w:before="129"/>
              <w:ind w:left="10"/>
              <w:jc w:val="center"/>
              <w:rPr>
                <w:rFonts w:eastAsia="宋体"/>
                <w:sz w:val="24"/>
                <w:szCs w:val="24"/>
              </w:rPr>
            </w:pPr>
            <w:r>
              <w:rPr>
                <w:rFonts w:eastAsia="宋体"/>
                <w:sz w:val="24"/>
                <w:szCs w:val="24"/>
              </w:rPr>
              <w:t>2</w:t>
            </w:r>
          </w:p>
        </w:tc>
        <w:tc>
          <w:tcPr>
            <w:tcW w:w="1086" w:type="dxa"/>
          </w:tcPr>
          <w:p>
            <w:pPr>
              <w:pStyle w:val="12"/>
              <w:spacing w:before="129"/>
              <w:ind w:left="9"/>
              <w:jc w:val="center"/>
              <w:rPr>
                <w:rFonts w:eastAsia="宋体"/>
                <w:sz w:val="24"/>
                <w:szCs w:val="24"/>
              </w:rPr>
            </w:pPr>
            <w:r>
              <w:rPr>
                <w:rFonts w:eastAsia="宋体"/>
                <w:sz w:val="24"/>
                <w:szCs w:val="24"/>
              </w:rPr>
              <w:t>2</w:t>
            </w:r>
          </w:p>
        </w:tc>
        <w:tc>
          <w:tcPr>
            <w:tcW w:w="793" w:type="dxa"/>
          </w:tcPr>
          <w:p>
            <w:pPr>
              <w:pStyle w:val="12"/>
              <w:spacing w:before="129"/>
              <w:ind w:left="13"/>
              <w:jc w:val="center"/>
              <w:rPr>
                <w:rFonts w:eastAsia="宋体"/>
                <w:sz w:val="24"/>
                <w:szCs w:val="24"/>
              </w:rPr>
            </w:pPr>
            <w:r>
              <w:rPr>
                <w:rFonts w:eastAsia="宋体"/>
                <w:sz w:val="24"/>
                <w:szCs w:val="24"/>
              </w:rPr>
              <w:t>4</w:t>
            </w:r>
          </w:p>
        </w:tc>
        <w:tc>
          <w:tcPr>
            <w:tcW w:w="1379" w:type="dxa"/>
          </w:tcPr>
          <w:p>
            <w:pPr>
              <w:pStyle w:val="12"/>
              <w:spacing w:before="129"/>
              <w:ind w:left="295" w:right="283"/>
              <w:jc w:val="center"/>
              <w:rPr>
                <w:rFonts w:eastAsia="宋体"/>
                <w:sz w:val="24"/>
                <w:szCs w:val="24"/>
              </w:rPr>
            </w:pPr>
            <w:r>
              <w:rPr>
                <w:rFonts w:eastAsia="宋体"/>
                <w:spacing w:val="-4"/>
                <w:sz w:val="24"/>
                <w:szCs w:val="24"/>
              </w:rPr>
              <w:t>7.69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5" w:hRule="atLeast"/>
        </w:trPr>
        <w:tc>
          <w:tcPr>
            <w:tcW w:w="619" w:type="dxa"/>
          </w:tcPr>
          <w:p>
            <w:pPr>
              <w:pStyle w:val="12"/>
              <w:spacing w:before="129"/>
              <w:ind w:left="4"/>
              <w:rPr>
                <w:rFonts w:eastAsia="宋体"/>
                <w:sz w:val="24"/>
                <w:szCs w:val="24"/>
              </w:rPr>
            </w:pPr>
            <w:r>
              <w:rPr>
                <w:rFonts w:eastAsia="宋体"/>
                <w:spacing w:val="-2"/>
                <w:sz w:val="24"/>
                <w:szCs w:val="24"/>
              </w:rPr>
              <w:t>1.3.5</w:t>
            </w:r>
          </w:p>
        </w:tc>
        <w:tc>
          <w:tcPr>
            <w:tcW w:w="3009" w:type="dxa"/>
          </w:tcPr>
          <w:p>
            <w:pPr>
              <w:pStyle w:val="12"/>
              <w:spacing w:before="129"/>
              <w:ind w:left="7"/>
              <w:rPr>
                <w:rFonts w:eastAsia="宋体"/>
                <w:sz w:val="24"/>
                <w:szCs w:val="24"/>
              </w:rPr>
            </w:pPr>
            <w:r>
              <w:rPr>
                <w:rFonts w:eastAsia="宋体"/>
                <w:sz w:val="24"/>
                <w:szCs w:val="24"/>
              </w:rPr>
              <w:t>互操作性和促进竞争</w:t>
            </w:r>
          </w:p>
        </w:tc>
        <w:tc>
          <w:tcPr>
            <w:tcW w:w="776" w:type="dxa"/>
          </w:tcPr>
          <w:p>
            <w:pPr>
              <w:pStyle w:val="12"/>
              <w:spacing w:before="129"/>
              <w:ind w:left="9"/>
              <w:jc w:val="center"/>
              <w:rPr>
                <w:rFonts w:eastAsia="宋体"/>
                <w:sz w:val="24"/>
                <w:szCs w:val="24"/>
              </w:rPr>
            </w:pPr>
            <w:r>
              <w:rPr>
                <w:rFonts w:eastAsia="宋体"/>
                <w:sz w:val="24"/>
                <w:szCs w:val="24"/>
              </w:rPr>
              <w:t>3.</w:t>
            </w:r>
          </w:p>
        </w:tc>
        <w:tc>
          <w:tcPr>
            <w:tcW w:w="931" w:type="dxa"/>
          </w:tcPr>
          <w:p>
            <w:pPr>
              <w:pStyle w:val="12"/>
              <w:spacing w:before="129"/>
              <w:ind w:left="10"/>
              <w:jc w:val="center"/>
              <w:rPr>
                <w:rFonts w:eastAsia="宋体"/>
                <w:sz w:val="24"/>
                <w:szCs w:val="24"/>
              </w:rPr>
            </w:pPr>
            <w:r>
              <w:rPr>
                <w:rFonts w:eastAsia="宋体"/>
                <w:sz w:val="24"/>
                <w:szCs w:val="24"/>
              </w:rPr>
              <w:t>3.</w:t>
            </w:r>
          </w:p>
        </w:tc>
        <w:tc>
          <w:tcPr>
            <w:tcW w:w="1086" w:type="dxa"/>
          </w:tcPr>
          <w:p>
            <w:pPr>
              <w:pStyle w:val="12"/>
              <w:spacing w:before="129"/>
              <w:ind w:left="9"/>
              <w:jc w:val="center"/>
              <w:rPr>
                <w:rFonts w:eastAsia="宋体"/>
                <w:sz w:val="24"/>
                <w:szCs w:val="24"/>
              </w:rPr>
            </w:pPr>
            <w:r>
              <w:rPr>
                <w:rFonts w:eastAsia="宋体"/>
                <w:sz w:val="24"/>
                <w:szCs w:val="24"/>
              </w:rPr>
              <w:t>3.</w:t>
            </w:r>
          </w:p>
        </w:tc>
        <w:tc>
          <w:tcPr>
            <w:tcW w:w="793" w:type="dxa"/>
          </w:tcPr>
          <w:p>
            <w:pPr>
              <w:pStyle w:val="12"/>
              <w:spacing w:before="129"/>
              <w:ind w:left="13"/>
              <w:jc w:val="center"/>
              <w:rPr>
                <w:rFonts w:eastAsia="宋体"/>
                <w:sz w:val="24"/>
                <w:szCs w:val="24"/>
              </w:rPr>
            </w:pPr>
            <w:r>
              <w:rPr>
                <w:rFonts w:eastAsia="宋体"/>
                <w:sz w:val="24"/>
                <w:szCs w:val="24"/>
              </w:rPr>
              <w:t>6</w:t>
            </w:r>
          </w:p>
        </w:tc>
        <w:tc>
          <w:tcPr>
            <w:tcW w:w="1379" w:type="dxa"/>
          </w:tcPr>
          <w:p>
            <w:pPr>
              <w:pStyle w:val="12"/>
              <w:spacing w:before="129"/>
              <w:ind w:left="295" w:right="283"/>
              <w:jc w:val="center"/>
              <w:rPr>
                <w:rFonts w:eastAsia="宋体"/>
                <w:sz w:val="24"/>
                <w:szCs w:val="24"/>
              </w:rPr>
            </w:pPr>
            <w:r>
              <w:rPr>
                <w:rFonts w:eastAsia="宋体"/>
                <w:spacing w:val="-2"/>
                <w:sz w:val="24"/>
                <w:szCs w:val="24"/>
              </w:rPr>
              <w:t>11.54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2" w:hRule="atLeast"/>
        </w:trPr>
        <w:tc>
          <w:tcPr>
            <w:tcW w:w="619" w:type="dxa"/>
            <w:shd w:val="clear" w:color="auto" w:fill="D9E1F3"/>
          </w:tcPr>
          <w:p>
            <w:pPr>
              <w:pStyle w:val="12"/>
              <w:spacing w:before="127"/>
              <w:ind w:left="4"/>
              <w:rPr>
                <w:rFonts w:eastAsia="宋体"/>
                <w:b/>
                <w:sz w:val="24"/>
                <w:szCs w:val="24"/>
              </w:rPr>
            </w:pPr>
            <w:r>
              <w:rPr>
                <w:rFonts w:eastAsia="宋体"/>
                <w:b/>
                <w:spacing w:val="-5"/>
                <w:sz w:val="24"/>
                <w:szCs w:val="24"/>
              </w:rPr>
              <w:t>1.4</w:t>
            </w:r>
          </w:p>
        </w:tc>
        <w:tc>
          <w:tcPr>
            <w:tcW w:w="3009" w:type="dxa"/>
            <w:shd w:val="clear" w:color="auto" w:fill="D9E1F3"/>
          </w:tcPr>
          <w:p>
            <w:pPr>
              <w:pStyle w:val="12"/>
              <w:spacing w:before="127"/>
              <w:ind w:left="7"/>
              <w:rPr>
                <w:rFonts w:eastAsia="宋体"/>
                <w:b/>
                <w:sz w:val="24"/>
                <w:szCs w:val="24"/>
                <w:lang w:eastAsia="zh-CN"/>
              </w:rPr>
            </w:pPr>
            <w:r>
              <w:rPr>
                <w:rFonts w:eastAsia="宋体"/>
                <w:b/>
                <w:sz w:val="24"/>
                <w:szCs w:val="24"/>
                <w:lang w:eastAsia="zh-CN"/>
              </w:rPr>
              <w:t>绿色金融的良好监管实践</w:t>
            </w:r>
          </w:p>
        </w:tc>
        <w:tc>
          <w:tcPr>
            <w:tcW w:w="776" w:type="dxa"/>
            <w:shd w:val="clear" w:color="auto" w:fill="D9E1F3"/>
          </w:tcPr>
          <w:p>
            <w:pPr>
              <w:pStyle w:val="12"/>
              <w:spacing w:before="127"/>
              <w:ind w:left="9"/>
              <w:jc w:val="center"/>
              <w:rPr>
                <w:rFonts w:eastAsia="宋体"/>
                <w:b/>
                <w:sz w:val="24"/>
                <w:szCs w:val="24"/>
              </w:rPr>
            </w:pPr>
            <w:r>
              <w:rPr>
                <w:rFonts w:eastAsia="宋体"/>
                <w:b/>
                <w:sz w:val="24"/>
                <w:szCs w:val="24"/>
              </w:rPr>
              <w:t>5</w:t>
            </w:r>
          </w:p>
        </w:tc>
        <w:tc>
          <w:tcPr>
            <w:tcW w:w="931" w:type="dxa"/>
            <w:shd w:val="clear" w:color="auto" w:fill="D9E1F3"/>
          </w:tcPr>
          <w:p>
            <w:pPr>
              <w:pStyle w:val="12"/>
              <w:spacing w:before="127"/>
              <w:ind w:left="10"/>
              <w:jc w:val="center"/>
              <w:rPr>
                <w:rFonts w:eastAsia="宋体"/>
                <w:b/>
                <w:sz w:val="24"/>
                <w:szCs w:val="24"/>
              </w:rPr>
            </w:pPr>
            <w:r>
              <w:rPr>
                <w:rFonts w:eastAsia="宋体"/>
                <w:b/>
                <w:sz w:val="24"/>
                <w:szCs w:val="24"/>
              </w:rPr>
              <w:t>1</w:t>
            </w:r>
          </w:p>
        </w:tc>
        <w:tc>
          <w:tcPr>
            <w:tcW w:w="1086" w:type="dxa"/>
            <w:shd w:val="clear" w:color="auto" w:fill="D9E1F3"/>
          </w:tcPr>
          <w:p>
            <w:pPr>
              <w:pStyle w:val="12"/>
              <w:spacing w:before="127"/>
              <w:ind w:left="9"/>
              <w:jc w:val="center"/>
              <w:rPr>
                <w:rFonts w:eastAsia="宋体"/>
                <w:b/>
                <w:sz w:val="24"/>
                <w:szCs w:val="24"/>
              </w:rPr>
            </w:pPr>
            <w:r>
              <w:rPr>
                <w:rFonts w:eastAsia="宋体"/>
                <w:b/>
                <w:sz w:val="24"/>
                <w:szCs w:val="24"/>
              </w:rPr>
              <w:t>5</w:t>
            </w:r>
          </w:p>
        </w:tc>
        <w:tc>
          <w:tcPr>
            <w:tcW w:w="793" w:type="dxa"/>
            <w:shd w:val="clear" w:color="auto" w:fill="D9E1F3"/>
          </w:tcPr>
          <w:p>
            <w:pPr>
              <w:pStyle w:val="12"/>
              <w:spacing w:before="127"/>
              <w:ind w:left="13"/>
              <w:jc w:val="center"/>
              <w:rPr>
                <w:rFonts w:eastAsia="宋体"/>
                <w:b/>
                <w:sz w:val="24"/>
                <w:szCs w:val="24"/>
              </w:rPr>
            </w:pPr>
            <w:r>
              <w:rPr>
                <w:rFonts w:eastAsia="宋体"/>
                <w:b/>
                <w:sz w:val="24"/>
                <w:szCs w:val="24"/>
              </w:rPr>
              <w:t>6</w:t>
            </w:r>
          </w:p>
        </w:tc>
        <w:tc>
          <w:tcPr>
            <w:tcW w:w="1379" w:type="dxa"/>
            <w:shd w:val="clear" w:color="auto" w:fill="D9E1F3"/>
          </w:tcPr>
          <w:p>
            <w:pPr>
              <w:pStyle w:val="12"/>
              <w:spacing w:before="127"/>
              <w:ind w:right="283"/>
              <w:jc w:val="center"/>
              <w:rPr>
                <w:rFonts w:eastAsia="宋体"/>
                <w:b/>
                <w:sz w:val="24"/>
                <w:szCs w:val="24"/>
              </w:rPr>
            </w:pPr>
            <w:r>
              <w:rPr>
                <w:rFonts w:eastAsia="宋体"/>
                <w:b/>
                <w:spacing w:val="-2"/>
                <w:sz w:val="24"/>
                <w:szCs w:val="24"/>
              </w:rPr>
              <w:t>11.54</w:t>
            </w:r>
          </w:p>
        </w:tc>
      </w:tr>
    </w:tbl>
    <w:p>
      <w:pPr>
        <w:jc w:val="center"/>
        <w:rPr>
          <w:rFonts w:eastAsia="宋体"/>
          <w:sz w:val="24"/>
          <w:szCs w:val="24"/>
        </w:rPr>
        <w:sectPr>
          <w:pgSz w:w="12240" w:h="15840"/>
          <w:pgMar w:top="1440" w:right="1800" w:bottom="1440" w:left="1800" w:header="720" w:footer="720" w:gutter="0"/>
          <w:cols w:space="720" w:num="1"/>
        </w:sectPr>
      </w:pPr>
    </w:p>
    <w:tbl>
      <w:tblPr>
        <w:tblStyle w:val="8"/>
        <w:tblW w:w="8614" w:type="dxa"/>
        <w:tblInd w:w="1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5"/>
        <w:gridCol w:w="2969"/>
        <w:gridCol w:w="793"/>
        <w:gridCol w:w="949"/>
        <w:gridCol w:w="1086"/>
        <w:gridCol w:w="793"/>
        <w:gridCol w:w="1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45" w:type="dxa"/>
          </w:tcPr>
          <w:p>
            <w:pPr>
              <w:pStyle w:val="12"/>
              <w:spacing w:before="129"/>
              <w:ind w:left="4"/>
              <w:rPr>
                <w:rFonts w:eastAsia="宋体"/>
                <w:sz w:val="24"/>
                <w:szCs w:val="24"/>
              </w:rPr>
            </w:pPr>
            <w:r>
              <w:rPr>
                <w:rFonts w:eastAsia="宋体"/>
                <w:spacing w:val="-2"/>
                <w:sz w:val="24"/>
                <w:szCs w:val="24"/>
              </w:rPr>
              <w:t>1.4.1</w:t>
            </w:r>
          </w:p>
        </w:tc>
        <w:tc>
          <w:tcPr>
            <w:tcW w:w="2969" w:type="dxa"/>
          </w:tcPr>
          <w:p>
            <w:pPr>
              <w:pStyle w:val="12"/>
              <w:spacing w:before="129"/>
              <w:ind w:left="7"/>
              <w:rPr>
                <w:rFonts w:eastAsia="宋体"/>
                <w:sz w:val="24"/>
                <w:szCs w:val="24"/>
              </w:rPr>
            </w:pPr>
            <w:r>
              <w:rPr>
                <w:rFonts w:eastAsia="宋体"/>
                <w:sz w:val="24"/>
                <w:szCs w:val="24"/>
              </w:rPr>
              <w:t>风险管理</w:t>
            </w:r>
          </w:p>
        </w:tc>
        <w:tc>
          <w:tcPr>
            <w:tcW w:w="793" w:type="dxa"/>
          </w:tcPr>
          <w:p>
            <w:pPr>
              <w:pStyle w:val="12"/>
              <w:spacing w:before="129"/>
              <w:ind w:left="9"/>
              <w:jc w:val="center"/>
              <w:rPr>
                <w:rFonts w:eastAsia="宋体"/>
                <w:sz w:val="24"/>
                <w:szCs w:val="24"/>
              </w:rPr>
            </w:pPr>
            <w:r>
              <w:rPr>
                <w:rFonts w:eastAsia="宋体"/>
                <w:sz w:val="24"/>
                <w:szCs w:val="24"/>
              </w:rPr>
              <w:t>1</w:t>
            </w:r>
          </w:p>
        </w:tc>
        <w:tc>
          <w:tcPr>
            <w:tcW w:w="949" w:type="dxa"/>
          </w:tcPr>
          <w:p>
            <w:pPr>
              <w:pStyle w:val="12"/>
              <w:spacing w:before="129"/>
              <w:rPr>
                <w:rFonts w:eastAsia="宋体"/>
                <w:sz w:val="24"/>
                <w:szCs w:val="24"/>
              </w:rPr>
            </w:pPr>
            <w:r>
              <w:rPr>
                <w:rFonts w:eastAsia="宋体"/>
                <w:spacing w:val="-4"/>
                <w:sz w:val="24"/>
                <w:szCs w:val="24"/>
                <w:lang w:eastAsia="zh-CN"/>
              </w:rPr>
              <w:t>不适用</w:t>
            </w:r>
          </w:p>
        </w:tc>
        <w:tc>
          <w:tcPr>
            <w:tcW w:w="1086" w:type="dxa"/>
          </w:tcPr>
          <w:p>
            <w:pPr>
              <w:pStyle w:val="12"/>
              <w:spacing w:before="129"/>
              <w:ind w:left="9"/>
              <w:jc w:val="center"/>
              <w:rPr>
                <w:rFonts w:eastAsia="宋体"/>
                <w:sz w:val="24"/>
                <w:szCs w:val="24"/>
              </w:rPr>
            </w:pPr>
            <w:r>
              <w:rPr>
                <w:rFonts w:eastAsia="宋体"/>
                <w:sz w:val="24"/>
                <w:szCs w:val="24"/>
              </w:rPr>
              <w:t>1</w:t>
            </w:r>
          </w:p>
        </w:tc>
        <w:tc>
          <w:tcPr>
            <w:tcW w:w="793" w:type="dxa"/>
          </w:tcPr>
          <w:p>
            <w:pPr>
              <w:pStyle w:val="12"/>
              <w:spacing w:before="129"/>
              <w:ind w:left="13"/>
              <w:jc w:val="center"/>
              <w:rPr>
                <w:rFonts w:eastAsia="宋体"/>
                <w:sz w:val="24"/>
                <w:szCs w:val="24"/>
              </w:rPr>
            </w:pPr>
            <w:r>
              <w:rPr>
                <w:rFonts w:eastAsia="宋体"/>
                <w:sz w:val="24"/>
                <w:szCs w:val="24"/>
              </w:rPr>
              <w:t>1</w:t>
            </w:r>
          </w:p>
        </w:tc>
        <w:tc>
          <w:tcPr>
            <w:tcW w:w="1379" w:type="dxa"/>
          </w:tcPr>
          <w:p>
            <w:pPr>
              <w:pStyle w:val="12"/>
              <w:spacing w:before="129"/>
              <w:ind w:left="295" w:right="283"/>
              <w:jc w:val="center"/>
              <w:rPr>
                <w:rFonts w:eastAsia="宋体"/>
                <w:sz w:val="24"/>
                <w:szCs w:val="24"/>
              </w:rPr>
            </w:pPr>
            <w:r>
              <w:rPr>
                <w:rFonts w:eastAsia="宋体"/>
                <w:spacing w:val="-4"/>
                <w:sz w:val="24"/>
                <w:szCs w:val="24"/>
              </w:rPr>
              <w:t>1.92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45" w:type="dxa"/>
          </w:tcPr>
          <w:p>
            <w:pPr>
              <w:pStyle w:val="12"/>
              <w:spacing w:before="129"/>
              <w:ind w:left="4"/>
              <w:rPr>
                <w:rFonts w:eastAsia="宋体"/>
                <w:sz w:val="24"/>
                <w:szCs w:val="24"/>
              </w:rPr>
            </w:pPr>
            <w:r>
              <w:rPr>
                <w:rFonts w:eastAsia="宋体"/>
                <w:spacing w:val="-2"/>
                <w:sz w:val="24"/>
                <w:szCs w:val="24"/>
              </w:rPr>
              <w:t>1.4.2</w:t>
            </w:r>
          </w:p>
        </w:tc>
        <w:tc>
          <w:tcPr>
            <w:tcW w:w="2969" w:type="dxa"/>
          </w:tcPr>
          <w:p>
            <w:pPr>
              <w:pStyle w:val="12"/>
              <w:spacing w:before="129"/>
              <w:ind w:left="7"/>
              <w:rPr>
                <w:rFonts w:eastAsia="宋体"/>
                <w:sz w:val="24"/>
                <w:szCs w:val="24"/>
              </w:rPr>
            </w:pPr>
            <w:r>
              <w:rPr>
                <w:rFonts w:eastAsia="宋体"/>
                <w:sz w:val="24"/>
                <w:szCs w:val="24"/>
              </w:rPr>
              <w:t>披露要求和影响报告</w:t>
            </w:r>
          </w:p>
        </w:tc>
        <w:tc>
          <w:tcPr>
            <w:tcW w:w="793" w:type="dxa"/>
          </w:tcPr>
          <w:p>
            <w:pPr>
              <w:pStyle w:val="12"/>
              <w:spacing w:before="129"/>
              <w:ind w:left="9"/>
              <w:jc w:val="center"/>
              <w:rPr>
                <w:rFonts w:eastAsia="宋体"/>
                <w:sz w:val="24"/>
                <w:szCs w:val="24"/>
              </w:rPr>
            </w:pPr>
            <w:r>
              <w:rPr>
                <w:rFonts w:eastAsia="宋体"/>
                <w:sz w:val="24"/>
                <w:szCs w:val="24"/>
              </w:rPr>
              <w:t>2</w:t>
            </w:r>
          </w:p>
        </w:tc>
        <w:tc>
          <w:tcPr>
            <w:tcW w:w="949" w:type="dxa"/>
          </w:tcPr>
          <w:p>
            <w:pPr>
              <w:pStyle w:val="12"/>
              <w:spacing w:before="129"/>
              <w:rPr>
                <w:rFonts w:eastAsia="宋体"/>
                <w:sz w:val="24"/>
                <w:szCs w:val="24"/>
              </w:rPr>
            </w:pPr>
            <w:bookmarkStart w:id="12" w:name="OLE_LINK10"/>
            <w:r>
              <w:rPr>
                <w:rFonts w:eastAsia="宋体"/>
                <w:spacing w:val="-4"/>
                <w:sz w:val="24"/>
                <w:szCs w:val="24"/>
                <w:lang w:eastAsia="zh-CN"/>
              </w:rPr>
              <w:t>不适用</w:t>
            </w:r>
            <w:bookmarkEnd w:id="12"/>
          </w:p>
        </w:tc>
        <w:tc>
          <w:tcPr>
            <w:tcW w:w="1086" w:type="dxa"/>
          </w:tcPr>
          <w:p>
            <w:pPr>
              <w:pStyle w:val="12"/>
              <w:spacing w:before="129"/>
              <w:ind w:left="9"/>
              <w:jc w:val="center"/>
              <w:rPr>
                <w:rFonts w:eastAsia="宋体"/>
                <w:sz w:val="24"/>
                <w:szCs w:val="24"/>
              </w:rPr>
            </w:pPr>
            <w:r>
              <w:rPr>
                <w:rFonts w:eastAsia="宋体"/>
                <w:sz w:val="24"/>
                <w:szCs w:val="24"/>
              </w:rPr>
              <w:t>2</w:t>
            </w:r>
          </w:p>
        </w:tc>
        <w:tc>
          <w:tcPr>
            <w:tcW w:w="793" w:type="dxa"/>
          </w:tcPr>
          <w:p>
            <w:pPr>
              <w:pStyle w:val="12"/>
              <w:spacing w:before="129"/>
              <w:ind w:left="13"/>
              <w:jc w:val="center"/>
              <w:rPr>
                <w:rFonts w:eastAsia="宋体"/>
                <w:sz w:val="24"/>
                <w:szCs w:val="24"/>
              </w:rPr>
            </w:pPr>
            <w:r>
              <w:rPr>
                <w:rFonts w:eastAsia="宋体"/>
                <w:sz w:val="24"/>
                <w:szCs w:val="24"/>
              </w:rPr>
              <w:t>2</w:t>
            </w:r>
          </w:p>
        </w:tc>
        <w:tc>
          <w:tcPr>
            <w:tcW w:w="1379" w:type="dxa"/>
          </w:tcPr>
          <w:p>
            <w:pPr>
              <w:pStyle w:val="12"/>
              <w:spacing w:before="129"/>
              <w:ind w:left="295" w:right="283"/>
              <w:jc w:val="center"/>
              <w:rPr>
                <w:rFonts w:eastAsia="宋体"/>
                <w:sz w:val="24"/>
                <w:szCs w:val="24"/>
              </w:rPr>
            </w:pPr>
            <w:r>
              <w:rPr>
                <w:rFonts w:eastAsia="宋体"/>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45" w:type="dxa"/>
          </w:tcPr>
          <w:p>
            <w:pPr>
              <w:pStyle w:val="12"/>
              <w:spacing w:before="129"/>
              <w:ind w:left="4"/>
              <w:rPr>
                <w:rFonts w:eastAsia="宋体"/>
                <w:sz w:val="24"/>
                <w:szCs w:val="24"/>
              </w:rPr>
            </w:pPr>
            <w:r>
              <w:rPr>
                <w:rFonts w:eastAsia="宋体"/>
                <w:spacing w:val="-2"/>
                <w:sz w:val="24"/>
                <w:szCs w:val="24"/>
              </w:rPr>
              <w:t>3</w:t>
            </w:r>
          </w:p>
        </w:tc>
        <w:tc>
          <w:tcPr>
            <w:tcW w:w="2969" w:type="dxa"/>
          </w:tcPr>
          <w:p>
            <w:pPr>
              <w:pStyle w:val="12"/>
              <w:spacing w:before="26"/>
              <w:ind w:left="7"/>
              <w:rPr>
                <w:rFonts w:eastAsia="宋体"/>
                <w:sz w:val="24"/>
                <w:szCs w:val="24"/>
                <w:lang w:eastAsia="zh-CN"/>
              </w:rPr>
            </w:pPr>
            <w:r>
              <w:rPr>
                <w:rFonts w:eastAsia="宋体"/>
                <w:sz w:val="24"/>
                <w:szCs w:val="24"/>
                <w:lang w:eastAsia="zh-CN"/>
              </w:rPr>
              <w:t>绿色融资的可获得性和采用绿色原则的可行性</w:t>
            </w:r>
          </w:p>
        </w:tc>
        <w:tc>
          <w:tcPr>
            <w:tcW w:w="793" w:type="dxa"/>
          </w:tcPr>
          <w:p>
            <w:pPr>
              <w:pStyle w:val="12"/>
              <w:spacing w:before="129"/>
              <w:ind w:left="9"/>
              <w:jc w:val="center"/>
              <w:rPr>
                <w:rFonts w:eastAsia="宋体"/>
                <w:sz w:val="24"/>
                <w:szCs w:val="24"/>
              </w:rPr>
            </w:pPr>
            <w:r>
              <w:rPr>
                <w:rFonts w:eastAsia="宋体"/>
                <w:sz w:val="24"/>
                <w:szCs w:val="24"/>
              </w:rPr>
              <w:t>2</w:t>
            </w:r>
          </w:p>
        </w:tc>
        <w:tc>
          <w:tcPr>
            <w:tcW w:w="949" w:type="dxa"/>
          </w:tcPr>
          <w:p>
            <w:pPr>
              <w:pStyle w:val="12"/>
              <w:spacing w:before="129"/>
              <w:ind w:left="466"/>
              <w:rPr>
                <w:rFonts w:eastAsia="宋体"/>
                <w:sz w:val="24"/>
                <w:szCs w:val="24"/>
              </w:rPr>
            </w:pPr>
            <w:r>
              <w:rPr>
                <w:rFonts w:eastAsia="宋体"/>
                <w:sz w:val="24"/>
                <w:szCs w:val="24"/>
              </w:rPr>
              <w:t>1</w:t>
            </w:r>
          </w:p>
        </w:tc>
        <w:tc>
          <w:tcPr>
            <w:tcW w:w="1086" w:type="dxa"/>
          </w:tcPr>
          <w:p>
            <w:pPr>
              <w:pStyle w:val="12"/>
              <w:spacing w:before="129"/>
              <w:ind w:left="9"/>
              <w:jc w:val="center"/>
              <w:rPr>
                <w:rFonts w:eastAsia="宋体"/>
                <w:sz w:val="24"/>
                <w:szCs w:val="24"/>
              </w:rPr>
            </w:pPr>
            <w:r>
              <w:rPr>
                <w:rFonts w:eastAsia="宋体"/>
                <w:sz w:val="24"/>
                <w:szCs w:val="24"/>
              </w:rPr>
              <w:t>2</w:t>
            </w:r>
          </w:p>
        </w:tc>
        <w:tc>
          <w:tcPr>
            <w:tcW w:w="793" w:type="dxa"/>
          </w:tcPr>
          <w:p>
            <w:pPr>
              <w:pStyle w:val="12"/>
              <w:spacing w:before="129"/>
              <w:ind w:left="13"/>
              <w:jc w:val="center"/>
              <w:rPr>
                <w:rFonts w:eastAsia="宋体"/>
                <w:sz w:val="24"/>
                <w:szCs w:val="24"/>
              </w:rPr>
            </w:pPr>
            <w:r>
              <w:rPr>
                <w:rFonts w:eastAsia="宋体"/>
                <w:sz w:val="24"/>
                <w:szCs w:val="24"/>
              </w:rPr>
              <w:t>3.</w:t>
            </w:r>
          </w:p>
        </w:tc>
        <w:tc>
          <w:tcPr>
            <w:tcW w:w="1379" w:type="dxa"/>
          </w:tcPr>
          <w:p>
            <w:pPr>
              <w:pStyle w:val="12"/>
              <w:spacing w:before="129"/>
              <w:ind w:left="295" w:right="283"/>
              <w:jc w:val="center"/>
              <w:rPr>
                <w:rFonts w:eastAsia="宋体"/>
                <w:sz w:val="24"/>
                <w:szCs w:val="24"/>
              </w:rPr>
            </w:pPr>
            <w:r>
              <w:rPr>
                <w:rFonts w:eastAsia="宋体"/>
                <w:spacing w:val="-4"/>
                <w:sz w:val="24"/>
                <w:szCs w:val="24"/>
              </w:rPr>
              <w:t>5.77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45" w:type="dxa"/>
            <w:shd w:val="clear" w:color="auto" w:fill="FFC000"/>
          </w:tcPr>
          <w:p>
            <w:pPr>
              <w:pStyle w:val="12"/>
              <w:ind w:left="0"/>
              <w:rPr>
                <w:rFonts w:eastAsia="宋体"/>
                <w:sz w:val="24"/>
                <w:szCs w:val="24"/>
              </w:rPr>
            </w:pPr>
          </w:p>
        </w:tc>
        <w:tc>
          <w:tcPr>
            <w:tcW w:w="2969" w:type="dxa"/>
            <w:shd w:val="clear" w:color="auto" w:fill="FFC000"/>
          </w:tcPr>
          <w:p>
            <w:pPr>
              <w:pStyle w:val="12"/>
              <w:ind w:left="7"/>
              <w:rPr>
                <w:rFonts w:eastAsia="宋体"/>
                <w:b/>
                <w:sz w:val="24"/>
                <w:szCs w:val="24"/>
              </w:rPr>
            </w:pPr>
            <w:r>
              <w:rPr>
                <w:rFonts w:eastAsia="宋体"/>
                <w:b/>
                <w:spacing w:val="-2"/>
                <w:sz w:val="24"/>
                <w:szCs w:val="24"/>
              </w:rPr>
              <w:t>总计</w:t>
            </w:r>
          </w:p>
        </w:tc>
        <w:tc>
          <w:tcPr>
            <w:tcW w:w="793" w:type="dxa"/>
            <w:shd w:val="clear" w:color="auto" w:fill="FFC000"/>
          </w:tcPr>
          <w:p>
            <w:pPr>
              <w:pStyle w:val="12"/>
              <w:ind w:left="18" w:right="8"/>
              <w:jc w:val="center"/>
              <w:rPr>
                <w:rFonts w:eastAsia="宋体"/>
                <w:b/>
                <w:sz w:val="24"/>
                <w:szCs w:val="24"/>
              </w:rPr>
            </w:pPr>
            <w:r>
              <w:rPr>
                <w:rFonts w:eastAsia="宋体"/>
                <w:b/>
                <w:spacing w:val="-5"/>
                <w:sz w:val="24"/>
                <w:szCs w:val="24"/>
              </w:rPr>
              <w:t>30.</w:t>
            </w:r>
          </w:p>
        </w:tc>
        <w:tc>
          <w:tcPr>
            <w:tcW w:w="949" w:type="dxa"/>
            <w:shd w:val="clear" w:color="auto" w:fill="FFC000"/>
          </w:tcPr>
          <w:p>
            <w:pPr>
              <w:pStyle w:val="12"/>
              <w:ind w:left="420"/>
              <w:rPr>
                <w:rFonts w:eastAsia="宋体"/>
                <w:b/>
                <w:sz w:val="24"/>
                <w:szCs w:val="24"/>
              </w:rPr>
            </w:pPr>
            <w:r>
              <w:rPr>
                <w:rFonts w:eastAsia="宋体"/>
                <w:b/>
                <w:spacing w:val="-5"/>
                <w:sz w:val="24"/>
                <w:szCs w:val="24"/>
              </w:rPr>
              <w:t>22</w:t>
            </w:r>
          </w:p>
        </w:tc>
        <w:tc>
          <w:tcPr>
            <w:tcW w:w="1086" w:type="dxa"/>
            <w:shd w:val="clear" w:color="auto" w:fill="FFC000"/>
          </w:tcPr>
          <w:p>
            <w:pPr>
              <w:pStyle w:val="12"/>
              <w:ind w:left="293" w:right="283"/>
              <w:jc w:val="center"/>
              <w:rPr>
                <w:rFonts w:eastAsia="宋体"/>
                <w:b/>
                <w:sz w:val="24"/>
                <w:szCs w:val="24"/>
              </w:rPr>
            </w:pPr>
            <w:r>
              <w:rPr>
                <w:rFonts w:eastAsia="宋体"/>
                <w:b/>
                <w:spacing w:val="-5"/>
                <w:sz w:val="24"/>
                <w:szCs w:val="24"/>
              </w:rPr>
              <w:t>30.</w:t>
            </w:r>
          </w:p>
        </w:tc>
        <w:tc>
          <w:tcPr>
            <w:tcW w:w="793" w:type="dxa"/>
            <w:shd w:val="clear" w:color="auto" w:fill="FFC000"/>
          </w:tcPr>
          <w:p>
            <w:pPr>
              <w:pStyle w:val="12"/>
              <w:ind w:left="20" w:right="6"/>
              <w:jc w:val="center"/>
              <w:rPr>
                <w:rFonts w:eastAsia="宋体"/>
                <w:b/>
                <w:sz w:val="24"/>
                <w:szCs w:val="24"/>
              </w:rPr>
            </w:pPr>
            <w:r>
              <w:rPr>
                <w:rFonts w:eastAsia="宋体"/>
                <w:b/>
                <w:spacing w:val="-5"/>
                <w:sz w:val="24"/>
                <w:szCs w:val="24"/>
              </w:rPr>
              <w:t>52</w:t>
            </w:r>
          </w:p>
        </w:tc>
        <w:tc>
          <w:tcPr>
            <w:tcW w:w="1379" w:type="dxa"/>
            <w:shd w:val="clear" w:color="auto" w:fill="FFC000"/>
          </w:tcPr>
          <w:p>
            <w:pPr>
              <w:pStyle w:val="12"/>
              <w:ind w:left="295" w:right="281"/>
              <w:jc w:val="center"/>
              <w:rPr>
                <w:rFonts w:eastAsia="宋体"/>
                <w:b/>
                <w:sz w:val="24"/>
                <w:szCs w:val="24"/>
                <w:lang w:eastAsia="zh-CN"/>
              </w:rPr>
            </w:pPr>
            <w:r>
              <w:rPr>
                <w:rFonts w:eastAsia="宋体"/>
                <w:b/>
                <w:spacing w:val="-5"/>
                <w:sz w:val="24"/>
                <w:szCs w:val="24"/>
                <w:lang w:eastAsia="zh-CN"/>
              </w:rPr>
              <w:t>100</w:t>
            </w:r>
          </w:p>
        </w:tc>
      </w:tr>
    </w:tbl>
    <w:p>
      <w:pPr>
        <w:spacing w:line="400" w:lineRule="exact"/>
        <w:rPr>
          <w:rFonts w:eastAsia="宋体"/>
          <w:sz w:val="24"/>
          <w:szCs w:val="24"/>
          <w:lang w:eastAsia="zh-CN"/>
        </w:rPr>
      </w:pPr>
      <w:r>
        <w:rPr>
          <w:rFonts w:eastAsia="宋体"/>
          <w:i/>
          <w:sz w:val="24"/>
          <w:szCs w:val="24"/>
          <w:lang w:eastAsia="zh-CN"/>
        </w:rPr>
        <w:t>注:</w:t>
      </w:r>
      <w:r>
        <w:rPr>
          <w:rFonts w:eastAsia="宋体"/>
          <w:sz w:val="24"/>
          <w:szCs w:val="24"/>
          <w:lang w:eastAsia="zh-CN"/>
        </w:rPr>
        <w:t>n.a. =不适用(指对企业或社会的影响不明确或不存在的情况)。CDD =客户尽职调查</w:t>
      </w:r>
      <w:r>
        <w:rPr>
          <w:rFonts w:hint="eastAsia" w:eastAsia="宋体"/>
          <w:sz w:val="24"/>
          <w:szCs w:val="24"/>
          <w:lang w:eastAsia="zh-CN"/>
        </w:rPr>
        <w:t>；</w:t>
      </w:r>
      <w:r>
        <w:rPr>
          <w:rFonts w:eastAsia="宋体"/>
          <w:sz w:val="24"/>
          <w:szCs w:val="24"/>
          <w:lang w:eastAsia="zh-CN"/>
        </w:rPr>
        <w:t>FFP =企业灵活</w:t>
      </w:r>
      <w:r>
        <w:rPr>
          <w:rFonts w:hint="eastAsia" w:eastAsia="宋体"/>
          <w:sz w:val="24"/>
          <w:szCs w:val="24"/>
          <w:lang w:eastAsia="zh-CN"/>
        </w:rPr>
        <w:t>度得分；</w:t>
      </w:r>
      <w:r>
        <w:rPr>
          <w:rFonts w:eastAsia="宋体"/>
          <w:sz w:val="24"/>
          <w:szCs w:val="24"/>
          <w:lang w:eastAsia="zh-CN"/>
        </w:rPr>
        <w:t>SBP——社会效益得分。</w:t>
      </w:r>
    </w:p>
    <w:p>
      <w:pPr>
        <w:pStyle w:val="5"/>
        <w:rPr>
          <w:lang w:eastAsia="zh-CN"/>
        </w:rPr>
      </w:pPr>
    </w:p>
    <w:p>
      <w:pPr>
        <w:pStyle w:val="11"/>
        <w:tabs>
          <w:tab w:val="left" w:pos="840"/>
          <w:tab w:val="left" w:pos="841"/>
        </w:tabs>
        <w:spacing w:line="400" w:lineRule="exact"/>
        <w:ind w:left="0" w:firstLine="0"/>
        <w:outlineLvl w:val="1"/>
        <w:rPr>
          <w:rFonts w:eastAsia="宋体"/>
          <w:b/>
          <w:sz w:val="28"/>
          <w:szCs w:val="28"/>
          <w:lang w:eastAsia="zh-CN"/>
        </w:rPr>
      </w:pPr>
      <w:r>
        <w:rPr>
          <w:rFonts w:eastAsia="宋体"/>
          <w:b/>
          <w:sz w:val="28"/>
          <w:szCs w:val="28"/>
          <w:lang w:eastAsia="zh-CN"/>
        </w:rPr>
        <w:t>6.2维度II——公共服务:信贷基础设施信息可及性和融资可获得性</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维度II涵盖9项指标，总分为17分(企业灵活性8分，社会福利9分)(表28)。该维度下各类别的得分情况如下:</w:t>
      </w:r>
    </w:p>
    <w:p>
      <w:pPr>
        <w:pStyle w:val="11"/>
        <w:tabs>
          <w:tab w:val="left" w:pos="841"/>
        </w:tabs>
        <w:spacing w:line="400" w:lineRule="exact"/>
        <w:ind w:left="0" w:firstLine="562" w:firstLineChars="200"/>
        <w:rPr>
          <w:rFonts w:eastAsia="宋体"/>
          <w:sz w:val="28"/>
          <w:szCs w:val="28"/>
          <w:lang w:eastAsia="zh-CN"/>
        </w:rPr>
      </w:pPr>
      <w:r>
        <w:rPr>
          <w:rFonts w:eastAsia="宋体"/>
          <w:b/>
          <w:bCs/>
          <w:iCs/>
          <w:sz w:val="28"/>
          <w:szCs w:val="28"/>
          <w:lang w:eastAsia="zh-CN"/>
        </w:rPr>
        <w:t xml:space="preserve">6.2.1 </w:t>
      </w:r>
      <w:r>
        <w:rPr>
          <w:rFonts w:eastAsia="宋体"/>
          <w:i/>
          <w:sz w:val="28"/>
          <w:szCs w:val="28"/>
          <w:u w:val="single"/>
          <w:lang w:eastAsia="zh-CN"/>
        </w:rPr>
        <w:t>征信局和征信登记处的运作</w:t>
      </w:r>
      <w:r>
        <w:rPr>
          <w:rFonts w:eastAsia="宋体"/>
          <w:iCs/>
          <w:sz w:val="28"/>
          <w:szCs w:val="28"/>
          <w:lang w:eastAsia="zh-CN"/>
        </w:rPr>
        <w:t>子</w:t>
      </w:r>
      <w:r>
        <w:rPr>
          <w:rFonts w:eastAsia="宋体"/>
          <w:spacing w:val="-14"/>
          <w:sz w:val="28"/>
          <w:szCs w:val="28"/>
          <w:lang w:eastAsia="zh-CN"/>
        </w:rPr>
        <w:t>类别涵盖3个指标，总分最高为6分(企业灵活性3分，社会福利3分)。</w:t>
      </w:r>
      <w:r>
        <w:rPr>
          <w:rFonts w:eastAsia="宋体"/>
          <w:sz w:val="28"/>
          <w:szCs w:val="28"/>
          <w:lang w:eastAsia="zh-CN"/>
        </w:rPr>
        <w:t>具体来说，每个指标各有3个衡量标准。</w:t>
      </w:r>
      <w:r>
        <w:rPr>
          <w:rFonts w:eastAsia="宋体"/>
          <w:i/>
          <w:sz w:val="28"/>
          <w:szCs w:val="28"/>
          <w:lang w:eastAsia="zh-CN"/>
        </w:rPr>
        <w:t>数据覆盖和识别、数据范围、附加服务</w:t>
      </w:r>
      <w:r>
        <w:rPr>
          <w:rFonts w:eastAsia="宋体"/>
          <w:i/>
          <w:spacing w:val="-9"/>
          <w:sz w:val="28"/>
          <w:szCs w:val="28"/>
          <w:lang w:eastAsia="zh-CN"/>
        </w:rPr>
        <w:t>和</w:t>
      </w:r>
      <w:r>
        <w:rPr>
          <w:rFonts w:eastAsia="宋体"/>
          <w:i/>
          <w:sz w:val="28"/>
          <w:szCs w:val="28"/>
          <w:lang w:eastAsia="zh-CN"/>
        </w:rPr>
        <w:t>借款人</w:t>
      </w:r>
      <w:r>
        <w:rPr>
          <w:rFonts w:eastAsia="宋体"/>
          <w:i/>
          <w:spacing w:val="-12"/>
          <w:sz w:val="28"/>
          <w:szCs w:val="28"/>
          <w:lang w:eastAsia="zh-CN"/>
        </w:rPr>
        <w:t>获取</w:t>
      </w:r>
      <w:r>
        <w:rPr>
          <w:rFonts w:eastAsia="宋体"/>
          <w:i/>
          <w:sz w:val="28"/>
          <w:szCs w:val="28"/>
          <w:lang w:eastAsia="zh-CN"/>
        </w:rPr>
        <w:t>信息</w:t>
      </w:r>
      <w:r>
        <w:rPr>
          <w:rFonts w:eastAsia="宋体"/>
          <w:sz w:val="28"/>
          <w:szCs w:val="28"/>
          <w:lang w:eastAsia="zh-CN"/>
        </w:rPr>
        <w:t>的特点可以促进企业获得融资，并有助于金融部门的稳定。由于这些措施直接影响企业和社会，因此对企业灵活性和社会效益的评分是相等的。</w:t>
      </w:r>
    </w:p>
    <w:p>
      <w:pPr>
        <w:pStyle w:val="11"/>
        <w:tabs>
          <w:tab w:val="left" w:pos="841"/>
        </w:tabs>
        <w:spacing w:line="400" w:lineRule="exact"/>
        <w:ind w:left="0" w:firstLine="562" w:firstLineChars="200"/>
        <w:rPr>
          <w:rFonts w:eastAsia="宋体"/>
          <w:sz w:val="28"/>
          <w:szCs w:val="28"/>
          <w:lang w:eastAsia="zh-CN"/>
        </w:rPr>
      </w:pPr>
      <w:r>
        <w:rPr>
          <w:rFonts w:eastAsia="宋体"/>
          <w:b/>
          <w:bCs/>
          <w:iCs/>
          <w:sz w:val="28"/>
          <w:szCs w:val="28"/>
          <w:lang w:eastAsia="zh-CN"/>
        </w:rPr>
        <w:t>6.2.2</w:t>
      </w:r>
      <w:r>
        <w:rPr>
          <w:rFonts w:eastAsia="宋体"/>
          <w:i/>
          <w:sz w:val="28"/>
          <w:szCs w:val="28"/>
          <w:u w:val="single"/>
          <w:lang w:eastAsia="zh-CN"/>
        </w:rPr>
        <w:t xml:space="preserve"> 动产抵押品登记操作</w:t>
      </w:r>
      <w:r>
        <w:rPr>
          <w:rFonts w:eastAsia="宋体"/>
          <w:sz w:val="28"/>
          <w:szCs w:val="28"/>
          <w:lang w:eastAsia="zh-CN"/>
        </w:rPr>
        <w:t>类别涵盖3个指标，总分最高为6分(企业灵活性3分，社会效益3分)。具体来说</w:t>
      </w:r>
      <w:r>
        <w:rPr>
          <w:rFonts w:eastAsia="宋体"/>
          <w:i/>
          <w:sz w:val="28"/>
          <w:szCs w:val="28"/>
          <w:lang w:eastAsia="zh-CN"/>
        </w:rPr>
        <w:t>，统一的抵押物登记</w:t>
      </w:r>
      <w:r>
        <w:rPr>
          <w:rFonts w:hint="eastAsia" w:eastAsia="宋体"/>
          <w:i/>
          <w:sz w:val="28"/>
          <w:szCs w:val="28"/>
          <w:lang w:eastAsia="zh-CN"/>
        </w:rPr>
        <w:t>；</w:t>
      </w:r>
      <w:r>
        <w:rPr>
          <w:rFonts w:eastAsia="宋体"/>
          <w:i/>
          <w:sz w:val="28"/>
          <w:szCs w:val="28"/>
          <w:lang w:eastAsia="zh-CN"/>
        </w:rPr>
        <w:t>基于通知的抵押品登记</w:t>
      </w:r>
      <w:r>
        <w:rPr>
          <w:rFonts w:hint="eastAsia" w:eastAsia="宋体"/>
          <w:i/>
          <w:sz w:val="28"/>
          <w:szCs w:val="28"/>
          <w:lang w:eastAsia="zh-CN"/>
        </w:rPr>
        <w:t>；</w:t>
      </w:r>
      <w:r>
        <w:rPr>
          <w:rFonts w:eastAsia="宋体"/>
          <w:i/>
          <w:sz w:val="28"/>
          <w:szCs w:val="28"/>
          <w:lang w:eastAsia="zh-CN"/>
        </w:rPr>
        <w:t>而现代的抵押品注册和访问数据</w:t>
      </w:r>
      <w:r>
        <w:rPr>
          <w:rFonts w:eastAsia="宋体"/>
          <w:sz w:val="28"/>
          <w:szCs w:val="28"/>
          <w:lang w:eastAsia="zh-CN"/>
        </w:rPr>
        <w:t>功能，使得注册更透明、成本更低，并拥有更快速的程序。因此，这些指标对公司和社会都有同样的好处。</w:t>
      </w:r>
    </w:p>
    <w:p>
      <w:pPr>
        <w:pStyle w:val="11"/>
        <w:tabs>
          <w:tab w:val="left" w:pos="841"/>
        </w:tabs>
        <w:spacing w:line="400" w:lineRule="exact"/>
        <w:ind w:left="0" w:firstLine="562" w:firstLineChars="200"/>
        <w:rPr>
          <w:rFonts w:eastAsia="宋体"/>
          <w:sz w:val="28"/>
          <w:szCs w:val="28"/>
          <w:lang w:eastAsia="zh-CN"/>
        </w:rPr>
      </w:pPr>
      <w:r>
        <w:rPr>
          <w:rFonts w:eastAsia="宋体"/>
          <w:b/>
          <w:bCs/>
          <w:iCs/>
          <w:sz w:val="28"/>
          <w:szCs w:val="28"/>
          <w:lang w:eastAsia="zh-CN"/>
        </w:rPr>
        <w:t xml:space="preserve">6.2.3 </w:t>
      </w:r>
      <w:r>
        <w:rPr>
          <w:rFonts w:eastAsia="宋体"/>
          <w:i/>
          <w:sz w:val="28"/>
          <w:szCs w:val="28"/>
          <w:u w:val="single"/>
          <w:lang w:eastAsia="zh-CN"/>
        </w:rPr>
        <w:t>绿色金融</w:t>
      </w:r>
      <w:r>
        <w:rPr>
          <w:rFonts w:eastAsia="宋体"/>
          <w:sz w:val="28"/>
          <w:szCs w:val="28"/>
          <w:lang w:eastAsia="zh-CN"/>
        </w:rPr>
        <w:t>类别包括2个指标，总分最高为3分(企业灵活性1分，社会效益2分)。具体而言，</w:t>
      </w:r>
      <w:r>
        <w:rPr>
          <w:rFonts w:eastAsia="宋体"/>
          <w:i/>
          <w:sz w:val="28"/>
          <w:szCs w:val="28"/>
          <w:lang w:eastAsia="zh-CN"/>
        </w:rPr>
        <w:t>绿色</w:t>
      </w:r>
      <w:r>
        <w:rPr>
          <w:rFonts w:eastAsia="宋体"/>
          <w:i/>
          <w:spacing w:val="-7"/>
          <w:sz w:val="28"/>
          <w:szCs w:val="28"/>
          <w:lang w:eastAsia="zh-CN"/>
        </w:rPr>
        <w:t>贷款</w:t>
      </w:r>
      <w:r>
        <w:rPr>
          <w:rFonts w:eastAsia="宋体"/>
          <w:sz w:val="28"/>
          <w:szCs w:val="28"/>
          <w:lang w:eastAsia="zh-CN"/>
        </w:rPr>
        <w:t>的</w:t>
      </w:r>
      <w:r>
        <w:rPr>
          <w:rFonts w:eastAsia="宋体"/>
          <w:i/>
          <w:sz w:val="28"/>
          <w:szCs w:val="28"/>
          <w:lang w:eastAsia="zh-CN"/>
        </w:rPr>
        <w:t>可获得性</w:t>
      </w:r>
      <w:r>
        <w:rPr>
          <w:rFonts w:eastAsia="宋体"/>
          <w:spacing w:val="-9"/>
          <w:sz w:val="28"/>
          <w:szCs w:val="28"/>
          <w:lang w:eastAsia="zh-CN"/>
        </w:rPr>
        <w:t>，以及</w:t>
      </w:r>
      <w:r>
        <w:rPr>
          <w:rFonts w:eastAsia="宋体"/>
          <w:i/>
          <w:spacing w:val="-9"/>
          <w:sz w:val="28"/>
          <w:szCs w:val="28"/>
          <w:lang w:eastAsia="zh-CN"/>
        </w:rPr>
        <w:t>获得绿色贷款的外部审查要求</w:t>
      </w:r>
      <w:r>
        <w:rPr>
          <w:rFonts w:eastAsia="宋体"/>
          <w:sz w:val="28"/>
          <w:szCs w:val="28"/>
          <w:lang w:eastAsia="zh-CN"/>
        </w:rPr>
        <w:t>。在实践中，绿色贷款的可获得性，即使在国家层面上没有被采用的框架，对企业和社会都是有益的，因为它意味着经济中可获得一种替代融资产品。因此，该指标对企业灵活性和社会效益都进行了评分。符合要求获得绿色贷款对企业来说是一种成本，但也使企业能够获得绿色融资。这些合规要求构成了一种社会效益，因为它们防止了</w:t>
      </w:r>
      <w:r>
        <w:rPr>
          <w:rFonts w:hint="eastAsia" w:eastAsia="宋体"/>
          <w:sz w:val="28"/>
          <w:szCs w:val="28"/>
          <w:lang w:eastAsia="zh-CN"/>
        </w:rPr>
        <w:t>“</w:t>
      </w:r>
      <w:r>
        <w:rPr>
          <w:rFonts w:eastAsia="宋体"/>
          <w:sz w:val="28"/>
          <w:szCs w:val="28"/>
          <w:lang w:eastAsia="zh-CN"/>
        </w:rPr>
        <w:t>洗绿</w:t>
      </w:r>
      <w:r>
        <w:rPr>
          <w:rFonts w:hint="eastAsia" w:eastAsia="宋体"/>
          <w:sz w:val="28"/>
          <w:szCs w:val="28"/>
          <w:lang w:eastAsia="zh-CN"/>
        </w:rPr>
        <w:t>”</w:t>
      </w:r>
      <w:r>
        <w:rPr>
          <w:rFonts w:eastAsia="宋体"/>
          <w:sz w:val="28"/>
          <w:szCs w:val="28"/>
          <w:lang w:eastAsia="zh-CN"/>
        </w:rPr>
        <w:t>。因此，该指标仅根据社会效益进行评分。</w:t>
      </w:r>
    </w:p>
    <w:p>
      <w:pPr>
        <w:pStyle w:val="11"/>
        <w:tabs>
          <w:tab w:val="left" w:pos="841"/>
        </w:tabs>
        <w:spacing w:line="400" w:lineRule="exact"/>
        <w:ind w:left="0" w:firstLine="562" w:firstLineChars="200"/>
        <w:rPr>
          <w:rFonts w:eastAsia="宋体"/>
          <w:sz w:val="28"/>
          <w:szCs w:val="28"/>
          <w:lang w:eastAsia="zh-CN"/>
        </w:rPr>
      </w:pPr>
      <w:r>
        <w:rPr>
          <w:rFonts w:eastAsia="宋体"/>
          <w:b/>
          <w:bCs/>
          <w:iCs/>
          <w:sz w:val="28"/>
          <w:szCs w:val="28"/>
          <w:lang w:eastAsia="zh-CN"/>
        </w:rPr>
        <w:t xml:space="preserve">6.2.4 </w:t>
      </w:r>
      <w:r>
        <w:rPr>
          <w:rFonts w:eastAsia="宋体"/>
          <w:i/>
          <w:sz w:val="28"/>
          <w:szCs w:val="28"/>
          <w:u w:val="single"/>
          <w:lang w:eastAsia="zh-CN"/>
        </w:rPr>
        <w:t>性别金融</w:t>
      </w:r>
      <w:r>
        <w:rPr>
          <w:rFonts w:eastAsia="宋体"/>
          <w:sz w:val="28"/>
          <w:szCs w:val="28"/>
          <w:lang w:eastAsia="zh-CN"/>
        </w:rPr>
        <w:t>类别涵盖1个指标，总分最高为2分(企业灵活性1分，社会效益1分)。具体而言，</w:t>
      </w:r>
      <w:r>
        <w:rPr>
          <w:rFonts w:eastAsia="宋体"/>
          <w:i/>
          <w:sz w:val="28"/>
          <w:szCs w:val="28"/>
          <w:lang w:eastAsia="zh-CN"/>
        </w:rPr>
        <w:t>促进</w:t>
      </w:r>
      <w:r>
        <w:rPr>
          <w:rFonts w:eastAsia="宋体"/>
          <w:i/>
          <w:spacing w:val="-12"/>
          <w:sz w:val="28"/>
          <w:szCs w:val="28"/>
          <w:lang w:eastAsia="zh-CN"/>
        </w:rPr>
        <w:t>妇女</w:t>
      </w:r>
      <w:r>
        <w:rPr>
          <w:rFonts w:eastAsia="宋体"/>
          <w:i/>
          <w:sz w:val="28"/>
          <w:szCs w:val="28"/>
          <w:lang w:eastAsia="zh-CN"/>
        </w:rPr>
        <w:t>获得</w:t>
      </w:r>
      <w:r>
        <w:rPr>
          <w:rFonts w:eastAsia="宋体"/>
          <w:i/>
          <w:spacing w:val="-11"/>
          <w:sz w:val="28"/>
          <w:szCs w:val="28"/>
          <w:lang w:eastAsia="zh-CN"/>
        </w:rPr>
        <w:t>融资</w:t>
      </w:r>
      <w:r>
        <w:rPr>
          <w:rFonts w:eastAsia="宋体"/>
          <w:spacing w:val="-14"/>
          <w:sz w:val="28"/>
          <w:szCs w:val="28"/>
          <w:lang w:eastAsia="zh-CN"/>
        </w:rPr>
        <w:t>子类别有1个指标。</w:t>
      </w:r>
      <w:r>
        <w:rPr>
          <w:rFonts w:eastAsia="宋体"/>
          <w:sz w:val="28"/>
          <w:szCs w:val="28"/>
          <w:lang w:eastAsia="zh-CN"/>
        </w:rPr>
        <w:t>提供针对女性的金融和非金融产品、倡议和方案以促进女性在银行业的发展，对企业和整个社会都是有益的。因此，这两个类别的得分是相等的。</w:t>
      </w:r>
    </w:p>
    <w:p>
      <w:pPr>
        <w:pStyle w:val="5"/>
        <w:spacing w:line="400" w:lineRule="exact"/>
        <w:ind w:firstLine="560" w:firstLineChars="200"/>
        <w:rPr>
          <w:rFonts w:eastAsia="宋体"/>
          <w:sz w:val="28"/>
          <w:szCs w:val="28"/>
          <w:lang w:eastAsia="zh-CN"/>
        </w:rPr>
      </w:pPr>
    </w:p>
    <w:p>
      <w:pPr>
        <w:spacing w:line="400" w:lineRule="exact"/>
        <w:jc w:val="center"/>
        <w:rPr>
          <w:rFonts w:eastAsia="宋体"/>
          <w:b/>
          <w:sz w:val="28"/>
          <w:szCs w:val="28"/>
          <w:lang w:eastAsia="zh-CN"/>
        </w:rPr>
      </w:pPr>
      <w:r>
        <w:rPr>
          <w:rFonts w:eastAsia="宋体"/>
          <w:b/>
          <w:sz w:val="28"/>
          <w:szCs w:val="28"/>
          <w:lang w:eastAsia="zh-CN"/>
        </w:rPr>
        <w:t>表28</w:t>
      </w:r>
      <w:r>
        <w:rPr>
          <w:rFonts w:hint="eastAsia" w:eastAsia="宋体"/>
          <w:b/>
          <w:sz w:val="28"/>
          <w:szCs w:val="28"/>
          <w:lang w:eastAsia="zh-CN"/>
        </w:rPr>
        <w:t>.</w:t>
      </w:r>
      <w:r>
        <w:rPr>
          <w:rFonts w:eastAsia="宋体"/>
          <w:b/>
          <w:sz w:val="28"/>
          <w:szCs w:val="28"/>
          <w:lang w:eastAsia="zh-CN"/>
        </w:rPr>
        <w:t xml:space="preserve"> 维度II的得分</w:t>
      </w:r>
    </w:p>
    <w:tbl>
      <w:tblPr>
        <w:tblStyle w:val="8"/>
        <w:tblW w:w="8524"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9"/>
        <w:gridCol w:w="3336"/>
        <w:gridCol w:w="776"/>
        <w:gridCol w:w="948"/>
        <w:gridCol w:w="1181"/>
        <w:gridCol w:w="595"/>
        <w:gridCol w:w="10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955" w:type="dxa"/>
            <w:gridSpan w:val="2"/>
            <w:shd w:val="clear" w:color="auto" w:fill="D9E1F3"/>
            <w:vAlign w:val="center"/>
          </w:tcPr>
          <w:p>
            <w:pPr>
              <w:pStyle w:val="12"/>
              <w:ind w:left="4" w:right="13"/>
              <w:jc w:val="center"/>
              <w:rPr>
                <w:rFonts w:eastAsia="宋体"/>
                <w:b/>
                <w:sz w:val="24"/>
                <w:szCs w:val="24"/>
                <w:lang w:eastAsia="zh-CN"/>
              </w:rPr>
            </w:pPr>
            <w:r>
              <w:rPr>
                <w:rFonts w:eastAsia="宋体"/>
                <w:b/>
                <w:sz w:val="24"/>
                <w:szCs w:val="24"/>
                <w:lang w:eastAsia="zh-CN"/>
              </w:rPr>
              <w:t>维度II——公共服务:信贷基础设施信息可及性和融资的可获得性</w:t>
            </w:r>
          </w:p>
        </w:tc>
        <w:tc>
          <w:tcPr>
            <w:tcW w:w="776" w:type="dxa"/>
            <w:shd w:val="clear" w:color="auto" w:fill="D9E1F3"/>
            <w:vAlign w:val="center"/>
          </w:tcPr>
          <w:p>
            <w:pPr>
              <w:pStyle w:val="12"/>
              <w:ind w:left="15" w:right="8"/>
              <w:jc w:val="center"/>
              <w:rPr>
                <w:rFonts w:eastAsia="宋体"/>
                <w:b/>
                <w:sz w:val="24"/>
                <w:szCs w:val="24"/>
              </w:rPr>
            </w:pPr>
            <w:r>
              <w:rPr>
                <w:rFonts w:eastAsia="宋体"/>
                <w:b/>
                <w:sz w:val="24"/>
                <w:szCs w:val="24"/>
              </w:rPr>
              <w:t>指标</w:t>
            </w:r>
          </w:p>
          <w:p>
            <w:pPr>
              <w:pStyle w:val="12"/>
              <w:ind w:left="15" w:right="8"/>
              <w:jc w:val="center"/>
              <w:rPr>
                <w:rFonts w:eastAsia="宋体"/>
                <w:b/>
                <w:sz w:val="24"/>
                <w:szCs w:val="24"/>
                <w:lang w:eastAsia="zh-CN"/>
              </w:rPr>
            </w:pPr>
            <w:r>
              <w:rPr>
                <w:rFonts w:eastAsia="宋体"/>
                <w:b/>
                <w:sz w:val="24"/>
                <w:szCs w:val="24"/>
                <w:lang w:eastAsia="zh-CN"/>
              </w:rPr>
              <w:t>数量</w:t>
            </w:r>
          </w:p>
        </w:tc>
        <w:tc>
          <w:tcPr>
            <w:tcW w:w="948" w:type="dxa"/>
            <w:shd w:val="clear" w:color="auto" w:fill="D9E1F3"/>
            <w:vAlign w:val="center"/>
          </w:tcPr>
          <w:p>
            <w:pPr>
              <w:pStyle w:val="12"/>
              <w:spacing w:before="103"/>
              <w:ind w:left="19" w:right="8"/>
              <w:jc w:val="center"/>
              <w:rPr>
                <w:rFonts w:eastAsia="宋体"/>
                <w:b/>
                <w:sz w:val="24"/>
                <w:szCs w:val="24"/>
              </w:rPr>
            </w:pPr>
            <w:r>
              <w:rPr>
                <w:rFonts w:hint="eastAsia" w:eastAsia="宋体"/>
                <w:b/>
                <w:spacing w:val="-5"/>
                <w:sz w:val="24"/>
                <w:szCs w:val="24"/>
                <w:lang w:eastAsia="zh-CN"/>
              </w:rPr>
              <w:t>企业灵活度得分</w:t>
            </w:r>
          </w:p>
        </w:tc>
        <w:tc>
          <w:tcPr>
            <w:tcW w:w="1181" w:type="dxa"/>
            <w:shd w:val="clear" w:color="auto" w:fill="D9E1F3"/>
            <w:vAlign w:val="center"/>
          </w:tcPr>
          <w:p>
            <w:pPr>
              <w:pStyle w:val="12"/>
              <w:spacing w:before="103"/>
              <w:ind w:left="293" w:right="283"/>
              <w:jc w:val="center"/>
              <w:rPr>
                <w:rFonts w:eastAsia="宋体"/>
                <w:b/>
                <w:sz w:val="24"/>
                <w:szCs w:val="24"/>
              </w:rPr>
            </w:pPr>
            <w:r>
              <w:rPr>
                <w:rFonts w:hint="eastAsia" w:eastAsia="宋体"/>
                <w:b/>
                <w:spacing w:val="-5"/>
                <w:sz w:val="24"/>
                <w:szCs w:val="24"/>
                <w:lang w:eastAsia="zh-CN"/>
              </w:rPr>
              <w:t>社会效益得分</w:t>
            </w:r>
          </w:p>
        </w:tc>
        <w:tc>
          <w:tcPr>
            <w:tcW w:w="595" w:type="dxa"/>
            <w:shd w:val="clear" w:color="auto" w:fill="D9E1F3"/>
            <w:vAlign w:val="center"/>
          </w:tcPr>
          <w:p>
            <w:pPr>
              <w:pStyle w:val="12"/>
              <w:spacing w:before="103"/>
              <w:ind w:left="20" w:right="6"/>
              <w:jc w:val="center"/>
              <w:rPr>
                <w:rFonts w:eastAsia="宋体"/>
                <w:b/>
                <w:sz w:val="24"/>
                <w:szCs w:val="24"/>
              </w:rPr>
            </w:pPr>
            <w:r>
              <w:rPr>
                <w:rFonts w:eastAsia="宋体"/>
                <w:b/>
                <w:sz w:val="24"/>
                <w:szCs w:val="24"/>
                <w:lang w:eastAsia="zh-CN"/>
              </w:rPr>
              <w:t>总</w:t>
            </w:r>
            <w:r>
              <w:rPr>
                <w:rFonts w:eastAsia="宋体"/>
                <w:b/>
                <w:sz w:val="24"/>
                <w:szCs w:val="24"/>
              </w:rPr>
              <w:t>分</w:t>
            </w:r>
          </w:p>
        </w:tc>
        <w:tc>
          <w:tcPr>
            <w:tcW w:w="1069" w:type="dxa"/>
            <w:shd w:val="clear" w:color="auto" w:fill="D9E1F3"/>
            <w:vAlign w:val="center"/>
          </w:tcPr>
          <w:p>
            <w:pPr>
              <w:pStyle w:val="12"/>
              <w:ind w:left="278" w:right="158" w:hanging="106"/>
              <w:jc w:val="center"/>
              <w:rPr>
                <w:rFonts w:eastAsia="宋体"/>
                <w:b/>
                <w:sz w:val="24"/>
                <w:szCs w:val="24"/>
                <w:lang w:eastAsia="zh-CN"/>
              </w:rPr>
            </w:pPr>
            <w:r>
              <w:rPr>
                <w:rFonts w:eastAsia="宋体"/>
                <w:b/>
                <w:sz w:val="24"/>
                <w:szCs w:val="24"/>
                <w:lang w:eastAsia="zh-CN"/>
              </w:rPr>
              <w:t>调整</w:t>
            </w:r>
            <w:r>
              <w:rPr>
                <w:rFonts w:hint="eastAsia" w:eastAsia="宋体"/>
                <w:b/>
                <w:sz w:val="24"/>
                <w:szCs w:val="24"/>
                <w:lang w:eastAsia="zh-CN"/>
              </w:rPr>
              <w:t>后</w:t>
            </w:r>
          </w:p>
          <w:p>
            <w:pPr>
              <w:pStyle w:val="12"/>
              <w:ind w:left="278" w:right="158" w:hanging="106"/>
              <w:jc w:val="center"/>
              <w:rPr>
                <w:rFonts w:eastAsia="宋体"/>
                <w:b/>
                <w:sz w:val="24"/>
                <w:szCs w:val="24"/>
                <w:lang w:eastAsia="zh-CN"/>
              </w:rPr>
            </w:pPr>
            <w:r>
              <w:rPr>
                <w:rFonts w:eastAsia="宋体"/>
                <w:b/>
                <w:sz w:val="24"/>
                <w:szCs w:val="24"/>
                <w:lang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19" w:type="dxa"/>
            <w:shd w:val="clear" w:color="auto" w:fill="D9E1F3"/>
          </w:tcPr>
          <w:p>
            <w:pPr>
              <w:pStyle w:val="12"/>
              <w:ind w:left="4"/>
              <w:rPr>
                <w:rFonts w:eastAsia="宋体"/>
                <w:b/>
                <w:sz w:val="24"/>
                <w:szCs w:val="24"/>
              </w:rPr>
            </w:pPr>
            <w:r>
              <w:rPr>
                <w:rFonts w:eastAsia="宋体"/>
                <w:b/>
                <w:spacing w:val="-5"/>
                <w:sz w:val="24"/>
                <w:szCs w:val="24"/>
              </w:rPr>
              <w:t>2.1</w:t>
            </w:r>
          </w:p>
        </w:tc>
        <w:tc>
          <w:tcPr>
            <w:tcW w:w="3336" w:type="dxa"/>
            <w:shd w:val="clear" w:color="auto" w:fill="D9E1F3"/>
          </w:tcPr>
          <w:p>
            <w:pPr>
              <w:pStyle w:val="12"/>
              <w:ind w:left="7"/>
              <w:rPr>
                <w:rFonts w:eastAsia="宋体"/>
                <w:b/>
                <w:sz w:val="24"/>
                <w:szCs w:val="24"/>
                <w:lang w:eastAsia="zh-CN"/>
              </w:rPr>
            </w:pPr>
            <w:r>
              <w:rPr>
                <w:rFonts w:eastAsia="宋体"/>
                <w:b/>
                <w:sz w:val="24"/>
                <w:szCs w:val="24"/>
                <w:lang w:eastAsia="zh-CN"/>
              </w:rPr>
              <w:t>征信局和征信登记处的运作</w:t>
            </w:r>
          </w:p>
        </w:tc>
        <w:tc>
          <w:tcPr>
            <w:tcW w:w="776" w:type="dxa"/>
            <w:shd w:val="clear" w:color="auto" w:fill="D9E1F3"/>
          </w:tcPr>
          <w:p>
            <w:pPr>
              <w:pStyle w:val="12"/>
              <w:ind w:left="9"/>
              <w:jc w:val="center"/>
              <w:rPr>
                <w:rFonts w:eastAsia="宋体"/>
                <w:b/>
                <w:sz w:val="24"/>
                <w:szCs w:val="24"/>
              </w:rPr>
            </w:pPr>
            <w:r>
              <w:rPr>
                <w:rFonts w:eastAsia="宋体"/>
                <w:b/>
                <w:sz w:val="24"/>
                <w:szCs w:val="24"/>
              </w:rPr>
              <w:t>3.</w:t>
            </w:r>
          </w:p>
        </w:tc>
        <w:tc>
          <w:tcPr>
            <w:tcW w:w="948" w:type="dxa"/>
            <w:shd w:val="clear" w:color="auto" w:fill="D9E1F3"/>
          </w:tcPr>
          <w:p>
            <w:pPr>
              <w:pStyle w:val="12"/>
              <w:ind w:left="10"/>
              <w:jc w:val="center"/>
              <w:rPr>
                <w:rFonts w:eastAsia="宋体"/>
                <w:b/>
                <w:sz w:val="24"/>
                <w:szCs w:val="24"/>
              </w:rPr>
            </w:pPr>
            <w:r>
              <w:rPr>
                <w:rFonts w:eastAsia="宋体"/>
                <w:b/>
                <w:sz w:val="24"/>
                <w:szCs w:val="24"/>
              </w:rPr>
              <w:t>3.</w:t>
            </w:r>
          </w:p>
        </w:tc>
        <w:tc>
          <w:tcPr>
            <w:tcW w:w="1181" w:type="dxa"/>
            <w:shd w:val="clear" w:color="auto" w:fill="D9E1F3"/>
          </w:tcPr>
          <w:p>
            <w:pPr>
              <w:pStyle w:val="12"/>
              <w:ind w:left="9"/>
              <w:jc w:val="center"/>
              <w:rPr>
                <w:rFonts w:eastAsia="宋体"/>
                <w:b/>
                <w:sz w:val="24"/>
                <w:szCs w:val="24"/>
              </w:rPr>
            </w:pPr>
            <w:r>
              <w:rPr>
                <w:rFonts w:eastAsia="宋体"/>
                <w:b/>
                <w:sz w:val="24"/>
                <w:szCs w:val="24"/>
              </w:rPr>
              <w:t>3.</w:t>
            </w:r>
          </w:p>
        </w:tc>
        <w:tc>
          <w:tcPr>
            <w:tcW w:w="595" w:type="dxa"/>
            <w:shd w:val="clear" w:color="auto" w:fill="D9E1F3"/>
          </w:tcPr>
          <w:p>
            <w:pPr>
              <w:pStyle w:val="12"/>
              <w:ind w:left="13"/>
              <w:jc w:val="center"/>
              <w:rPr>
                <w:rFonts w:eastAsia="宋体"/>
                <w:b/>
                <w:sz w:val="24"/>
                <w:szCs w:val="24"/>
              </w:rPr>
            </w:pPr>
            <w:r>
              <w:rPr>
                <w:rFonts w:eastAsia="宋体"/>
                <w:b/>
                <w:sz w:val="24"/>
                <w:szCs w:val="24"/>
              </w:rPr>
              <w:t>6</w:t>
            </w:r>
          </w:p>
        </w:tc>
        <w:tc>
          <w:tcPr>
            <w:tcW w:w="1069" w:type="dxa"/>
            <w:shd w:val="clear" w:color="auto" w:fill="D9E1F3"/>
          </w:tcPr>
          <w:p>
            <w:pPr>
              <w:pStyle w:val="12"/>
              <w:ind w:right="283"/>
              <w:jc w:val="center"/>
              <w:rPr>
                <w:rFonts w:eastAsia="宋体"/>
                <w:b/>
                <w:sz w:val="24"/>
                <w:szCs w:val="24"/>
              </w:rPr>
            </w:pPr>
            <w:r>
              <w:rPr>
                <w:rFonts w:eastAsia="宋体"/>
                <w:b/>
                <w:spacing w:val="-2"/>
                <w:sz w:val="24"/>
                <w:szCs w:val="24"/>
              </w:rPr>
              <w:t>35.29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tcPr>
          <w:p>
            <w:pPr>
              <w:pStyle w:val="12"/>
              <w:ind w:left="4"/>
              <w:rPr>
                <w:rFonts w:eastAsia="宋体"/>
                <w:sz w:val="24"/>
                <w:szCs w:val="24"/>
              </w:rPr>
            </w:pPr>
            <w:r>
              <w:rPr>
                <w:rFonts w:eastAsia="宋体"/>
                <w:spacing w:val="-2"/>
                <w:sz w:val="24"/>
                <w:szCs w:val="24"/>
              </w:rPr>
              <w:t>2.1.1</w:t>
            </w:r>
          </w:p>
        </w:tc>
        <w:tc>
          <w:tcPr>
            <w:tcW w:w="3336" w:type="dxa"/>
          </w:tcPr>
          <w:p>
            <w:pPr>
              <w:pStyle w:val="12"/>
              <w:ind w:left="7"/>
              <w:rPr>
                <w:rFonts w:eastAsia="宋体"/>
                <w:sz w:val="24"/>
                <w:szCs w:val="24"/>
                <w:lang w:eastAsia="zh-CN"/>
              </w:rPr>
            </w:pPr>
            <w:r>
              <w:rPr>
                <w:rFonts w:eastAsia="宋体"/>
                <w:sz w:val="24"/>
                <w:szCs w:val="24"/>
                <w:lang w:eastAsia="zh-CN"/>
              </w:rPr>
              <w:t>数据覆盖和信用信息获取</w:t>
            </w:r>
          </w:p>
        </w:tc>
        <w:tc>
          <w:tcPr>
            <w:tcW w:w="776" w:type="dxa"/>
          </w:tcPr>
          <w:p>
            <w:pPr>
              <w:pStyle w:val="12"/>
              <w:ind w:left="9"/>
              <w:jc w:val="center"/>
              <w:rPr>
                <w:rFonts w:eastAsia="宋体"/>
                <w:sz w:val="24"/>
                <w:szCs w:val="24"/>
              </w:rPr>
            </w:pPr>
            <w:r>
              <w:rPr>
                <w:rFonts w:eastAsia="宋体"/>
                <w:sz w:val="24"/>
                <w:szCs w:val="24"/>
              </w:rPr>
              <w:t>3.</w:t>
            </w:r>
          </w:p>
        </w:tc>
        <w:tc>
          <w:tcPr>
            <w:tcW w:w="948" w:type="dxa"/>
          </w:tcPr>
          <w:p>
            <w:pPr>
              <w:pStyle w:val="12"/>
              <w:ind w:left="10"/>
              <w:jc w:val="center"/>
              <w:rPr>
                <w:rFonts w:eastAsia="宋体"/>
                <w:sz w:val="24"/>
                <w:szCs w:val="24"/>
              </w:rPr>
            </w:pPr>
            <w:r>
              <w:rPr>
                <w:rFonts w:eastAsia="宋体"/>
                <w:sz w:val="24"/>
                <w:szCs w:val="24"/>
              </w:rPr>
              <w:t>3.</w:t>
            </w:r>
          </w:p>
        </w:tc>
        <w:tc>
          <w:tcPr>
            <w:tcW w:w="1181" w:type="dxa"/>
          </w:tcPr>
          <w:p>
            <w:pPr>
              <w:pStyle w:val="12"/>
              <w:ind w:left="9"/>
              <w:jc w:val="center"/>
              <w:rPr>
                <w:rFonts w:eastAsia="宋体"/>
                <w:sz w:val="24"/>
                <w:szCs w:val="24"/>
              </w:rPr>
            </w:pPr>
            <w:r>
              <w:rPr>
                <w:rFonts w:eastAsia="宋体"/>
                <w:sz w:val="24"/>
                <w:szCs w:val="24"/>
              </w:rPr>
              <w:t>3.</w:t>
            </w:r>
          </w:p>
        </w:tc>
        <w:tc>
          <w:tcPr>
            <w:tcW w:w="595" w:type="dxa"/>
          </w:tcPr>
          <w:p>
            <w:pPr>
              <w:pStyle w:val="12"/>
              <w:ind w:left="13"/>
              <w:jc w:val="center"/>
              <w:rPr>
                <w:rFonts w:eastAsia="宋体"/>
                <w:sz w:val="24"/>
                <w:szCs w:val="24"/>
              </w:rPr>
            </w:pPr>
            <w:r>
              <w:rPr>
                <w:rFonts w:eastAsia="宋体"/>
                <w:sz w:val="24"/>
                <w:szCs w:val="24"/>
              </w:rPr>
              <w:t>6</w:t>
            </w:r>
          </w:p>
        </w:tc>
        <w:tc>
          <w:tcPr>
            <w:tcW w:w="1069" w:type="dxa"/>
          </w:tcPr>
          <w:p>
            <w:pPr>
              <w:pStyle w:val="12"/>
              <w:ind w:right="283"/>
              <w:jc w:val="center"/>
              <w:rPr>
                <w:rFonts w:eastAsia="宋体"/>
                <w:sz w:val="24"/>
                <w:szCs w:val="24"/>
              </w:rPr>
            </w:pPr>
            <w:r>
              <w:rPr>
                <w:rFonts w:eastAsia="宋体"/>
                <w:spacing w:val="-2"/>
                <w:sz w:val="24"/>
                <w:szCs w:val="24"/>
              </w:rPr>
              <w:t>35.29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shd w:val="clear" w:color="auto" w:fill="D9E1F3"/>
          </w:tcPr>
          <w:p>
            <w:pPr>
              <w:pStyle w:val="12"/>
              <w:spacing w:before="2"/>
              <w:ind w:left="4"/>
              <w:rPr>
                <w:rFonts w:eastAsia="宋体"/>
                <w:b/>
                <w:sz w:val="24"/>
                <w:szCs w:val="24"/>
              </w:rPr>
            </w:pPr>
            <w:r>
              <w:rPr>
                <w:rFonts w:eastAsia="宋体"/>
                <w:b/>
                <w:spacing w:val="-5"/>
                <w:sz w:val="24"/>
                <w:szCs w:val="24"/>
              </w:rPr>
              <w:t>2.2</w:t>
            </w:r>
          </w:p>
        </w:tc>
        <w:tc>
          <w:tcPr>
            <w:tcW w:w="3336" w:type="dxa"/>
            <w:shd w:val="clear" w:color="auto" w:fill="D9E1F3"/>
          </w:tcPr>
          <w:p>
            <w:pPr>
              <w:pStyle w:val="12"/>
              <w:spacing w:before="2"/>
              <w:ind w:left="7"/>
              <w:rPr>
                <w:rFonts w:eastAsia="宋体"/>
                <w:b/>
                <w:sz w:val="24"/>
                <w:szCs w:val="24"/>
              </w:rPr>
            </w:pPr>
            <w:r>
              <w:rPr>
                <w:rFonts w:eastAsia="宋体"/>
                <w:b/>
                <w:sz w:val="24"/>
                <w:szCs w:val="24"/>
                <w:lang w:eastAsia="zh-CN"/>
              </w:rPr>
              <w:t>抵押</w:t>
            </w:r>
            <w:r>
              <w:rPr>
                <w:rFonts w:eastAsia="宋体"/>
                <w:b/>
                <w:sz w:val="24"/>
                <w:szCs w:val="24"/>
              </w:rPr>
              <w:t>登记处的运作</w:t>
            </w:r>
          </w:p>
        </w:tc>
        <w:tc>
          <w:tcPr>
            <w:tcW w:w="776" w:type="dxa"/>
            <w:shd w:val="clear" w:color="auto" w:fill="D9E1F3"/>
          </w:tcPr>
          <w:p>
            <w:pPr>
              <w:pStyle w:val="12"/>
              <w:spacing w:before="2"/>
              <w:ind w:left="9"/>
              <w:jc w:val="center"/>
              <w:rPr>
                <w:rFonts w:eastAsia="宋体"/>
                <w:b/>
                <w:sz w:val="24"/>
                <w:szCs w:val="24"/>
              </w:rPr>
            </w:pPr>
            <w:r>
              <w:rPr>
                <w:rFonts w:eastAsia="宋体"/>
                <w:b/>
                <w:sz w:val="24"/>
                <w:szCs w:val="24"/>
              </w:rPr>
              <w:t>3.</w:t>
            </w:r>
          </w:p>
        </w:tc>
        <w:tc>
          <w:tcPr>
            <w:tcW w:w="948" w:type="dxa"/>
            <w:shd w:val="clear" w:color="auto" w:fill="D9E1F3"/>
          </w:tcPr>
          <w:p>
            <w:pPr>
              <w:pStyle w:val="12"/>
              <w:spacing w:before="2"/>
              <w:ind w:left="10"/>
              <w:jc w:val="center"/>
              <w:rPr>
                <w:rFonts w:eastAsia="宋体"/>
                <w:b/>
                <w:sz w:val="24"/>
                <w:szCs w:val="24"/>
              </w:rPr>
            </w:pPr>
            <w:r>
              <w:rPr>
                <w:rFonts w:eastAsia="宋体"/>
                <w:b/>
                <w:sz w:val="24"/>
                <w:szCs w:val="24"/>
              </w:rPr>
              <w:t>3.</w:t>
            </w:r>
          </w:p>
        </w:tc>
        <w:tc>
          <w:tcPr>
            <w:tcW w:w="1181" w:type="dxa"/>
            <w:shd w:val="clear" w:color="auto" w:fill="D9E1F3"/>
          </w:tcPr>
          <w:p>
            <w:pPr>
              <w:pStyle w:val="12"/>
              <w:spacing w:before="2"/>
              <w:ind w:left="9"/>
              <w:jc w:val="center"/>
              <w:rPr>
                <w:rFonts w:eastAsia="宋体"/>
                <w:b/>
                <w:sz w:val="24"/>
                <w:szCs w:val="24"/>
              </w:rPr>
            </w:pPr>
            <w:r>
              <w:rPr>
                <w:rFonts w:eastAsia="宋体"/>
                <w:b/>
                <w:sz w:val="24"/>
                <w:szCs w:val="24"/>
              </w:rPr>
              <w:t>3.</w:t>
            </w:r>
          </w:p>
        </w:tc>
        <w:tc>
          <w:tcPr>
            <w:tcW w:w="595" w:type="dxa"/>
            <w:shd w:val="clear" w:color="auto" w:fill="D9E1F3"/>
          </w:tcPr>
          <w:p>
            <w:pPr>
              <w:pStyle w:val="12"/>
              <w:spacing w:before="2"/>
              <w:ind w:left="13"/>
              <w:jc w:val="center"/>
              <w:rPr>
                <w:rFonts w:eastAsia="宋体"/>
                <w:b/>
                <w:sz w:val="24"/>
                <w:szCs w:val="24"/>
              </w:rPr>
            </w:pPr>
            <w:r>
              <w:rPr>
                <w:rFonts w:eastAsia="宋体"/>
                <w:b/>
                <w:sz w:val="24"/>
                <w:szCs w:val="24"/>
              </w:rPr>
              <w:t>6</w:t>
            </w:r>
          </w:p>
        </w:tc>
        <w:tc>
          <w:tcPr>
            <w:tcW w:w="1069" w:type="dxa"/>
            <w:shd w:val="clear" w:color="auto" w:fill="D9E1F3"/>
          </w:tcPr>
          <w:p>
            <w:pPr>
              <w:pStyle w:val="12"/>
              <w:spacing w:before="2"/>
              <w:ind w:right="283"/>
              <w:jc w:val="center"/>
              <w:rPr>
                <w:rFonts w:eastAsia="宋体"/>
                <w:b/>
                <w:sz w:val="24"/>
                <w:szCs w:val="24"/>
              </w:rPr>
            </w:pPr>
            <w:r>
              <w:rPr>
                <w:rFonts w:eastAsia="宋体"/>
                <w:b/>
                <w:spacing w:val="-2"/>
                <w:sz w:val="24"/>
                <w:szCs w:val="24"/>
              </w:rPr>
              <w:t>35.29</w:t>
            </w:r>
          </w:p>
        </w:tc>
      </w:tr>
    </w:tbl>
    <w:p>
      <w:pPr>
        <w:jc w:val="center"/>
        <w:rPr>
          <w:rFonts w:eastAsia="宋体"/>
          <w:sz w:val="24"/>
          <w:szCs w:val="24"/>
        </w:rPr>
        <w:sectPr>
          <w:type w:val="continuous"/>
          <w:pgSz w:w="12240" w:h="15840"/>
          <w:pgMar w:top="1440" w:right="1800" w:bottom="1440" w:left="1800" w:header="720" w:footer="720" w:gutter="0"/>
          <w:cols w:space="720" w:num="1"/>
        </w:sectPr>
      </w:pPr>
    </w:p>
    <w:tbl>
      <w:tblPr>
        <w:tblStyle w:val="8"/>
        <w:tblW w:w="8517" w:type="dxa"/>
        <w:tblInd w:w="1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6"/>
        <w:gridCol w:w="3328"/>
        <w:gridCol w:w="793"/>
        <w:gridCol w:w="948"/>
        <w:gridCol w:w="1193"/>
        <w:gridCol w:w="583"/>
        <w:gridCol w:w="10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586" w:type="dxa"/>
          </w:tcPr>
          <w:p>
            <w:pPr>
              <w:pStyle w:val="12"/>
              <w:spacing w:before="129"/>
              <w:ind w:left="4"/>
              <w:rPr>
                <w:rFonts w:eastAsia="宋体"/>
                <w:sz w:val="24"/>
                <w:szCs w:val="24"/>
              </w:rPr>
            </w:pPr>
            <w:r>
              <w:rPr>
                <w:rFonts w:eastAsia="宋体"/>
                <w:spacing w:val="-2"/>
                <w:sz w:val="24"/>
                <w:szCs w:val="24"/>
              </w:rPr>
              <w:t>2.2.1</w:t>
            </w:r>
          </w:p>
        </w:tc>
        <w:tc>
          <w:tcPr>
            <w:tcW w:w="3328" w:type="dxa"/>
          </w:tcPr>
          <w:p>
            <w:pPr>
              <w:pStyle w:val="12"/>
              <w:spacing w:before="129"/>
              <w:ind w:left="7"/>
              <w:rPr>
                <w:rFonts w:eastAsia="宋体"/>
                <w:sz w:val="24"/>
                <w:szCs w:val="24"/>
              </w:rPr>
            </w:pPr>
            <w:r>
              <w:rPr>
                <w:rFonts w:eastAsia="宋体"/>
                <w:sz w:val="24"/>
                <w:szCs w:val="24"/>
                <w:lang w:eastAsia="zh-CN"/>
              </w:rPr>
              <w:t>抵押</w:t>
            </w:r>
            <w:r>
              <w:rPr>
                <w:rFonts w:eastAsia="宋体"/>
                <w:sz w:val="24"/>
                <w:szCs w:val="24"/>
              </w:rPr>
              <w:t>登记处的特点</w:t>
            </w:r>
          </w:p>
        </w:tc>
        <w:tc>
          <w:tcPr>
            <w:tcW w:w="793" w:type="dxa"/>
          </w:tcPr>
          <w:p>
            <w:pPr>
              <w:pStyle w:val="12"/>
              <w:spacing w:before="129"/>
              <w:ind w:left="9"/>
              <w:jc w:val="center"/>
              <w:rPr>
                <w:rFonts w:eastAsia="宋体"/>
                <w:sz w:val="24"/>
                <w:szCs w:val="24"/>
              </w:rPr>
            </w:pPr>
            <w:r>
              <w:rPr>
                <w:rFonts w:eastAsia="宋体"/>
                <w:sz w:val="24"/>
                <w:szCs w:val="24"/>
              </w:rPr>
              <w:t>3.</w:t>
            </w:r>
          </w:p>
        </w:tc>
        <w:tc>
          <w:tcPr>
            <w:tcW w:w="948" w:type="dxa"/>
          </w:tcPr>
          <w:p>
            <w:pPr>
              <w:pStyle w:val="12"/>
              <w:spacing w:before="129"/>
              <w:ind w:left="10"/>
              <w:jc w:val="center"/>
              <w:rPr>
                <w:rFonts w:eastAsia="宋体"/>
                <w:sz w:val="24"/>
                <w:szCs w:val="24"/>
              </w:rPr>
            </w:pPr>
            <w:r>
              <w:rPr>
                <w:rFonts w:eastAsia="宋体"/>
                <w:sz w:val="24"/>
                <w:szCs w:val="24"/>
              </w:rPr>
              <w:t>3.</w:t>
            </w:r>
          </w:p>
        </w:tc>
        <w:tc>
          <w:tcPr>
            <w:tcW w:w="1193" w:type="dxa"/>
          </w:tcPr>
          <w:p>
            <w:pPr>
              <w:pStyle w:val="12"/>
              <w:spacing w:before="129"/>
              <w:ind w:left="9"/>
              <w:jc w:val="center"/>
              <w:rPr>
                <w:rFonts w:eastAsia="宋体"/>
                <w:sz w:val="24"/>
                <w:szCs w:val="24"/>
              </w:rPr>
            </w:pPr>
            <w:r>
              <w:rPr>
                <w:rFonts w:eastAsia="宋体"/>
                <w:sz w:val="24"/>
                <w:szCs w:val="24"/>
              </w:rPr>
              <w:t>3.</w:t>
            </w:r>
          </w:p>
        </w:tc>
        <w:tc>
          <w:tcPr>
            <w:tcW w:w="583" w:type="dxa"/>
          </w:tcPr>
          <w:p>
            <w:pPr>
              <w:pStyle w:val="12"/>
              <w:spacing w:before="129"/>
              <w:ind w:left="13"/>
              <w:jc w:val="center"/>
              <w:rPr>
                <w:rFonts w:eastAsia="宋体"/>
                <w:sz w:val="24"/>
                <w:szCs w:val="24"/>
              </w:rPr>
            </w:pPr>
            <w:r>
              <w:rPr>
                <w:rFonts w:eastAsia="宋体"/>
                <w:sz w:val="24"/>
                <w:szCs w:val="24"/>
              </w:rPr>
              <w:t>6</w:t>
            </w:r>
          </w:p>
        </w:tc>
        <w:tc>
          <w:tcPr>
            <w:tcW w:w="1086" w:type="dxa"/>
          </w:tcPr>
          <w:p>
            <w:pPr>
              <w:pStyle w:val="12"/>
              <w:spacing w:before="129"/>
              <w:ind w:right="283"/>
              <w:jc w:val="center"/>
              <w:rPr>
                <w:rFonts w:eastAsia="宋体"/>
                <w:sz w:val="24"/>
                <w:szCs w:val="24"/>
              </w:rPr>
            </w:pPr>
            <w:r>
              <w:rPr>
                <w:rFonts w:eastAsia="宋体"/>
                <w:spacing w:val="-2"/>
                <w:sz w:val="24"/>
                <w:szCs w:val="24"/>
              </w:rPr>
              <w:t>35.29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586" w:type="dxa"/>
            <w:shd w:val="clear" w:color="auto" w:fill="D9E1F3"/>
          </w:tcPr>
          <w:p>
            <w:pPr>
              <w:pStyle w:val="12"/>
              <w:spacing w:before="40"/>
              <w:ind w:left="4"/>
              <w:rPr>
                <w:rFonts w:eastAsia="宋体"/>
                <w:b/>
                <w:sz w:val="24"/>
                <w:szCs w:val="24"/>
              </w:rPr>
            </w:pPr>
            <w:r>
              <w:rPr>
                <w:rFonts w:eastAsia="宋体"/>
                <w:b/>
                <w:spacing w:val="-5"/>
                <w:sz w:val="24"/>
                <w:szCs w:val="24"/>
              </w:rPr>
              <w:t>2.3</w:t>
            </w:r>
          </w:p>
        </w:tc>
        <w:tc>
          <w:tcPr>
            <w:tcW w:w="3328" w:type="dxa"/>
            <w:shd w:val="clear" w:color="auto" w:fill="D9E1F3"/>
          </w:tcPr>
          <w:p>
            <w:pPr>
              <w:pStyle w:val="12"/>
              <w:spacing w:before="40"/>
              <w:ind w:left="7"/>
              <w:rPr>
                <w:rFonts w:eastAsia="宋体"/>
                <w:b/>
                <w:sz w:val="24"/>
                <w:szCs w:val="24"/>
              </w:rPr>
            </w:pPr>
            <w:r>
              <w:rPr>
                <w:rFonts w:eastAsia="宋体"/>
                <w:b/>
                <w:sz w:val="24"/>
                <w:szCs w:val="24"/>
              </w:rPr>
              <w:t>绿色金融</w:t>
            </w:r>
          </w:p>
        </w:tc>
        <w:tc>
          <w:tcPr>
            <w:tcW w:w="793" w:type="dxa"/>
            <w:shd w:val="clear" w:color="auto" w:fill="D9E1F3"/>
          </w:tcPr>
          <w:p>
            <w:pPr>
              <w:pStyle w:val="12"/>
              <w:spacing w:before="40"/>
              <w:ind w:left="9"/>
              <w:jc w:val="center"/>
              <w:rPr>
                <w:rFonts w:eastAsia="宋体"/>
                <w:b/>
                <w:sz w:val="24"/>
                <w:szCs w:val="24"/>
              </w:rPr>
            </w:pPr>
            <w:r>
              <w:rPr>
                <w:rFonts w:eastAsia="宋体"/>
                <w:b/>
                <w:sz w:val="24"/>
                <w:szCs w:val="24"/>
              </w:rPr>
              <w:t>2</w:t>
            </w:r>
          </w:p>
        </w:tc>
        <w:tc>
          <w:tcPr>
            <w:tcW w:w="948" w:type="dxa"/>
            <w:shd w:val="clear" w:color="auto" w:fill="D9E1F3"/>
          </w:tcPr>
          <w:p>
            <w:pPr>
              <w:pStyle w:val="12"/>
              <w:spacing w:before="40"/>
              <w:ind w:left="10"/>
              <w:jc w:val="center"/>
              <w:rPr>
                <w:rFonts w:eastAsia="宋体"/>
                <w:b/>
                <w:sz w:val="24"/>
                <w:szCs w:val="24"/>
              </w:rPr>
            </w:pPr>
            <w:r>
              <w:rPr>
                <w:rFonts w:eastAsia="宋体"/>
                <w:b/>
                <w:sz w:val="24"/>
                <w:szCs w:val="24"/>
              </w:rPr>
              <w:t>1</w:t>
            </w:r>
          </w:p>
        </w:tc>
        <w:tc>
          <w:tcPr>
            <w:tcW w:w="1193" w:type="dxa"/>
            <w:shd w:val="clear" w:color="auto" w:fill="D9E1F3"/>
          </w:tcPr>
          <w:p>
            <w:pPr>
              <w:pStyle w:val="12"/>
              <w:spacing w:before="40"/>
              <w:ind w:left="9"/>
              <w:jc w:val="center"/>
              <w:rPr>
                <w:rFonts w:eastAsia="宋体"/>
                <w:b/>
                <w:sz w:val="24"/>
                <w:szCs w:val="24"/>
              </w:rPr>
            </w:pPr>
            <w:r>
              <w:rPr>
                <w:rFonts w:eastAsia="宋体"/>
                <w:b/>
                <w:sz w:val="24"/>
                <w:szCs w:val="24"/>
              </w:rPr>
              <w:t>2</w:t>
            </w:r>
          </w:p>
        </w:tc>
        <w:tc>
          <w:tcPr>
            <w:tcW w:w="583" w:type="dxa"/>
            <w:shd w:val="clear" w:color="auto" w:fill="D9E1F3"/>
          </w:tcPr>
          <w:p>
            <w:pPr>
              <w:pStyle w:val="12"/>
              <w:spacing w:before="40"/>
              <w:ind w:left="13"/>
              <w:jc w:val="center"/>
              <w:rPr>
                <w:rFonts w:eastAsia="宋体"/>
                <w:b/>
                <w:sz w:val="24"/>
                <w:szCs w:val="24"/>
              </w:rPr>
            </w:pPr>
            <w:r>
              <w:rPr>
                <w:rFonts w:eastAsia="宋体"/>
                <w:b/>
                <w:sz w:val="24"/>
                <w:szCs w:val="24"/>
              </w:rPr>
              <w:t>3.</w:t>
            </w:r>
          </w:p>
        </w:tc>
        <w:tc>
          <w:tcPr>
            <w:tcW w:w="1086" w:type="dxa"/>
            <w:shd w:val="clear" w:color="auto" w:fill="D9E1F3"/>
          </w:tcPr>
          <w:p>
            <w:pPr>
              <w:pStyle w:val="12"/>
              <w:spacing w:before="40"/>
              <w:ind w:right="283"/>
              <w:jc w:val="center"/>
              <w:rPr>
                <w:rFonts w:eastAsia="宋体"/>
                <w:b/>
                <w:sz w:val="24"/>
                <w:szCs w:val="24"/>
              </w:rPr>
            </w:pPr>
            <w:r>
              <w:rPr>
                <w:rFonts w:eastAsia="宋体"/>
                <w:b/>
                <w:spacing w:val="-2"/>
                <w:sz w:val="24"/>
                <w:szCs w:val="24"/>
              </w:rPr>
              <w:t>17.65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586" w:type="dxa"/>
          </w:tcPr>
          <w:p>
            <w:pPr>
              <w:pStyle w:val="12"/>
              <w:ind w:left="4"/>
              <w:rPr>
                <w:rFonts w:eastAsia="宋体"/>
                <w:sz w:val="24"/>
                <w:szCs w:val="24"/>
              </w:rPr>
            </w:pPr>
            <w:r>
              <w:rPr>
                <w:rFonts w:eastAsia="宋体"/>
                <w:spacing w:val="-2"/>
                <w:sz w:val="24"/>
                <w:szCs w:val="24"/>
              </w:rPr>
              <w:t>2.3.1</w:t>
            </w:r>
          </w:p>
        </w:tc>
        <w:tc>
          <w:tcPr>
            <w:tcW w:w="3328" w:type="dxa"/>
          </w:tcPr>
          <w:p>
            <w:pPr>
              <w:pStyle w:val="12"/>
              <w:ind w:left="7"/>
              <w:rPr>
                <w:rFonts w:eastAsia="宋体"/>
                <w:sz w:val="24"/>
                <w:szCs w:val="24"/>
                <w:lang w:eastAsia="zh-CN"/>
              </w:rPr>
            </w:pPr>
            <w:r>
              <w:rPr>
                <w:rFonts w:eastAsia="宋体"/>
                <w:sz w:val="24"/>
                <w:szCs w:val="24"/>
                <w:lang w:eastAsia="zh-CN"/>
              </w:rPr>
              <w:t>绿色贷款的可获得性和要求</w:t>
            </w:r>
          </w:p>
        </w:tc>
        <w:tc>
          <w:tcPr>
            <w:tcW w:w="793" w:type="dxa"/>
          </w:tcPr>
          <w:p>
            <w:pPr>
              <w:pStyle w:val="12"/>
              <w:ind w:left="9"/>
              <w:jc w:val="center"/>
              <w:rPr>
                <w:rFonts w:eastAsia="宋体"/>
                <w:sz w:val="24"/>
                <w:szCs w:val="24"/>
              </w:rPr>
            </w:pPr>
            <w:r>
              <w:rPr>
                <w:rFonts w:eastAsia="宋体"/>
                <w:sz w:val="24"/>
                <w:szCs w:val="24"/>
              </w:rPr>
              <w:t>2</w:t>
            </w:r>
          </w:p>
        </w:tc>
        <w:tc>
          <w:tcPr>
            <w:tcW w:w="948" w:type="dxa"/>
          </w:tcPr>
          <w:p>
            <w:pPr>
              <w:pStyle w:val="12"/>
              <w:ind w:left="10"/>
              <w:jc w:val="center"/>
              <w:rPr>
                <w:rFonts w:eastAsia="宋体"/>
                <w:sz w:val="24"/>
                <w:szCs w:val="24"/>
              </w:rPr>
            </w:pPr>
            <w:r>
              <w:rPr>
                <w:rFonts w:eastAsia="宋体"/>
                <w:sz w:val="24"/>
                <w:szCs w:val="24"/>
              </w:rPr>
              <w:t>1</w:t>
            </w:r>
          </w:p>
        </w:tc>
        <w:tc>
          <w:tcPr>
            <w:tcW w:w="1193" w:type="dxa"/>
          </w:tcPr>
          <w:p>
            <w:pPr>
              <w:pStyle w:val="12"/>
              <w:ind w:left="9"/>
              <w:jc w:val="center"/>
              <w:rPr>
                <w:rFonts w:eastAsia="宋体"/>
                <w:sz w:val="24"/>
                <w:szCs w:val="24"/>
              </w:rPr>
            </w:pPr>
            <w:r>
              <w:rPr>
                <w:rFonts w:eastAsia="宋体"/>
                <w:sz w:val="24"/>
                <w:szCs w:val="24"/>
              </w:rPr>
              <w:t>2</w:t>
            </w:r>
          </w:p>
        </w:tc>
        <w:tc>
          <w:tcPr>
            <w:tcW w:w="583" w:type="dxa"/>
          </w:tcPr>
          <w:p>
            <w:pPr>
              <w:pStyle w:val="12"/>
              <w:ind w:left="13"/>
              <w:jc w:val="center"/>
              <w:rPr>
                <w:rFonts w:eastAsia="宋体"/>
                <w:sz w:val="24"/>
                <w:szCs w:val="24"/>
              </w:rPr>
            </w:pPr>
            <w:r>
              <w:rPr>
                <w:rFonts w:eastAsia="宋体"/>
                <w:sz w:val="24"/>
                <w:szCs w:val="24"/>
              </w:rPr>
              <w:t>3.</w:t>
            </w:r>
          </w:p>
        </w:tc>
        <w:tc>
          <w:tcPr>
            <w:tcW w:w="1086" w:type="dxa"/>
          </w:tcPr>
          <w:p>
            <w:pPr>
              <w:pStyle w:val="12"/>
              <w:ind w:right="283"/>
              <w:jc w:val="center"/>
              <w:rPr>
                <w:rFonts w:eastAsia="宋体"/>
                <w:sz w:val="24"/>
                <w:szCs w:val="24"/>
              </w:rPr>
            </w:pPr>
            <w:r>
              <w:rPr>
                <w:rFonts w:eastAsia="宋体"/>
                <w:spacing w:val="-2"/>
                <w:sz w:val="24"/>
                <w:szCs w:val="24"/>
              </w:rPr>
              <w:t>17.65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86" w:type="dxa"/>
            <w:shd w:val="clear" w:color="auto" w:fill="D9E1F3"/>
          </w:tcPr>
          <w:p>
            <w:pPr>
              <w:pStyle w:val="12"/>
              <w:spacing w:before="40"/>
              <w:ind w:left="4"/>
              <w:rPr>
                <w:rFonts w:eastAsia="宋体"/>
                <w:b/>
                <w:sz w:val="24"/>
                <w:szCs w:val="24"/>
              </w:rPr>
            </w:pPr>
            <w:r>
              <w:rPr>
                <w:rFonts w:eastAsia="宋体"/>
                <w:b/>
                <w:spacing w:val="-5"/>
                <w:sz w:val="24"/>
                <w:szCs w:val="24"/>
              </w:rPr>
              <w:t>2.4</w:t>
            </w:r>
          </w:p>
        </w:tc>
        <w:tc>
          <w:tcPr>
            <w:tcW w:w="3328" w:type="dxa"/>
            <w:shd w:val="clear" w:color="auto" w:fill="D9E1F3"/>
          </w:tcPr>
          <w:p>
            <w:pPr>
              <w:pStyle w:val="12"/>
              <w:spacing w:before="40"/>
              <w:ind w:left="7"/>
              <w:rPr>
                <w:rFonts w:eastAsia="宋体"/>
                <w:b/>
                <w:sz w:val="24"/>
                <w:szCs w:val="24"/>
              </w:rPr>
            </w:pPr>
            <w:r>
              <w:rPr>
                <w:rFonts w:eastAsia="宋体"/>
                <w:b/>
                <w:sz w:val="24"/>
                <w:szCs w:val="24"/>
              </w:rPr>
              <w:t>性别金融</w:t>
            </w:r>
          </w:p>
        </w:tc>
        <w:tc>
          <w:tcPr>
            <w:tcW w:w="793" w:type="dxa"/>
            <w:shd w:val="clear" w:color="auto" w:fill="D9E1F3"/>
          </w:tcPr>
          <w:p>
            <w:pPr>
              <w:pStyle w:val="12"/>
              <w:spacing w:before="40"/>
              <w:ind w:left="9"/>
              <w:jc w:val="center"/>
              <w:rPr>
                <w:rFonts w:eastAsia="宋体"/>
                <w:b/>
                <w:sz w:val="24"/>
                <w:szCs w:val="24"/>
              </w:rPr>
            </w:pPr>
            <w:r>
              <w:rPr>
                <w:rFonts w:eastAsia="宋体"/>
                <w:b/>
                <w:sz w:val="24"/>
                <w:szCs w:val="24"/>
              </w:rPr>
              <w:t>1</w:t>
            </w:r>
          </w:p>
        </w:tc>
        <w:tc>
          <w:tcPr>
            <w:tcW w:w="948" w:type="dxa"/>
            <w:shd w:val="clear" w:color="auto" w:fill="D9E1F3"/>
          </w:tcPr>
          <w:p>
            <w:pPr>
              <w:pStyle w:val="12"/>
              <w:spacing w:before="40"/>
              <w:ind w:left="10"/>
              <w:jc w:val="center"/>
              <w:rPr>
                <w:rFonts w:eastAsia="宋体"/>
                <w:b/>
                <w:sz w:val="24"/>
                <w:szCs w:val="24"/>
              </w:rPr>
            </w:pPr>
            <w:r>
              <w:rPr>
                <w:rFonts w:eastAsia="宋体"/>
                <w:b/>
                <w:sz w:val="24"/>
                <w:szCs w:val="24"/>
              </w:rPr>
              <w:t>1</w:t>
            </w:r>
          </w:p>
        </w:tc>
        <w:tc>
          <w:tcPr>
            <w:tcW w:w="1193" w:type="dxa"/>
            <w:shd w:val="clear" w:color="auto" w:fill="D9E1F3"/>
          </w:tcPr>
          <w:p>
            <w:pPr>
              <w:pStyle w:val="12"/>
              <w:spacing w:before="40"/>
              <w:ind w:left="9"/>
              <w:jc w:val="center"/>
              <w:rPr>
                <w:rFonts w:eastAsia="宋体"/>
                <w:b/>
                <w:sz w:val="24"/>
                <w:szCs w:val="24"/>
              </w:rPr>
            </w:pPr>
            <w:r>
              <w:rPr>
                <w:rFonts w:eastAsia="宋体"/>
                <w:b/>
                <w:sz w:val="24"/>
                <w:szCs w:val="24"/>
              </w:rPr>
              <w:t>1</w:t>
            </w:r>
          </w:p>
        </w:tc>
        <w:tc>
          <w:tcPr>
            <w:tcW w:w="583" w:type="dxa"/>
            <w:shd w:val="clear" w:color="auto" w:fill="D9E1F3"/>
          </w:tcPr>
          <w:p>
            <w:pPr>
              <w:pStyle w:val="12"/>
              <w:spacing w:before="40"/>
              <w:ind w:left="13"/>
              <w:jc w:val="center"/>
              <w:rPr>
                <w:rFonts w:eastAsia="宋体"/>
                <w:b/>
                <w:sz w:val="24"/>
                <w:szCs w:val="24"/>
              </w:rPr>
            </w:pPr>
            <w:r>
              <w:rPr>
                <w:rFonts w:eastAsia="宋体"/>
                <w:b/>
                <w:sz w:val="24"/>
                <w:szCs w:val="24"/>
              </w:rPr>
              <w:t>2</w:t>
            </w:r>
          </w:p>
        </w:tc>
        <w:tc>
          <w:tcPr>
            <w:tcW w:w="1086" w:type="dxa"/>
            <w:shd w:val="clear" w:color="auto" w:fill="D9E1F3"/>
          </w:tcPr>
          <w:p>
            <w:pPr>
              <w:pStyle w:val="12"/>
              <w:spacing w:before="40"/>
              <w:ind w:right="283"/>
              <w:jc w:val="center"/>
              <w:rPr>
                <w:rFonts w:eastAsia="宋体"/>
                <w:b/>
                <w:sz w:val="24"/>
                <w:szCs w:val="24"/>
              </w:rPr>
            </w:pPr>
            <w:r>
              <w:rPr>
                <w:rFonts w:eastAsia="宋体"/>
                <w:b/>
                <w:spacing w:val="-2"/>
                <w:sz w:val="24"/>
                <w:szCs w:val="24"/>
              </w:rPr>
              <w:t>11.76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586" w:type="dxa"/>
          </w:tcPr>
          <w:p>
            <w:pPr>
              <w:pStyle w:val="12"/>
              <w:ind w:left="4"/>
              <w:rPr>
                <w:rFonts w:eastAsia="宋体"/>
                <w:sz w:val="24"/>
                <w:szCs w:val="24"/>
              </w:rPr>
            </w:pPr>
            <w:r>
              <w:rPr>
                <w:rFonts w:eastAsia="宋体"/>
                <w:spacing w:val="-2"/>
                <w:sz w:val="24"/>
                <w:szCs w:val="24"/>
              </w:rPr>
              <w:t>2.4.1</w:t>
            </w:r>
          </w:p>
        </w:tc>
        <w:tc>
          <w:tcPr>
            <w:tcW w:w="3328" w:type="dxa"/>
          </w:tcPr>
          <w:p>
            <w:pPr>
              <w:pStyle w:val="12"/>
              <w:ind w:left="7"/>
              <w:rPr>
                <w:rFonts w:eastAsia="宋体"/>
                <w:sz w:val="24"/>
                <w:szCs w:val="24"/>
              </w:rPr>
            </w:pPr>
            <w:r>
              <w:rPr>
                <w:rFonts w:eastAsia="宋体"/>
                <w:sz w:val="24"/>
                <w:szCs w:val="24"/>
              </w:rPr>
              <w:t>促进妇女获得融资</w:t>
            </w:r>
          </w:p>
        </w:tc>
        <w:tc>
          <w:tcPr>
            <w:tcW w:w="793" w:type="dxa"/>
          </w:tcPr>
          <w:p>
            <w:pPr>
              <w:pStyle w:val="12"/>
              <w:ind w:left="9"/>
              <w:jc w:val="center"/>
              <w:rPr>
                <w:rFonts w:eastAsia="宋体"/>
                <w:sz w:val="24"/>
                <w:szCs w:val="24"/>
              </w:rPr>
            </w:pPr>
            <w:r>
              <w:rPr>
                <w:rFonts w:eastAsia="宋体"/>
                <w:sz w:val="24"/>
                <w:szCs w:val="24"/>
              </w:rPr>
              <w:t>1</w:t>
            </w:r>
          </w:p>
        </w:tc>
        <w:tc>
          <w:tcPr>
            <w:tcW w:w="948" w:type="dxa"/>
          </w:tcPr>
          <w:p>
            <w:pPr>
              <w:pStyle w:val="12"/>
              <w:ind w:left="10"/>
              <w:jc w:val="center"/>
              <w:rPr>
                <w:rFonts w:eastAsia="宋体"/>
                <w:sz w:val="24"/>
                <w:szCs w:val="24"/>
              </w:rPr>
            </w:pPr>
            <w:r>
              <w:rPr>
                <w:rFonts w:eastAsia="宋体"/>
                <w:sz w:val="24"/>
                <w:szCs w:val="24"/>
              </w:rPr>
              <w:t>1</w:t>
            </w:r>
          </w:p>
        </w:tc>
        <w:tc>
          <w:tcPr>
            <w:tcW w:w="1193" w:type="dxa"/>
          </w:tcPr>
          <w:p>
            <w:pPr>
              <w:pStyle w:val="12"/>
              <w:ind w:left="9"/>
              <w:jc w:val="center"/>
              <w:rPr>
                <w:rFonts w:eastAsia="宋体"/>
                <w:sz w:val="24"/>
                <w:szCs w:val="24"/>
              </w:rPr>
            </w:pPr>
            <w:r>
              <w:rPr>
                <w:rFonts w:eastAsia="宋体"/>
                <w:sz w:val="24"/>
                <w:szCs w:val="24"/>
              </w:rPr>
              <w:t>1</w:t>
            </w:r>
          </w:p>
        </w:tc>
        <w:tc>
          <w:tcPr>
            <w:tcW w:w="583" w:type="dxa"/>
          </w:tcPr>
          <w:p>
            <w:pPr>
              <w:pStyle w:val="12"/>
              <w:ind w:left="13"/>
              <w:jc w:val="center"/>
              <w:rPr>
                <w:rFonts w:eastAsia="宋体"/>
                <w:sz w:val="24"/>
                <w:szCs w:val="24"/>
              </w:rPr>
            </w:pPr>
            <w:r>
              <w:rPr>
                <w:rFonts w:eastAsia="宋体"/>
                <w:sz w:val="24"/>
                <w:szCs w:val="24"/>
              </w:rPr>
              <w:t>2</w:t>
            </w:r>
          </w:p>
        </w:tc>
        <w:tc>
          <w:tcPr>
            <w:tcW w:w="1086" w:type="dxa"/>
          </w:tcPr>
          <w:p>
            <w:pPr>
              <w:pStyle w:val="12"/>
              <w:ind w:right="283"/>
              <w:jc w:val="center"/>
              <w:rPr>
                <w:rFonts w:eastAsia="宋体"/>
                <w:sz w:val="24"/>
                <w:szCs w:val="24"/>
              </w:rPr>
            </w:pPr>
            <w:r>
              <w:rPr>
                <w:rFonts w:eastAsia="宋体"/>
                <w:spacing w:val="-2"/>
                <w:sz w:val="24"/>
                <w:szCs w:val="24"/>
              </w:rPr>
              <w:t>11.76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586" w:type="dxa"/>
            <w:shd w:val="clear" w:color="auto" w:fill="FFC000"/>
          </w:tcPr>
          <w:p>
            <w:pPr>
              <w:pStyle w:val="12"/>
              <w:ind w:left="0"/>
              <w:rPr>
                <w:rFonts w:eastAsia="宋体"/>
                <w:sz w:val="24"/>
                <w:szCs w:val="24"/>
              </w:rPr>
            </w:pPr>
          </w:p>
        </w:tc>
        <w:tc>
          <w:tcPr>
            <w:tcW w:w="3328" w:type="dxa"/>
            <w:shd w:val="clear" w:color="auto" w:fill="FFC000"/>
          </w:tcPr>
          <w:p>
            <w:pPr>
              <w:pStyle w:val="12"/>
              <w:spacing w:before="2"/>
              <w:ind w:left="7"/>
              <w:rPr>
                <w:rFonts w:eastAsia="宋体"/>
                <w:b/>
                <w:sz w:val="24"/>
                <w:szCs w:val="24"/>
              </w:rPr>
            </w:pPr>
            <w:r>
              <w:rPr>
                <w:rFonts w:eastAsia="宋体"/>
                <w:b/>
                <w:spacing w:val="-2"/>
                <w:sz w:val="24"/>
                <w:szCs w:val="24"/>
              </w:rPr>
              <w:t>总计</w:t>
            </w:r>
          </w:p>
        </w:tc>
        <w:tc>
          <w:tcPr>
            <w:tcW w:w="793" w:type="dxa"/>
            <w:shd w:val="clear" w:color="auto" w:fill="FFC000"/>
          </w:tcPr>
          <w:p>
            <w:pPr>
              <w:pStyle w:val="12"/>
              <w:spacing w:before="2"/>
              <w:ind w:left="9"/>
              <w:jc w:val="center"/>
              <w:rPr>
                <w:rFonts w:eastAsia="宋体"/>
                <w:b/>
                <w:sz w:val="24"/>
                <w:szCs w:val="24"/>
              </w:rPr>
            </w:pPr>
            <w:r>
              <w:rPr>
                <w:rFonts w:eastAsia="宋体"/>
                <w:b/>
                <w:sz w:val="24"/>
                <w:szCs w:val="24"/>
              </w:rPr>
              <w:t>9</w:t>
            </w:r>
          </w:p>
        </w:tc>
        <w:tc>
          <w:tcPr>
            <w:tcW w:w="948" w:type="dxa"/>
            <w:shd w:val="clear" w:color="auto" w:fill="FFC000"/>
          </w:tcPr>
          <w:p>
            <w:pPr>
              <w:pStyle w:val="12"/>
              <w:spacing w:before="2"/>
              <w:ind w:left="10"/>
              <w:jc w:val="center"/>
              <w:rPr>
                <w:rFonts w:eastAsia="宋体"/>
                <w:b/>
                <w:sz w:val="24"/>
                <w:szCs w:val="24"/>
              </w:rPr>
            </w:pPr>
            <w:r>
              <w:rPr>
                <w:rFonts w:eastAsia="宋体"/>
                <w:b/>
                <w:sz w:val="24"/>
                <w:szCs w:val="24"/>
              </w:rPr>
              <w:t>8</w:t>
            </w:r>
          </w:p>
        </w:tc>
        <w:tc>
          <w:tcPr>
            <w:tcW w:w="1193" w:type="dxa"/>
            <w:shd w:val="clear" w:color="auto" w:fill="FFC000"/>
          </w:tcPr>
          <w:p>
            <w:pPr>
              <w:pStyle w:val="12"/>
              <w:spacing w:before="2"/>
              <w:ind w:left="9"/>
              <w:jc w:val="center"/>
              <w:rPr>
                <w:rFonts w:eastAsia="宋体"/>
                <w:b/>
                <w:sz w:val="24"/>
                <w:szCs w:val="24"/>
              </w:rPr>
            </w:pPr>
            <w:r>
              <w:rPr>
                <w:rFonts w:eastAsia="宋体"/>
                <w:b/>
                <w:sz w:val="24"/>
                <w:szCs w:val="24"/>
              </w:rPr>
              <w:t>9</w:t>
            </w:r>
          </w:p>
        </w:tc>
        <w:tc>
          <w:tcPr>
            <w:tcW w:w="583" w:type="dxa"/>
            <w:shd w:val="clear" w:color="auto" w:fill="FFC000"/>
          </w:tcPr>
          <w:p>
            <w:pPr>
              <w:pStyle w:val="12"/>
              <w:spacing w:before="2"/>
              <w:ind w:left="20" w:right="6"/>
              <w:jc w:val="center"/>
              <w:rPr>
                <w:rFonts w:eastAsia="宋体"/>
                <w:b/>
                <w:sz w:val="24"/>
                <w:szCs w:val="24"/>
              </w:rPr>
            </w:pPr>
            <w:r>
              <w:rPr>
                <w:rFonts w:eastAsia="宋体"/>
                <w:b/>
                <w:spacing w:val="-5"/>
                <w:sz w:val="24"/>
                <w:szCs w:val="24"/>
              </w:rPr>
              <w:t>17</w:t>
            </w:r>
          </w:p>
        </w:tc>
        <w:tc>
          <w:tcPr>
            <w:tcW w:w="1086" w:type="dxa"/>
            <w:shd w:val="clear" w:color="auto" w:fill="FFC000"/>
          </w:tcPr>
          <w:p>
            <w:pPr>
              <w:pStyle w:val="12"/>
              <w:spacing w:before="2"/>
              <w:ind w:left="295" w:right="281"/>
              <w:jc w:val="center"/>
              <w:rPr>
                <w:rFonts w:eastAsia="宋体"/>
                <w:b/>
                <w:sz w:val="24"/>
                <w:szCs w:val="24"/>
              </w:rPr>
            </w:pPr>
            <w:r>
              <w:rPr>
                <w:rFonts w:eastAsia="宋体"/>
                <w:b/>
                <w:spacing w:val="-5"/>
                <w:sz w:val="24"/>
                <w:szCs w:val="24"/>
                <w:lang w:eastAsia="zh-CN"/>
              </w:rPr>
              <w:t>100</w:t>
            </w:r>
          </w:p>
        </w:tc>
      </w:tr>
    </w:tbl>
    <w:p>
      <w:pPr>
        <w:spacing w:before="3"/>
        <w:ind w:left="120"/>
        <w:jc w:val="both"/>
        <w:rPr>
          <w:rFonts w:eastAsia="宋体"/>
          <w:sz w:val="24"/>
          <w:szCs w:val="24"/>
          <w:lang w:eastAsia="zh-CN"/>
        </w:rPr>
      </w:pPr>
      <w:r>
        <w:rPr>
          <w:rFonts w:eastAsia="宋体"/>
          <w:i/>
          <w:sz w:val="24"/>
          <w:szCs w:val="24"/>
          <w:lang w:eastAsia="zh-CN"/>
        </w:rPr>
        <w:t>注:</w:t>
      </w:r>
      <w:r>
        <w:rPr>
          <w:rFonts w:eastAsia="宋体"/>
          <w:sz w:val="24"/>
          <w:szCs w:val="24"/>
          <w:lang w:eastAsia="zh-CN"/>
        </w:rPr>
        <w:t>FFP =企业灵活</w:t>
      </w:r>
      <w:r>
        <w:rPr>
          <w:rFonts w:hint="eastAsia" w:eastAsia="宋体"/>
          <w:sz w:val="24"/>
          <w:szCs w:val="24"/>
          <w:lang w:eastAsia="zh-CN"/>
        </w:rPr>
        <w:t>度得分；</w:t>
      </w:r>
      <w:r>
        <w:rPr>
          <w:rFonts w:eastAsia="宋体"/>
          <w:sz w:val="24"/>
          <w:szCs w:val="24"/>
          <w:lang w:eastAsia="zh-CN"/>
        </w:rPr>
        <w:t>SBP -社会效益得分。</w:t>
      </w:r>
    </w:p>
    <w:p>
      <w:pPr>
        <w:pStyle w:val="5"/>
        <w:spacing w:before="9"/>
        <w:rPr>
          <w:sz w:val="21"/>
          <w:lang w:eastAsia="zh-CN"/>
        </w:rPr>
      </w:pPr>
    </w:p>
    <w:p>
      <w:pPr>
        <w:pStyle w:val="11"/>
        <w:tabs>
          <w:tab w:val="left" w:pos="840"/>
          <w:tab w:val="left" w:pos="841"/>
        </w:tabs>
        <w:spacing w:line="400" w:lineRule="exact"/>
        <w:ind w:left="0" w:firstLine="0"/>
        <w:jc w:val="left"/>
        <w:outlineLvl w:val="1"/>
        <w:rPr>
          <w:rFonts w:eastAsia="宋体"/>
          <w:b/>
          <w:sz w:val="28"/>
          <w:szCs w:val="28"/>
          <w:lang w:eastAsia="zh-CN"/>
        </w:rPr>
      </w:pPr>
      <w:r>
        <w:rPr>
          <w:rFonts w:eastAsia="宋体"/>
          <w:b/>
          <w:sz w:val="28"/>
          <w:szCs w:val="28"/>
          <w:lang w:eastAsia="zh-CN"/>
        </w:rPr>
        <w:t>6.3 维度III-效率:贷款和电子支付的效率</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该维度包括10个指标，得分从0到100不等(表29)。该维度下的指标得分仅分配给企业灵活性，因为这些指标衡量的是向企业提供服务的结果。例如，高昂的费用和获得金融服务的漫长时间对企业产生了不利影响，从而阻碍了企业的灵活性。这一维度下每个类别的得分如下:</w:t>
      </w:r>
    </w:p>
    <w:p>
      <w:pPr>
        <w:pStyle w:val="11"/>
        <w:tabs>
          <w:tab w:val="left" w:pos="841"/>
        </w:tabs>
        <w:spacing w:line="400" w:lineRule="exact"/>
        <w:ind w:left="0" w:firstLine="542" w:firstLineChars="200"/>
        <w:rPr>
          <w:rFonts w:eastAsia="宋体"/>
          <w:sz w:val="28"/>
          <w:szCs w:val="28"/>
          <w:lang w:eastAsia="zh-CN"/>
        </w:rPr>
      </w:pPr>
      <w:r>
        <w:rPr>
          <w:rFonts w:eastAsia="宋体"/>
          <w:b/>
          <w:bCs/>
          <w:iCs/>
          <w:spacing w:val="-5"/>
          <w:sz w:val="28"/>
          <w:szCs w:val="28"/>
          <w:lang w:eastAsia="zh-CN"/>
        </w:rPr>
        <w:t xml:space="preserve">6.3.1 </w:t>
      </w:r>
      <w:r>
        <w:rPr>
          <w:rFonts w:eastAsia="宋体"/>
          <w:i/>
          <w:spacing w:val="-5"/>
          <w:sz w:val="28"/>
          <w:szCs w:val="28"/>
          <w:u w:val="single"/>
          <w:lang w:eastAsia="zh-CN"/>
        </w:rPr>
        <w:t>贷款</w:t>
      </w:r>
      <w:r>
        <w:rPr>
          <w:rFonts w:eastAsia="宋体"/>
          <w:spacing w:val="-2"/>
          <w:sz w:val="28"/>
          <w:szCs w:val="28"/>
          <w:lang w:eastAsia="zh-CN"/>
        </w:rPr>
        <w:t>类涵盖4项指标，包括获得贷款的时间</w:t>
      </w:r>
      <w:r>
        <w:rPr>
          <w:rFonts w:hint="eastAsia" w:eastAsia="宋体"/>
          <w:spacing w:val="-2"/>
          <w:sz w:val="28"/>
          <w:szCs w:val="28"/>
          <w:lang w:eastAsia="zh-CN"/>
        </w:rPr>
        <w:t>；</w:t>
      </w:r>
      <w:r>
        <w:rPr>
          <w:rFonts w:eastAsia="宋体"/>
          <w:spacing w:val="-2"/>
          <w:sz w:val="28"/>
          <w:szCs w:val="28"/>
          <w:lang w:eastAsia="zh-CN"/>
        </w:rPr>
        <w:t>获得贷款的成本</w:t>
      </w:r>
      <w:r>
        <w:rPr>
          <w:rFonts w:hint="eastAsia" w:eastAsia="宋体"/>
          <w:spacing w:val="-2"/>
          <w:sz w:val="28"/>
          <w:szCs w:val="28"/>
          <w:lang w:eastAsia="zh-CN"/>
        </w:rPr>
        <w:t>；</w:t>
      </w:r>
      <w:r>
        <w:rPr>
          <w:rFonts w:eastAsia="宋体"/>
          <w:spacing w:val="-2"/>
          <w:sz w:val="28"/>
          <w:szCs w:val="28"/>
          <w:lang w:eastAsia="zh-CN"/>
        </w:rPr>
        <w:t>担保利息和信用数据更新的效率</w:t>
      </w:r>
      <w:r>
        <w:rPr>
          <w:rFonts w:hint="eastAsia" w:eastAsia="宋体"/>
          <w:spacing w:val="-2"/>
          <w:sz w:val="28"/>
          <w:szCs w:val="28"/>
          <w:lang w:eastAsia="zh-CN"/>
        </w:rPr>
        <w:t>；</w:t>
      </w:r>
      <w:r>
        <w:rPr>
          <w:rFonts w:eastAsia="宋体"/>
          <w:sz w:val="28"/>
          <w:szCs w:val="28"/>
          <w:lang w:eastAsia="zh-CN"/>
        </w:rPr>
        <w:t>以及在获得贷款和其他银行服务方面的性别差距。这一子类别的得分是每个指标四个得分的简单平均值。</w:t>
      </w:r>
    </w:p>
    <w:p>
      <w:pPr>
        <w:pStyle w:val="11"/>
        <w:tabs>
          <w:tab w:val="left" w:pos="841"/>
        </w:tabs>
        <w:spacing w:line="400" w:lineRule="exact"/>
        <w:ind w:left="0" w:firstLine="558" w:firstLineChars="200"/>
        <w:rPr>
          <w:rFonts w:eastAsia="宋体"/>
          <w:sz w:val="28"/>
          <w:szCs w:val="28"/>
          <w:lang w:eastAsia="zh-CN"/>
        </w:rPr>
      </w:pPr>
      <w:r>
        <w:rPr>
          <w:rFonts w:eastAsia="宋体"/>
          <w:b/>
          <w:bCs/>
          <w:iCs/>
          <w:spacing w:val="-1"/>
          <w:sz w:val="28"/>
          <w:szCs w:val="28"/>
          <w:lang w:eastAsia="zh-CN"/>
        </w:rPr>
        <w:t xml:space="preserve">6.3.2 </w:t>
      </w:r>
      <w:r>
        <w:rPr>
          <w:rFonts w:eastAsia="宋体"/>
          <w:i/>
          <w:spacing w:val="-1"/>
          <w:sz w:val="28"/>
          <w:szCs w:val="28"/>
          <w:u w:val="single"/>
          <w:lang w:eastAsia="zh-CN"/>
        </w:rPr>
        <w:t>电子支付</w:t>
      </w:r>
      <w:r>
        <w:rPr>
          <w:rFonts w:eastAsia="宋体"/>
          <w:sz w:val="28"/>
          <w:szCs w:val="28"/>
          <w:lang w:eastAsia="zh-CN"/>
        </w:rPr>
        <w:t>类别涵盖6个指标，包括接收电子支付的成本</w:t>
      </w:r>
      <w:r>
        <w:rPr>
          <w:rFonts w:hint="eastAsia" w:eastAsia="宋体"/>
          <w:sz w:val="28"/>
          <w:szCs w:val="28"/>
          <w:lang w:eastAsia="zh-CN"/>
        </w:rPr>
        <w:t>；</w:t>
      </w:r>
      <w:r>
        <w:rPr>
          <w:rFonts w:eastAsia="宋体"/>
          <w:sz w:val="28"/>
          <w:szCs w:val="28"/>
          <w:lang w:eastAsia="zh-CN"/>
        </w:rPr>
        <w:t>进行电子支付的成本</w:t>
      </w:r>
      <w:r>
        <w:rPr>
          <w:rFonts w:hint="eastAsia" w:eastAsia="宋体"/>
          <w:sz w:val="28"/>
          <w:szCs w:val="28"/>
          <w:lang w:eastAsia="zh-CN"/>
        </w:rPr>
        <w:t>；</w:t>
      </w:r>
      <w:r>
        <w:rPr>
          <w:rFonts w:eastAsia="宋体"/>
          <w:sz w:val="28"/>
          <w:szCs w:val="28"/>
          <w:lang w:eastAsia="zh-CN"/>
        </w:rPr>
        <w:t>接收电子支付的时间</w:t>
      </w:r>
      <w:r>
        <w:rPr>
          <w:rFonts w:hint="eastAsia" w:eastAsia="宋体"/>
          <w:sz w:val="28"/>
          <w:szCs w:val="28"/>
          <w:lang w:eastAsia="zh-CN"/>
        </w:rPr>
        <w:t>；</w:t>
      </w:r>
      <w:r>
        <w:rPr>
          <w:rFonts w:eastAsia="宋体"/>
          <w:sz w:val="28"/>
          <w:szCs w:val="28"/>
          <w:lang w:eastAsia="zh-CN"/>
        </w:rPr>
        <w:t>接收电子支付的使用水平</w:t>
      </w:r>
      <w:r>
        <w:rPr>
          <w:rFonts w:hint="eastAsia" w:eastAsia="宋体"/>
          <w:sz w:val="28"/>
          <w:szCs w:val="28"/>
          <w:lang w:eastAsia="zh-CN"/>
        </w:rPr>
        <w:t>；</w:t>
      </w:r>
      <w:r>
        <w:rPr>
          <w:rFonts w:eastAsia="宋体"/>
          <w:sz w:val="28"/>
          <w:szCs w:val="28"/>
          <w:lang w:eastAsia="zh-CN"/>
        </w:rPr>
        <w:t>进行电子支付的使用水平</w:t>
      </w:r>
      <w:r>
        <w:rPr>
          <w:rFonts w:hint="eastAsia" w:eastAsia="宋体"/>
          <w:sz w:val="28"/>
          <w:szCs w:val="28"/>
          <w:lang w:eastAsia="zh-CN"/>
        </w:rPr>
        <w:t>；</w:t>
      </w:r>
      <w:r>
        <w:rPr>
          <w:rFonts w:eastAsia="宋体"/>
          <w:sz w:val="28"/>
          <w:szCs w:val="28"/>
          <w:lang w:eastAsia="zh-CN"/>
        </w:rPr>
        <w:t>以及使用电子支付的性别差异。这一子类别的得分是每个指标6个得分的简单平均值。</w:t>
      </w:r>
    </w:p>
    <w:p>
      <w:pPr>
        <w:pStyle w:val="5"/>
        <w:spacing w:line="400" w:lineRule="exact"/>
        <w:ind w:firstLine="560" w:firstLineChars="200"/>
        <w:rPr>
          <w:rFonts w:eastAsia="宋体"/>
          <w:sz w:val="28"/>
          <w:szCs w:val="28"/>
          <w:lang w:eastAsia="zh-CN"/>
        </w:rPr>
      </w:pPr>
    </w:p>
    <w:p>
      <w:pPr>
        <w:spacing w:line="400" w:lineRule="exact"/>
        <w:jc w:val="center"/>
        <w:rPr>
          <w:rFonts w:eastAsia="宋体"/>
          <w:b/>
          <w:sz w:val="28"/>
          <w:szCs w:val="28"/>
        </w:rPr>
      </w:pPr>
      <w:r>
        <w:rPr>
          <w:rFonts w:eastAsia="宋体"/>
          <w:b/>
          <w:sz w:val="28"/>
          <w:szCs w:val="28"/>
        </w:rPr>
        <w:t>表29</w:t>
      </w:r>
      <w:r>
        <w:rPr>
          <w:rFonts w:hint="eastAsia" w:eastAsia="宋体"/>
          <w:b/>
          <w:sz w:val="28"/>
          <w:szCs w:val="28"/>
          <w:lang w:eastAsia="zh-CN"/>
        </w:rPr>
        <w:t>.</w:t>
      </w:r>
      <w:r>
        <w:rPr>
          <w:rFonts w:eastAsia="宋体"/>
          <w:b/>
          <w:sz w:val="28"/>
          <w:szCs w:val="28"/>
          <w:lang w:eastAsia="zh-CN"/>
        </w:rPr>
        <w:t xml:space="preserve"> 维度III</w:t>
      </w:r>
      <w:r>
        <w:rPr>
          <w:rFonts w:eastAsia="宋体"/>
          <w:b/>
          <w:sz w:val="28"/>
          <w:szCs w:val="28"/>
        </w:rPr>
        <w:t>得分</w:t>
      </w:r>
    </w:p>
    <w:tbl>
      <w:tblPr>
        <w:tblStyle w:val="8"/>
        <w:tblW w:w="8444"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4076"/>
        <w:gridCol w:w="1966"/>
        <w:gridCol w:w="17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702" w:type="dxa"/>
            <w:gridSpan w:val="2"/>
            <w:shd w:val="clear" w:color="auto" w:fill="D9E1F3"/>
            <w:vAlign w:val="center"/>
          </w:tcPr>
          <w:p>
            <w:pPr>
              <w:pStyle w:val="12"/>
              <w:ind w:left="4"/>
              <w:jc w:val="center"/>
              <w:rPr>
                <w:rFonts w:eastAsia="宋体"/>
                <w:b/>
                <w:sz w:val="24"/>
                <w:szCs w:val="24"/>
                <w:lang w:eastAsia="zh-CN"/>
              </w:rPr>
            </w:pPr>
            <w:r>
              <w:rPr>
                <w:rFonts w:eastAsia="宋体"/>
                <w:b/>
                <w:sz w:val="24"/>
                <w:szCs w:val="24"/>
                <w:lang w:eastAsia="zh-CN"/>
              </w:rPr>
              <w:t>维度III-效率:在实践中接受金融服务的效率</w:t>
            </w:r>
          </w:p>
        </w:tc>
        <w:tc>
          <w:tcPr>
            <w:tcW w:w="1966" w:type="dxa"/>
            <w:shd w:val="clear" w:color="auto" w:fill="D9E1F3"/>
            <w:vAlign w:val="center"/>
          </w:tcPr>
          <w:p>
            <w:pPr>
              <w:pStyle w:val="12"/>
              <w:spacing w:before="103"/>
              <w:ind w:left="300" w:right="288"/>
              <w:jc w:val="center"/>
              <w:rPr>
                <w:rFonts w:eastAsia="宋体"/>
                <w:b/>
                <w:sz w:val="24"/>
                <w:szCs w:val="24"/>
                <w:lang w:eastAsia="zh-CN"/>
              </w:rPr>
            </w:pPr>
            <w:r>
              <w:rPr>
                <w:rFonts w:eastAsia="宋体"/>
                <w:b/>
                <w:sz w:val="24"/>
                <w:szCs w:val="24"/>
              </w:rPr>
              <w:t>指标</w:t>
            </w:r>
            <w:r>
              <w:rPr>
                <w:rFonts w:eastAsia="宋体"/>
                <w:b/>
                <w:sz w:val="24"/>
                <w:szCs w:val="24"/>
                <w:lang w:eastAsia="zh-CN"/>
              </w:rPr>
              <w:t>数量</w:t>
            </w:r>
          </w:p>
        </w:tc>
        <w:tc>
          <w:tcPr>
            <w:tcW w:w="1776" w:type="dxa"/>
            <w:shd w:val="clear" w:color="auto" w:fill="D9E1F3"/>
            <w:vAlign w:val="center"/>
          </w:tcPr>
          <w:p>
            <w:pPr>
              <w:pStyle w:val="12"/>
              <w:spacing w:before="103"/>
              <w:ind w:left="334" w:right="319"/>
              <w:jc w:val="center"/>
              <w:rPr>
                <w:rFonts w:eastAsia="宋体"/>
                <w:b/>
                <w:sz w:val="24"/>
                <w:szCs w:val="24"/>
                <w:lang w:eastAsia="zh-CN"/>
              </w:rPr>
            </w:pPr>
            <w:r>
              <w:rPr>
                <w:rFonts w:eastAsia="宋体"/>
                <w:b/>
                <w:sz w:val="24"/>
                <w:szCs w:val="24"/>
                <w:lang w:eastAsia="zh-CN"/>
              </w:rPr>
              <w:t>调整</w:t>
            </w:r>
            <w:r>
              <w:rPr>
                <w:rFonts w:hint="eastAsia" w:eastAsia="宋体"/>
                <w:b/>
                <w:sz w:val="24"/>
                <w:szCs w:val="24"/>
                <w:lang w:eastAsia="zh-CN"/>
              </w:rPr>
              <w:t>后</w:t>
            </w:r>
          </w:p>
          <w:p>
            <w:pPr>
              <w:pStyle w:val="12"/>
              <w:spacing w:before="103"/>
              <w:ind w:left="334" w:right="319"/>
              <w:jc w:val="center"/>
              <w:rPr>
                <w:rFonts w:eastAsia="宋体"/>
                <w:b/>
                <w:sz w:val="24"/>
                <w:szCs w:val="24"/>
                <w:lang w:eastAsia="zh-CN"/>
              </w:rPr>
            </w:pPr>
            <w:r>
              <w:rPr>
                <w:rFonts w:hint="eastAsia" w:eastAsia="宋体"/>
                <w:b/>
                <w:sz w:val="24"/>
                <w:szCs w:val="24"/>
                <w:lang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shd w:val="clear" w:color="auto" w:fill="D9E1F3"/>
            <w:vAlign w:val="center"/>
          </w:tcPr>
          <w:p>
            <w:pPr>
              <w:pStyle w:val="12"/>
              <w:ind w:left="4"/>
              <w:jc w:val="both"/>
              <w:rPr>
                <w:rFonts w:eastAsia="宋体"/>
                <w:b/>
                <w:sz w:val="24"/>
                <w:szCs w:val="24"/>
              </w:rPr>
            </w:pPr>
            <w:r>
              <w:rPr>
                <w:rFonts w:eastAsia="宋体"/>
                <w:b/>
                <w:spacing w:val="-5"/>
                <w:sz w:val="24"/>
                <w:szCs w:val="24"/>
              </w:rPr>
              <w:t>3.1</w:t>
            </w:r>
          </w:p>
        </w:tc>
        <w:tc>
          <w:tcPr>
            <w:tcW w:w="4076" w:type="dxa"/>
            <w:shd w:val="clear" w:color="auto" w:fill="D9E1F3"/>
            <w:vAlign w:val="center"/>
          </w:tcPr>
          <w:p>
            <w:pPr>
              <w:pStyle w:val="12"/>
              <w:ind w:left="4"/>
              <w:jc w:val="both"/>
              <w:rPr>
                <w:rFonts w:eastAsia="宋体"/>
                <w:b/>
                <w:sz w:val="24"/>
                <w:szCs w:val="24"/>
              </w:rPr>
            </w:pPr>
            <w:r>
              <w:rPr>
                <w:rFonts w:eastAsia="宋体"/>
                <w:b/>
                <w:spacing w:val="-2"/>
                <w:sz w:val="24"/>
                <w:szCs w:val="24"/>
              </w:rPr>
              <w:t>贷款</w:t>
            </w:r>
          </w:p>
        </w:tc>
        <w:tc>
          <w:tcPr>
            <w:tcW w:w="1966" w:type="dxa"/>
            <w:shd w:val="clear" w:color="auto" w:fill="D9E1F3"/>
            <w:vAlign w:val="center"/>
          </w:tcPr>
          <w:p>
            <w:pPr>
              <w:pStyle w:val="12"/>
              <w:ind w:left="7"/>
              <w:jc w:val="center"/>
              <w:rPr>
                <w:rFonts w:eastAsia="宋体"/>
                <w:b/>
                <w:sz w:val="24"/>
                <w:szCs w:val="24"/>
              </w:rPr>
            </w:pPr>
            <w:r>
              <w:rPr>
                <w:rFonts w:eastAsia="宋体"/>
                <w:b/>
                <w:sz w:val="24"/>
                <w:szCs w:val="24"/>
              </w:rPr>
              <w:t>4</w:t>
            </w:r>
          </w:p>
        </w:tc>
        <w:tc>
          <w:tcPr>
            <w:tcW w:w="1776" w:type="dxa"/>
            <w:shd w:val="clear" w:color="auto" w:fill="D9E1F3"/>
            <w:vAlign w:val="center"/>
          </w:tcPr>
          <w:p>
            <w:pPr>
              <w:pStyle w:val="12"/>
              <w:ind w:left="334" w:right="316"/>
              <w:jc w:val="center"/>
              <w:rPr>
                <w:rFonts w:eastAsia="宋体"/>
                <w:b/>
                <w:sz w:val="24"/>
                <w:szCs w:val="24"/>
                <w:lang w:eastAsia="zh-CN"/>
              </w:rPr>
            </w:pPr>
            <w:r>
              <w:rPr>
                <w:rFonts w:eastAsia="宋体"/>
                <w:b/>
                <w:sz w:val="24"/>
                <w:szCs w:val="24"/>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vAlign w:val="center"/>
          </w:tcPr>
          <w:p>
            <w:pPr>
              <w:pStyle w:val="12"/>
              <w:ind w:left="4"/>
              <w:jc w:val="both"/>
              <w:rPr>
                <w:rFonts w:eastAsia="宋体"/>
                <w:sz w:val="24"/>
                <w:szCs w:val="24"/>
              </w:rPr>
            </w:pPr>
            <w:r>
              <w:rPr>
                <w:rFonts w:eastAsia="宋体"/>
                <w:spacing w:val="-2"/>
                <w:sz w:val="24"/>
                <w:szCs w:val="24"/>
              </w:rPr>
              <w:t>3.1.1</w:t>
            </w:r>
          </w:p>
        </w:tc>
        <w:tc>
          <w:tcPr>
            <w:tcW w:w="4076" w:type="dxa"/>
            <w:vAlign w:val="center"/>
          </w:tcPr>
          <w:p>
            <w:pPr>
              <w:pStyle w:val="12"/>
              <w:ind w:left="9"/>
              <w:jc w:val="both"/>
              <w:rPr>
                <w:rFonts w:eastAsia="宋体"/>
                <w:sz w:val="24"/>
                <w:szCs w:val="24"/>
              </w:rPr>
            </w:pPr>
            <w:r>
              <w:rPr>
                <w:rFonts w:eastAsia="宋体"/>
                <w:sz w:val="24"/>
                <w:szCs w:val="24"/>
              </w:rPr>
              <w:t>获得贷款的时间</w:t>
            </w:r>
          </w:p>
        </w:tc>
        <w:tc>
          <w:tcPr>
            <w:tcW w:w="1966" w:type="dxa"/>
            <w:vAlign w:val="center"/>
          </w:tcPr>
          <w:p>
            <w:pPr>
              <w:pStyle w:val="12"/>
              <w:ind w:left="7"/>
              <w:jc w:val="center"/>
              <w:rPr>
                <w:rFonts w:eastAsia="宋体"/>
                <w:sz w:val="24"/>
                <w:szCs w:val="24"/>
              </w:rPr>
            </w:pPr>
            <w:r>
              <w:rPr>
                <w:rFonts w:eastAsia="宋体"/>
                <w:sz w:val="24"/>
                <w:szCs w:val="24"/>
              </w:rPr>
              <w:t>1</w:t>
            </w:r>
          </w:p>
        </w:tc>
        <w:tc>
          <w:tcPr>
            <w:tcW w:w="1776" w:type="dxa"/>
            <w:vAlign w:val="center"/>
          </w:tcPr>
          <w:p>
            <w:pPr>
              <w:pStyle w:val="12"/>
              <w:ind w:left="334" w:right="316"/>
              <w:jc w:val="center"/>
              <w:rPr>
                <w:rFonts w:eastAsia="宋体"/>
                <w:sz w:val="24"/>
                <w:szCs w:val="24"/>
              </w:rPr>
            </w:pPr>
            <w:r>
              <w:rPr>
                <w:rFonts w:eastAsia="宋体"/>
                <w:spacing w:val="-5"/>
                <w:sz w:val="24"/>
                <w:szCs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center"/>
          </w:tcPr>
          <w:p>
            <w:pPr>
              <w:pStyle w:val="12"/>
              <w:spacing w:before="2"/>
              <w:ind w:left="4"/>
              <w:jc w:val="both"/>
              <w:rPr>
                <w:rFonts w:eastAsia="宋体"/>
                <w:sz w:val="24"/>
                <w:szCs w:val="24"/>
              </w:rPr>
            </w:pPr>
            <w:r>
              <w:rPr>
                <w:rFonts w:eastAsia="宋体"/>
                <w:spacing w:val="-2"/>
                <w:sz w:val="24"/>
                <w:szCs w:val="24"/>
              </w:rPr>
              <w:t>3.1.2</w:t>
            </w:r>
          </w:p>
        </w:tc>
        <w:tc>
          <w:tcPr>
            <w:tcW w:w="4076" w:type="dxa"/>
            <w:vAlign w:val="center"/>
          </w:tcPr>
          <w:p>
            <w:pPr>
              <w:pStyle w:val="12"/>
              <w:spacing w:before="2"/>
              <w:ind w:left="9"/>
              <w:jc w:val="both"/>
              <w:rPr>
                <w:rFonts w:eastAsia="宋体"/>
                <w:sz w:val="24"/>
                <w:szCs w:val="24"/>
              </w:rPr>
            </w:pPr>
            <w:r>
              <w:rPr>
                <w:rFonts w:eastAsia="宋体"/>
                <w:sz w:val="24"/>
                <w:szCs w:val="24"/>
              </w:rPr>
              <w:t>获得贷款的成本</w:t>
            </w:r>
          </w:p>
        </w:tc>
        <w:tc>
          <w:tcPr>
            <w:tcW w:w="1966" w:type="dxa"/>
            <w:vAlign w:val="center"/>
          </w:tcPr>
          <w:p>
            <w:pPr>
              <w:pStyle w:val="12"/>
              <w:spacing w:before="2"/>
              <w:ind w:left="7"/>
              <w:jc w:val="center"/>
              <w:rPr>
                <w:rFonts w:eastAsia="宋体"/>
                <w:sz w:val="24"/>
                <w:szCs w:val="24"/>
              </w:rPr>
            </w:pPr>
            <w:r>
              <w:rPr>
                <w:rFonts w:eastAsia="宋体"/>
                <w:sz w:val="24"/>
                <w:szCs w:val="24"/>
              </w:rPr>
              <w:t>1</w:t>
            </w:r>
          </w:p>
        </w:tc>
        <w:tc>
          <w:tcPr>
            <w:tcW w:w="1776" w:type="dxa"/>
            <w:vAlign w:val="center"/>
          </w:tcPr>
          <w:p>
            <w:pPr>
              <w:pStyle w:val="12"/>
              <w:spacing w:before="2"/>
              <w:ind w:left="334" w:right="316"/>
              <w:jc w:val="center"/>
              <w:rPr>
                <w:rFonts w:eastAsia="宋体"/>
                <w:sz w:val="24"/>
                <w:szCs w:val="24"/>
              </w:rPr>
            </w:pPr>
            <w:r>
              <w:rPr>
                <w:rFonts w:eastAsia="宋体"/>
                <w:spacing w:val="-5"/>
                <w:sz w:val="24"/>
                <w:szCs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vAlign w:val="center"/>
          </w:tcPr>
          <w:p>
            <w:pPr>
              <w:pStyle w:val="12"/>
              <w:ind w:left="4"/>
              <w:jc w:val="both"/>
              <w:rPr>
                <w:rFonts w:eastAsia="宋体"/>
                <w:sz w:val="24"/>
                <w:szCs w:val="24"/>
              </w:rPr>
            </w:pPr>
            <w:r>
              <w:rPr>
                <w:rFonts w:eastAsia="宋体"/>
                <w:spacing w:val="-2"/>
                <w:sz w:val="24"/>
                <w:szCs w:val="24"/>
              </w:rPr>
              <w:t>3.1.3</w:t>
            </w:r>
          </w:p>
        </w:tc>
        <w:tc>
          <w:tcPr>
            <w:tcW w:w="4076" w:type="dxa"/>
            <w:vAlign w:val="center"/>
          </w:tcPr>
          <w:p>
            <w:pPr>
              <w:pStyle w:val="12"/>
              <w:ind w:left="9"/>
              <w:jc w:val="both"/>
              <w:rPr>
                <w:rFonts w:eastAsia="宋体"/>
                <w:sz w:val="24"/>
                <w:szCs w:val="24"/>
                <w:lang w:eastAsia="zh-CN"/>
              </w:rPr>
            </w:pPr>
            <w:r>
              <w:rPr>
                <w:rFonts w:eastAsia="宋体"/>
                <w:sz w:val="24"/>
                <w:szCs w:val="24"/>
                <w:lang w:eastAsia="zh-CN"/>
              </w:rPr>
              <w:t>担保利息与信用数据更新效率</w:t>
            </w:r>
          </w:p>
        </w:tc>
        <w:tc>
          <w:tcPr>
            <w:tcW w:w="1966" w:type="dxa"/>
            <w:vAlign w:val="center"/>
          </w:tcPr>
          <w:p>
            <w:pPr>
              <w:pStyle w:val="12"/>
              <w:ind w:left="7"/>
              <w:jc w:val="center"/>
              <w:rPr>
                <w:rFonts w:eastAsia="宋体"/>
                <w:sz w:val="24"/>
                <w:szCs w:val="24"/>
              </w:rPr>
            </w:pPr>
            <w:r>
              <w:rPr>
                <w:rFonts w:eastAsia="宋体"/>
                <w:sz w:val="24"/>
                <w:szCs w:val="24"/>
              </w:rPr>
              <w:t>1</w:t>
            </w:r>
          </w:p>
        </w:tc>
        <w:tc>
          <w:tcPr>
            <w:tcW w:w="1776" w:type="dxa"/>
            <w:vAlign w:val="center"/>
          </w:tcPr>
          <w:p>
            <w:pPr>
              <w:pStyle w:val="12"/>
              <w:ind w:left="334" w:right="316"/>
              <w:jc w:val="center"/>
              <w:rPr>
                <w:rFonts w:eastAsia="宋体"/>
                <w:sz w:val="24"/>
                <w:szCs w:val="24"/>
              </w:rPr>
            </w:pPr>
            <w:r>
              <w:rPr>
                <w:rFonts w:eastAsia="宋体"/>
                <w:spacing w:val="-5"/>
                <w:sz w:val="24"/>
                <w:szCs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center"/>
          </w:tcPr>
          <w:p>
            <w:pPr>
              <w:pStyle w:val="12"/>
              <w:ind w:left="4"/>
              <w:jc w:val="both"/>
              <w:rPr>
                <w:rFonts w:eastAsia="宋体"/>
                <w:sz w:val="24"/>
                <w:szCs w:val="24"/>
              </w:rPr>
            </w:pPr>
            <w:r>
              <w:rPr>
                <w:rFonts w:eastAsia="宋体"/>
                <w:spacing w:val="-2"/>
                <w:sz w:val="24"/>
                <w:szCs w:val="24"/>
              </w:rPr>
              <w:t>3.1.4</w:t>
            </w:r>
          </w:p>
        </w:tc>
        <w:tc>
          <w:tcPr>
            <w:tcW w:w="4076" w:type="dxa"/>
            <w:vAlign w:val="center"/>
          </w:tcPr>
          <w:p>
            <w:pPr>
              <w:pStyle w:val="12"/>
              <w:ind w:left="9"/>
              <w:jc w:val="both"/>
              <w:rPr>
                <w:rFonts w:eastAsia="宋体"/>
                <w:sz w:val="24"/>
                <w:szCs w:val="24"/>
                <w:lang w:eastAsia="zh-CN"/>
              </w:rPr>
            </w:pPr>
            <w:r>
              <w:rPr>
                <w:rFonts w:eastAsia="宋体"/>
                <w:sz w:val="24"/>
                <w:szCs w:val="24"/>
                <w:lang w:eastAsia="zh-CN"/>
              </w:rPr>
              <w:t>在获得贷款和其他银行服务方面的性别差距</w:t>
            </w:r>
          </w:p>
        </w:tc>
        <w:tc>
          <w:tcPr>
            <w:tcW w:w="1966" w:type="dxa"/>
            <w:vAlign w:val="center"/>
          </w:tcPr>
          <w:p>
            <w:pPr>
              <w:pStyle w:val="12"/>
              <w:ind w:left="7"/>
              <w:jc w:val="center"/>
              <w:rPr>
                <w:rFonts w:eastAsia="宋体"/>
                <w:sz w:val="24"/>
                <w:szCs w:val="24"/>
              </w:rPr>
            </w:pPr>
            <w:r>
              <w:rPr>
                <w:rFonts w:eastAsia="宋体"/>
                <w:sz w:val="24"/>
                <w:szCs w:val="24"/>
              </w:rPr>
              <w:t>1</w:t>
            </w:r>
          </w:p>
        </w:tc>
        <w:tc>
          <w:tcPr>
            <w:tcW w:w="1776" w:type="dxa"/>
            <w:vAlign w:val="center"/>
          </w:tcPr>
          <w:p>
            <w:pPr>
              <w:pStyle w:val="12"/>
              <w:ind w:left="334" w:right="316"/>
              <w:jc w:val="center"/>
              <w:rPr>
                <w:rFonts w:eastAsia="宋体"/>
                <w:sz w:val="24"/>
                <w:szCs w:val="24"/>
              </w:rPr>
            </w:pPr>
            <w:r>
              <w:rPr>
                <w:rFonts w:eastAsia="宋体"/>
                <w:spacing w:val="-5"/>
                <w:sz w:val="24"/>
                <w:szCs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shd w:val="clear" w:color="auto" w:fill="D9E1F3"/>
            <w:vAlign w:val="center"/>
          </w:tcPr>
          <w:p>
            <w:pPr>
              <w:pStyle w:val="12"/>
              <w:ind w:left="4"/>
              <w:jc w:val="both"/>
              <w:rPr>
                <w:rFonts w:eastAsia="宋体"/>
                <w:b/>
                <w:sz w:val="24"/>
                <w:szCs w:val="24"/>
              </w:rPr>
            </w:pPr>
            <w:r>
              <w:rPr>
                <w:rFonts w:eastAsia="宋体"/>
                <w:b/>
                <w:spacing w:val="-5"/>
                <w:sz w:val="24"/>
                <w:szCs w:val="24"/>
              </w:rPr>
              <w:t>3.2</w:t>
            </w:r>
          </w:p>
        </w:tc>
        <w:tc>
          <w:tcPr>
            <w:tcW w:w="4076" w:type="dxa"/>
            <w:shd w:val="clear" w:color="auto" w:fill="D9E1F3"/>
            <w:vAlign w:val="center"/>
          </w:tcPr>
          <w:p>
            <w:pPr>
              <w:pStyle w:val="12"/>
              <w:ind w:left="9"/>
              <w:jc w:val="both"/>
              <w:rPr>
                <w:rFonts w:eastAsia="宋体"/>
                <w:b/>
                <w:sz w:val="24"/>
                <w:szCs w:val="24"/>
              </w:rPr>
            </w:pPr>
            <w:r>
              <w:rPr>
                <w:rFonts w:eastAsia="宋体"/>
                <w:b/>
                <w:spacing w:val="-2"/>
                <w:sz w:val="24"/>
                <w:szCs w:val="24"/>
                <w:lang w:eastAsia="zh-CN"/>
              </w:rPr>
              <w:t>电子</w:t>
            </w:r>
            <w:r>
              <w:rPr>
                <w:rFonts w:eastAsia="宋体"/>
                <w:b/>
                <w:spacing w:val="-2"/>
                <w:sz w:val="24"/>
                <w:szCs w:val="24"/>
              </w:rPr>
              <w:t>支付</w:t>
            </w:r>
          </w:p>
        </w:tc>
        <w:tc>
          <w:tcPr>
            <w:tcW w:w="1966" w:type="dxa"/>
            <w:shd w:val="clear" w:color="auto" w:fill="D9E1F3"/>
            <w:vAlign w:val="center"/>
          </w:tcPr>
          <w:p>
            <w:pPr>
              <w:pStyle w:val="12"/>
              <w:ind w:left="7"/>
              <w:jc w:val="center"/>
              <w:rPr>
                <w:rFonts w:eastAsia="宋体"/>
                <w:b/>
                <w:sz w:val="24"/>
                <w:szCs w:val="24"/>
              </w:rPr>
            </w:pPr>
            <w:r>
              <w:rPr>
                <w:rFonts w:eastAsia="宋体"/>
                <w:b/>
                <w:sz w:val="24"/>
                <w:szCs w:val="24"/>
              </w:rPr>
              <w:t>6</w:t>
            </w:r>
          </w:p>
        </w:tc>
        <w:tc>
          <w:tcPr>
            <w:tcW w:w="1776" w:type="dxa"/>
            <w:shd w:val="clear" w:color="auto" w:fill="D9E1F3"/>
            <w:vAlign w:val="center"/>
          </w:tcPr>
          <w:p>
            <w:pPr>
              <w:pStyle w:val="12"/>
              <w:ind w:left="334" w:right="316"/>
              <w:jc w:val="center"/>
              <w:rPr>
                <w:rFonts w:eastAsia="宋体"/>
                <w:b/>
                <w:sz w:val="24"/>
                <w:szCs w:val="24"/>
                <w:lang w:eastAsia="zh-CN"/>
              </w:rPr>
            </w:pPr>
            <w:r>
              <w:rPr>
                <w:rFonts w:eastAsia="宋体"/>
                <w:b/>
                <w:spacing w:val="-5"/>
                <w:sz w:val="24"/>
                <w:szCs w:val="24"/>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vAlign w:val="center"/>
          </w:tcPr>
          <w:p>
            <w:pPr>
              <w:pStyle w:val="12"/>
              <w:ind w:left="9"/>
              <w:jc w:val="both"/>
              <w:rPr>
                <w:rFonts w:eastAsia="宋体"/>
                <w:sz w:val="24"/>
                <w:szCs w:val="24"/>
              </w:rPr>
            </w:pPr>
            <w:r>
              <w:rPr>
                <w:rFonts w:eastAsia="宋体"/>
                <w:spacing w:val="-2"/>
                <w:sz w:val="24"/>
                <w:szCs w:val="24"/>
              </w:rPr>
              <w:t>3.2.1</w:t>
            </w:r>
          </w:p>
        </w:tc>
        <w:tc>
          <w:tcPr>
            <w:tcW w:w="4076" w:type="dxa"/>
            <w:vAlign w:val="center"/>
          </w:tcPr>
          <w:p>
            <w:pPr>
              <w:pStyle w:val="12"/>
              <w:ind w:left="9"/>
              <w:jc w:val="both"/>
              <w:rPr>
                <w:rFonts w:eastAsia="宋体"/>
                <w:sz w:val="24"/>
                <w:szCs w:val="24"/>
              </w:rPr>
            </w:pPr>
            <w:r>
              <w:rPr>
                <w:rFonts w:eastAsia="宋体"/>
                <w:sz w:val="24"/>
                <w:szCs w:val="24"/>
              </w:rPr>
              <w:t>接收电子付款的费用</w:t>
            </w:r>
          </w:p>
        </w:tc>
        <w:tc>
          <w:tcPr>
            <w:tcW w:w="1966" w:type="dxa"/>
            <w:vAlign w:val="center"/>
          </w:tcPr>
          <w:p>
            <w:pPr>
              <w:pStyle w:val="12"/>
              <w:ind w:left="7"/>
              <w:jc w:val="center"/>
              <w:rPr>
                <w:rFonts w:eastAsia="宋体"/>
                <w:sz w:val="24"/>
                <w:szCs w:val="24"/>
              </w:rPr>
            </w:pPr>
            <w:r>
              <w:rPr>
                <w:rFonts w:eastAsia="宋体"/>
                <w:sz w:val="24"/>
                <w:szCs w:val="24"/>
              </w:rPr>
              <w:t>1</w:t>
            </w:r>
          </w:p>
        </w:tc>
        <w:tc>
          <w:tcPr>
            <w:tcW w:w="1776" w:type="dxa"/>
            <w:vAlign w:val="center"/>
          </w:tcPr>
          <w:p>
            <w:pPr>
              <w:pStyle w:val="12"/>
              <w:ind w:left="334" w:right="317"/>
              <w:jc w:val="center"/>
              <w:rPr>
                <w:rFonts w:eastAsia="宋体"/>
                <w:sz w:val="24"/>
                <w:szCs w:val="24"/>
              </w:rPr>
            </w:pPr>
            <w:r>
              <w:rPr>
                <w:rFonts w:eastAsia="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center"/>
          </w:tcPr>
          <w:p>
            <w:pPr>
              <w:pStyle w:val="12"/>
              <w:spacing w:before="2"/>
              <w:ind w:left="4"/>
              <w:jc w:val="both"/>
              <w:rPr>
                <w:rFonts w:eastAsia="宋体"/>
                <w:sz w:val="24"/>
                <w:szCs w:val="24"/>
              </w:rPr>
            </w:pPr>
            <w:r>
              <w:rPr>
                <w:rFonts w:eastAsia="宋体"/>
                <w:spacing w:val="-2"/>
                <w:sz w:val="24"/>
                <w:szCs w:val="24"/>
              </w:rPr>
              <w:t>3.2.2</w:t>
            </w:r>
          </w:p>
        </w:tc>
        <w:tc>
          <w:tcPr>
            <w:tcW w:w="4076" w:type="dxa"/>
            <w:vAlign w:val="center"/>
          </w:tcPr>
          <w:p>
            <w:pPr>
              <w:pStyle w:val="12"/>
              <w:spacing w:before="2"/>
              <w:ind w:left="9"/>
              <w:jc w:val="both"/>
              <w:rPr>
                <w:rFonts w:eastAsia="宋体"/>
                <w:sz w:val="24"/>
                <w:szCs w:val="24"/>
              </w:rPr>
            </w:pPr>
            <w:r>
              <w:rPr>
                <w:rFonts w:eastAsia="宋体"/>
                <w:sz w:val="24"/>
                <w:szCs w:val="24"/>
              </w:rPr>
              <w:t>进行电子支付的费用</w:t>
            </w:r>
          </w:p>
        </w:tc>
        <w:tc>
          <w:tcPr>
            <w:tcW w:w="1966" w:type="dxa"/>
            <w:vAlign w:val="center"/>
          </w:tcPr>
          <w:p>
            <w:pPr>
              <w:pStyle w:val="12"/>
              <w:spacing w:before="2"/>
              <w:ind w:left="7"/>
              <w:jc w:val="center"/>
              <w:rPr>
                <w:rFonts w:eastAsia="宋体"/>
                <w:sz w:val="24"/>
                <w:szCs w:val="24"/>
              </w:rPr>
            </w:pPr>
            <w:r>
              <w:rPr>
                <w:rFonts w:eastAsia="宋体"/>
                <w:sz w:val="24"/>
                <w:szCs w:val="24"/>
              </w:rPr>
              <w:t>1</w:t>
            </w:r>
          </w:p>
        </w:tc>
        <w:tc>
          <w:tcPr>
            <w:tcW w:w="1776" w:type="dxa"/>
            <w:vAlign w:val="center"/>
          </w:tcPr>
          <w:p>
            <w:pPr>
              <w:pStyle w:val="12"/>
              <w:spacing w:before="2"/>
              <w:ind w:left="334" w:right="317"/>
              <w:jc w:val="center"/>
              <w:rPr>
                <w:rFonts w:eastAsia="宋体"/>
                <w:sz w:val="24"/>
                <w:szCs w:val="24"/>
              </w:rPr>
            </w:pPr>
            <w:r>
              <w:rPr>
                <w:rFonts w:eastAsia="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vAlign w:val="center"/>
          </w:tcPr>
          <w:p>
            <w:pPr>
              <w:pStyle w:val="12"/>
              <w:ind w:left="4"/>
              <w:jc w:val="both"/>
              <w:rPr>
                <w:rFonts w:eastAsia="宋体"/>
                <w:sz w:val="24"/>
                <w:szCs w:val="24"/>
              </w:rPr>
            </w:pPr>
            <w:r>
              <w:rPr>
                <w:rFonts w:eastAsia="宋体"/>
                <w:spacing w:val="-2"/>
                <w:sz w:val="24"/>
                <w:szCs w:val="24"/>
              </w:rPr>
              <w:t>3.2.3</w:t>
            </w:r>
          </w:p>
        </w:tc>
        <w:tc>
          <w:tcPr>
            <w:tcW w:w="4076" w:type="dxa"/>
            <w:vAlign w:val="center"/>
          </w:tcPr>
          <w:p>
            <w:pPr>
              <w:pStyle w:val="12"/>
              <w:ind w:left="9"/>
              <w:jc w:val="both"/>
              <w:rPr>
                <w:rFonts w:eastAsia="宋体"/>
                <w:sz w:val="24"/>
                <w:szCs w:val="24"/>
              </w:rPr>
            </w:pPr>
            <w:r>
              <w:rPr>
                <w:rFonts w:eastAsia="宋体"/>
                <w:sz w:val="24"/>
                <w:szCs w:val="24"/>
              </w:rPr>
              <w:t>收到电子付款的时间</w:t>
            </w:r>
          </w:p>
        </w:tc>
        <w:tc>
          <w:tcPr>
            <w:tcW w:w="1966" w:type="dxa"/>
            <w:vAlign w:val="center"/>
          </w:tcPr>
          <w:p>
            <w:pPr>
              <w:pStyle w:val="12"/>
              <w:ind w:left="7"/>
              <w:jc w:val="center"/>
              <w:rPr>
                <w:rFonts w:eastAsia="宋体"/>
                <w:sz w:val="24"/>
                <w:szCs w:val="24"/>
              </w:rPr>
            </w:pPr>
            <w:r>
              <w:rPr>
                <w:rFonts w:eastAsia="宋体"/>
                <w:sz w:val="24"/>
                <w:szCs w:val="24"/>
              </w:rPr>
              <w:t>1</w:t>
            </w:r>
          </w:p>
        </w:tc>
        <w:tc>
          <w:tcPr>
            <w:tcW w:w="1776" w:type="dxa"/>
            <w:vAlign w:val="center"/>
          </w:tcPr>
          <w:p>
            <w:pPr>
              <w:pStyle w:val="12"/>
              <w:ind w:left="334" w:right="317"/>
              <w:jc w:val="center"/>
              <w:rPr>
                <w:rFonts w:eastAsia="宋体"/>
                <w:sz w:val="24"/>
                <w:szCs w:val="24"/>
              </w:rPr>
            </w:pPr>
            <w:r>
              <w:rPr>
                <w:rFonts w:eastAsia="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626" w:type="dxa"/>
            <w:vAlign w:val="center"/>
          </w:tcPr>
          <w:p>
            <w:pPr>
              <w:pStyle w:val="12"/>
              <w:ind w:left="4"/>
              <w:jc w:val="both"/>
              <w:rPr>
                <w:rFonts w:eastAsia="宋体"/>
                <w:sz w:val="24"/>
                <w:szCs w:val="24"/>
              </w:rPr>
            </w:pPr>
            <w:r>
              <w:rPr>
                <w:rFonts w:eastAsia="宋体"/>
                <w:spacing w:val="-2"/>
                <w:sz w:val="24"/>
                <w:szCs w:val="24"/>
              </w:rPr>
              <w:t>3.2.4</w:t>
            </w:r>
          </w:p>
        </w:tc>
        <w:tc>
          <w:tcPr>
            <w:tcW w:w="4076" w:type="dxa"/>
            <w:vAlign w:val="center"/>
          </w:tcPr>
          <w:p>
            <w:pPr>
              <w:pStyle w:val="12"/>
              <w:ind w:left="9"/>
              <w:jc w:val="both"/>
              <w:rPr>
                <w:rFonts w:eastAsia="宋体"/>
                <w:sz w:val="24"/>
                <w:szCs w:val="24"/>
                <w:lang w:eastAsia="zh-CN"/>
              </w:rPr>
            </w:pPr>
            <w:r>
              <w:rPr>
                <w:rFonts w:eastAsia="宋体"/>
                <w:sz w:val="24"/>
                <w:szCs w:val="24"/>
                <w:lang w:eastAsia="zh-CN"/>
              </w:rPr>
              <w:t>接收电子支付的使用水平</w:t>
            </w:r>
          </w:p>
        </w:tc>
        <w:tc>
          <w:tcPr>
            <w:tcW w:w="1966" w:type="dxa"/>
            <w:vAlign w:val="center"/>
          </w:tcPr>
          <w:p>
            <w:pPr>
              <w:pStyle w:val="12"/>
              <w:ind w:left="7"/>
              <w:jc w:val="center"/>
              <w:rPr>
                <w:rFonts w:eastAsia="宋体"/>
                <w:sz w:val="24"/>
                <w:szCs w:val="24"/>
              </w:rPr>
            </w:pPr>
            <w:r>
              <w:rPr>
                <w:rFonts w:eastAsia="宋体"/>
                <w:sz w:val="24"/>
                <w:szCs w:val="24"/>
              </w:rPr>
              <w:t>1</w:t>
            </w:r>
          </w:p>
        </w:tc>
        <w:tc>
          <w:tcPr>
            <w:tcW w:w="1776" w:type="dxa"/>
            <w:vAlign w:val="center"/>
          </w:tcPr>
          <w:p>
            <w:pPr>
              <w:pStyle w:val="12"/>
              <w:ind w:left="334" w:right="317"/>
              <w:jc w:val="center"/>
              <w:rPr>
                <w:rFonts w:eastAsia="宋体"/>
                <w:sz w:val="24"/>
                <w:szCs w:val="24"/>
              </w:rPr>
            </w:pPr>
            <w:r>
              <w:rPr>
                <w:rFonts w:eastAsia="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vAlign w:val="center"/>
          </w:tcPr>
          <w:p>
            <w:pPr>
              <w:pStyle w:val="12"/>
              <w:ind w:left="4"/>
              <w:jc w:val="both"/>
              <w:rPr>
                <w:rFonts w:eastAsia="宋体"/>
                <w:sz w:val="24"/>
                <w:szCs w:val="24"/>
              </w:rPr>
            </w:pPr>
            <w:r>
              <w:rPr>
                <w:rFonts w:eastAsia="宋体"/>
                <w:spacing w:val="-2"/>
                <w:sz w:val="24"/>
                <w:szCs w:val="24"/>
              </w:rPr>
              <w:t>3.2.5</w:t>
            </w:r>
          </w:p>
        </w:tc>
        <w:tc>
          <w:tcPr>
            <w:tcW w:w="4076" w:type="dxa"/>
            <w:vAlign w:val="center"/>
          </w:tcPr>
          <w:p>
            <w:pPr>
              <w:pStyle w:val="12"/>
              <w:ind w:left="9"/>
              <w:jc w:val="both"/>
              <w:rPr>
                <w:rFonts w:eastAsia="宋体"/>
                <w:sz w:val="24"/>
                <w:szCs w:val="24"/>
              </w:rPr>
            </w:pPr>
            <w:r>
              <w:rPr>
                <w:rFonts w:eastAsia="宋体"/>
                <w:sz w:val="24"/>
                <w:szCs w:val="24"/>
              </w:rPr>
              <w:t>电子付款的使用程度</w:t>
            </w:r>
          </w:p>
        </w:tc>
        <w:tc>
          <w:tcPr>
            <w:tcW w:w="1966" w:type="dxa"/>
            <w:vAlign w:val="center"/>
          </w:tcPr>
          <w:p>
            <w:pPr>
              <w:pStyle w:val="12"/>
              <w:ind w:left="7"/>
              <w:jc w:val="center"/>
              <w:rPr>
                <w:rFonts w:eastAsia="宋体"/>
                <w:sz w:val="24"/>
                <w:szCs w:val="24"/>
              </w:rPr>
            </w:pPr>
            <w:r>
              <w:rPr>
                <w:rFonts w:eastAsia="宋体"/>
                <w:sz w:val="24"/>
                <w:szCs w:val="24"/>
              </w:rPr>
              <w:t>1</w:t>
            </w:r>
          </w:p>
        </w:tc>
        <w:tc>
          <w:tcPr>
            <w:tcW w:w="1776" w:type="dxa"/>
            <w:vAlign w:val="center"/>
          </w:tcPr>
          <w:p>
            <w:pPr>
              <w:pStyle w:val="12"/>
              <w:ind w:left="334" w:right="317"/>
              <w:jc w:val="center"/>
              <w:rPr>
                <w:rFonts w:eastAsia="宋体"/>
                <w:sz w:val="24"/>
                <w:szCs w:val="24"/>
              </w:rPr>
            </w:pPr>
            <w:r>
              <w:rPr>
                <w:rFonts w:eastAsia="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center"/>
          </w:tcPr>
          <w:p>
            <w:pPr>
              <w:pStyle w:val="12"/>
              <w:ind w:left="4"/>
              <w:jc w:val="both"/>
              <w:rPr>
                <w:rFonts w:eastAsia="宋体"/>
                <w:sz w:val="24"/>
                <w:szCs w:val="24"/>
              </w:rPr>
            </w:pPr>
            <w:r>
              <w:rPr>
                <w:rFonts w:eastAsia="宋体"/>
                <w:spacing w:val="-2"/>
                <w:sz w:val="24"/>
                <w:szCs w:val="24"/>
              </w:rPr>
              <w:t>3.2.6</w:t>
            </w:r>
          </w:p>
        </w:tc>
        <w:tc>
          <w:tcPr>
            <w:tcW w:w="4076" w:type="dxa"/>
            <w:vAlign w:val="center"/>
          </w:tcPr>
          <w:p>
            <w:pPr>
              <w:pStyle w:val="12"/>
              <w:ind w:left="9"/>
              <w:jc w:val="both"/>
              <w:rPr>
                <w:rFonts w:eastAsia="宋体"/>
                <w:sz w:val="24"/>
                <w:szCs w:val="24"/>
                <w:lang w:eastAsia="zh-CN"/>
              </w:rPr>
            </w:pPr>
            <w:r>
              <w:rPr>
                <w:rFonts w:eastAsia="宋体"/>
                <w:sz w:val="24"/>
                <w:szCs w:val="24"/>
                <w:lang w:eastAsia="zh-CN"/>
              </w:rPr>
              <w:t>电子支付使用方面的性别差异</w:t>
            </w:r>
          </w:p>
        </w:tc>
        <w:tc>
          <w:tcPr>
            <w:tcW w:w="1966" w:type="dxa"/>
            <w:vAlign w:val="center"/>
          </w:tcPr>
          <w:p>
            <w:pPr>
              <w:pStyle w:val="12"/>
              <w:ind w:left="7"/>
              <w:jc w:val="center"/>
              <w:rPr>
                <w:rFonts w:eastAsia="宋体"/>
                <w:sz w:val="24"/>
                <w:szCs w:val="24"/>
              </w:rPr>
            </w:pPr>
            <w:r>
              <w:rPr>
                <w:rFonts w:eastAsia="宋体"/>
                <w:sz w:val="24"/>
                <w:szCs w:val="24"/>
              </w:rPr>
              <w:t>1</w:t>
            </w:r>
          </w:p>
        </w:tc>
        <w:tc>
          <w:tcPr>
            <w:tcW w:w="1776" w:type="dxa"/>
            <w:vAlign w:val="center"/>
          </w:tcPr>
          <w:p>
            <w:pPr>
              <w:pStyle w:val="12"/>
              <w:ind w:left="334" w:right="317"/>
              <w:jc w:val="center"/>
              <w:rPr>
                <w:rFonts w:eastAsia="宋体"/>
                <w:sz w:val="24"/>
                <w:szCs w:val="24"/>
              </w:rPr>
            </w:pPr>
            <w:r>
              <w:rPr>
                <w:rFonts w:eastAsia="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shd w:val="clear" w:color="auto" w:fill="FFC000"/>
            <w:vAlign w:val="center"/>
          </w:tcPr>
          <w:p>
            <w:pPr>
              <w:pStyle w:val="12"/>
              <w:ind w:left="0"/>
              <w:jc w:val="both"/>
              <w:rPr>
                <w:rFonts w:eastAsia="宋体"/>
                <w:sz w:val="24"/>
                <w:szCs w:val="24"/>
              </w:rPr>
            </w:pPr>
          </w:p>
        </w:tc>
        <w:tc>
          <w:tcPr>
            <w:tcW w:w="4076" w:type="dxa"/>
            <w:shd w:val="clear" w:color="auto" w:fill="FFC000"/>
            <w:vAlign w:val="center"/>
          </w:tcPr>
          <w:p>
            <w:pPr>
              <w:pStyle w:val="12"/>
              <w:ind w:left="4"/>
              <w:jc w:val="both"/>
              <w:rPr>
                <w:rFonts w:eastAsia="宋体"/>
                <w:b/>
                <w:sz w:val="24"/>
                <w:szCs w:val="24"/>
              </w:rPr>
            </w:pPr>
            <w:r>
              <w:rPr>
                <w:rFonts w:eastAsia="宋体"/>
                <w:b/>
                <w:spacing w:val="-2"/>
                <w:sz w:val="24"/>
                <w:szCs w:val="24"/>
              </w:rPr>
              <w:t>总计</w:t>
            </w:r>
          </w:p>
        </w:tc>
        <w:tc>
          <w:tcPr>
            <w:tcW w:w="1966" w:type="dxa"/>
            <w:shd w:val="clear" w:color="auto" w:fill="FFC000"/>
            <w:vAlign w:val="center"/>
          </w:tcPr>
          <w:p>
            <w:pPr>
              <w:pStyle w:val="12"/>
              <w:ind w:left="300" w:right="287"/>
              <w:jc w:val="center"/>
              <w:rPr>
                <w:rFonts w:eastAsia="宋体"/>
                <w:b/>
                <w:sz w:val="24"/>
                <w:szCs w:val="24"/>
              </w:rPr>
            </w:pPr>
            <w:r>
              <w:rPr>
                <w:rFonts w:eastAsia="宋体"/>
                <w:b/>
                <w:spacing w:val="-5"/>
                <w:sz w:val="24"/>
                <w:szCs w:val="24"/>
              </w:rPr>
              <w:t>10</w:t>
            </w:r>
          </w:p>
        </w:tc>
        <w:tc>
          <w:tcPr>
            <w:tcW w:w="1776" w:type="dxa"/>
            <w:shd w:val="clear" w:color="auto" w:fill="FFC000"/>
            <w:vAlign w:val="center"/>
          </w:tcPr>
          <w:p>
            <w:pPr>
              <w:pStyle w:val="12"/>
              <w:ind w:left="334" w:right="316"/>
              <w:jc w:val="center"/>
              <w:rPr>
                <w:rFonts w:eastAsia="宋体"/>
                <w:b/>
                <w:sz w:val="24"/>
                <w:szCs w:val="24"/>
                <w:lang w:eastAsia="zh-CN"/>
              </w:rPr>
            </w:pPr>
            <w:r>
              <w:rPr>
                <w:rFonts w:eastAsia="宋体"/>
                <w:b/>
                <w:spacing w:val="-5"/>
                <w:sz w:val="24"/>
                <w:szCs w:val="24"/>
                <w:lang w:eastAsia="zh-CN"/>
              </w:rPr>
              <w:t>100</w:t>
            </w:r>
          </w:p>
        </w:tc>
      </w:tr>
    </w:tbl>
    <w:p>
      <w:pPr>
        <w:spacing w:line="186" w:lineRule="exact"/>
        <w:jc w:val="center"/>
        <w:rPr>
          <w:sz w:val="18"/>
        </w:rPr>
        <w:sectPr>
          <w:type w:val="continuous"/>
          <w:pgSz w:w="12240" w:h="15840"/>
          <w:pgMar w:top="1440" w:right="1800" w:bottom="1440" w:left="1800" w:header="720" w:footer="720" w:gutter="0"/>
          <w:cols w:space="720" w:num="1"/>
        </w:sectPr>
      </w:pPr>
    </w:p>
    <w:p>
      <w:pPr>
        <w:spacing w:before="79"/>
        <w:ind w:left="120"/>
        <w:outlineLvl w:val="2"/>
        <w:rPr>
          <w:rFonts w:eastAsia="宋体"/>
          <w:b/>
          <w:sz w:val="21"/>
          <w:szCs w:val="21"/>
        </w:rPr>
      </w:pPr>
      <w:r>
        <w:rPr>
          <w:rFonts w:eastAsia="宋体"/>
          <w:b/>
          <w:spacing w:val="-2"/>
          <w:sz w:val="21"/>
          <w:szCs w:val="21"/>
        </w:rPr>
        <w:t>参考文献</w:t>
      </w:r>
    </w:p>
    <w:p>
      <w:pPr>
        <w:pStyle w:val="5"/>
        <w:ind w:left="840" w:right="138" w:hanging="720"/>
        <w:jc w:val="both"/>
      </w:pPr>
      <w:r>
        <w:t xml:space="preserve">Alvarez de la Campa, A. 2011. </w:t>
      </w:r>
      <w:r>
        <w:rPr>
          <w:rFonts w:hint="eastAsia" w:eastAsia="宋体"/>
          <w:lang w:eastAsia="zh-CN"/>
        </w:rPr>
        <w:t>“</w:t>
      </w:r>
      <w:r>
        <w:t>Increasing Access to Credit through Reforming Secured Transactions in the MENA Region.</w:t>
      </w:r>
      <w:r>
        <w:rPr>
          <w:rFonts w:hint="eastAsia" w:eastAsia="宋体"/>
          <w:lang w:eastAsia="zh-CN"/>
        </w:rPr>
        <w:t>”</w:t>
      </w:r>
      <w:r>
        <w:t xml:space="preserve"> Policy Research Working Paper 5613, World Bank, Washington, DC.</w:t>
      </w:r>
    </w:p>
    <w:p>
      <w:pPr>
        <w:pStyle w:val="5"/>
        <w:spacing w:before="11"/>
        <w:rPr>
          <w:sz w:val="21"/>
        </w:rPr>
      </w:pPr>
    </w:p>
    <w:p>
      <w:pPr>
        <w:pStyle w:val="5"/>
        <w:ind w:left="840" w:right="137" w:hanging="720"/>
        <w:jc w:val="both"/>
      </w:pPr>
      <w:r>
        <w:t xml:space="preserve">Amin, M., and D. Viganola. 2021. </w:t>
      </w:r>
      <w:r>
        <w:rPr>
          <w:rFonts w:hint="eastAsia" w:eastAsia="宋体"/>
          <w:lang w:eastAsia="zh-CN"/>
        </w:rPr>
        <w:t>“</w:t>
      </w:r>
      <w:r>
        <w:t>Does Better Access to Finance Help Firms Deal with the COVID-19 Pandemic? Evidence from Firm-Level Survey Data.</w:t>
      </w:r>
      <w:r>
        <w:rPr>
          <w:rFonts w:hint="eastAsia" w:eastAsia="宋体"/>
          <w:lang w:eastAsia="zh-CN"/>
        </w:rPr>
        <w:t>”</w:t>
      </w:r>
      <w:r>
        <w:t xml:space="preserve"> Policy Research Working Paper 9697. Washington, DC, World Bank.</w:t>
      </w:r>
    </w:p>
    <w:p>
      <w:pPr>
        <w:pStyle w:val="5"/>
        <w:spacing w:before="1"/>
      </w:pPr>
    </w:p>
    <w:p>
      <w:pPr>
        <w:pStyle w:val="5"/>
        <w:ind w:left="840" w:right="138" w:hanging="720"/>
        <w:jc w:val="both"/>
      </w:pPr>
      <w:r>
        <w:t xml:space="preserve">Ayyagari, M., P. Pedro Juarros, M. S. Martinez Peria, and S. Singh. 2021. </w:t>
      </w:r>
      <w:r>
        <w:rPr>
          <w:rFonts w:hint="eastAsia" w:eastAsia="宋体"/>
          <w:lang w:eastAsia="zh-CN"/>
        </w:rPr>
        <w:t>“</w:t>
      </w:r>
      <w:r>
        <w:t>Access to Finance and Job Growth:</w:t>
      </w:r>
      <w:r>
        <w:rPr>
          <w:spacing w:val="-7"/>
        </w:rPr>
        <w:t xml:space="preserve"> </w:t>
      </w:r>
      <w:r>
        <w:t>Firm-Level</w:t>
      </w:r>
      <w:r>
        <w:rPr>
          <w:spacing w:val="-4"/>
        </w:rPr>
        <w:t xml:space="preserve"> </w:t>
      </w:r>
      <w:r>
        <w:t>Evidence</w:t>
      </w:r>
      <w:r>
        <w:rPr>
          <w:spacing w:val="-4"/>
        </w:rPr>
        <w:t xml:space="preserve"> </w:t>
      </w:r>
      <w:r>
        <w:t>across</w:t>
      </w:r>
      <w:r>
        <w:rPr>
          <w:spacing w:val="-5"/>
        </w:rPr>
        <w:t xml:space="preserve"> </w:t>
      </w:r>
      <w:r>
        <w:t>Developing</w:t>
      </w:r>
      <w:r>
        <w:rPr>
          <w:spacing w:val="-5"/>
        </w:rPr>
        <w:t xml:space="preserve"> </w:t>
      </w:r>
      <w:r>
        <w:t>Countries.</w:t>
      </w:r>
      <w:r>
        <w:rPr>
          <w:rFonts w:hint="eastAsia" w:eastAsia="宋体"/>
          <w:lang w:eastAsia="zh-CN"/>
        </w:rPr>
        <w:t>”</w:t>
      </w:r>
      <w:r>
        <w:rPr>
          <w:spacing w:val="-1"/>
        </w:rPr>
        <w:t xml:space="preserve"> </w:t>
      </w:r>
      <w:r>
        <w:rPr>
          <w:i/>
        </w:rPr>
        <w:t>Review</w:t>
      </w:r>
      <w:r>
        <w:rPr>
          <w:i/>
          <w:spacing w:val="-5"/>
        </w:rPr>
        <w:t xml:space="preserve"> </w:t>
      </w:r>
      <w:r>
        <w:rPr>
          <w:i/>
        </w:rPr>
        <w:t>of</w:t>
      </w:r>
      <w:r>
        <w:rPr>
          <w:i/>
          <w:spacing w:val="-4"/>
        </w:rPr>
        <w:t xml:space="preserve"> </w:t>
      </w:r>
      <w:r>
        <w:rPr>
          <w:i/>
        </w:rPr>
        <w:t>Finance</w:t>
      </w:r>
      <w:r>
        <w:rPr>
          <w:i/>
          <w:spacing w:val="-6"/>
        </w:rPr>
        <w:t xml:space="preserve"> </w:t>
      </w:r>
      <w:r>
        <w:t>25</w:t>
      </w:r>
      <w:r>
        <w:rPr>
          <w:spacing w:val="-5"/>
        </w:rPr>
        <w:t xml:space="preserve"> </w:t>
      </w:r>
      <w:r>
        <w:t>(5):</w:t>
      </w:r>
      <w:r>
        <w:rPr>
          <w:spacing w:val="-3"/>
        </w:rPr>
        <w:t xml:space="preserve"> </w:t>
      </w:r>
      <w:r>
        <w:rPr>
          <w:spacing w:val="-2"/>
        </w:rPr>
        <w:t>1473–96.</w:t>
      </w:r>
    </w:p>
    <w:p>
      <w:pPr>
        <w:pStyle w:val="5"/>
      </w:pPr>
    </w:p>
    <w:p>
      <w:pPr>
        <w:ind w:left="840" w:right="133" w:hanging="720"/>
        <w:jc w:val="both"/>
      </w:pPr>
      <w:r>
        <w:t xml:space="preserve">BCBS (Basel Committee on Banking Supervision). 2014. </w:t>
      </w:r>
      <w:r>
        <w:rPr>
          <w:i/>
        </w:rPr>
        <w:t xml:space="preserve">Sound Management of Risks Related to Money Laundering and Financing of Terrorism </w:t>
      </w:r>
      <w:r>
        <w:t xml:space="preserve">(revised July 2020). </w:t>
      </w:r>
      <w:r>
        <w:rPr>
          <w:spacing w:val="-2"/>
        </w:rPr>
        <w:t>https://</w:t>
      </w:r>
      <w:r>
        <w:fldChar w:fldCharType="begin"/>
      </w:r>
      <w:r>
        <w:instrText xml:space="preserve"> HYPERLINK "http://www.bis.org/bcbs/publ/d505.pdf" \h </w:instrText>
      </w:r>
      <w:r>
        <w:fldChar w:fldCharType="separate"/>
      </w:r>
      <w:r>
        <w:rPr>
          <w:spacing w:val="-2"/>
        </w:rPr>
        <w:t>www.bis.org/bcbs/publ/d505.pdf.</w:t>
      </w:r>
      <w:r>
        <w:rPr>
          <w:spacing w:val="-2"/>
        </w:rPr>
        <w:fldChar w:fldCharType="end"/>
      </w:r>
    </w:p>
    <w:p>
      <w:pPr>
        <w:pStyle w:val="5"/>
        <w:spacing w:before="1"/>
      </w:pPr>
    </w:p>
    <w:p>
      <w:pPr>
        <w:pStyle w:val="5"/>
        <w:ind w:left="840" w:right="139" w:hanging="720"/>
        <w:jc w:val="both"/>
      </w:pPr>
      <w:r>
        <w:t>Beck,</w:t>
      </w:r>
      <w:r>
        <w:rPr>
          <w:spacing w:val="-7"/>
        </w:rPr>
        <w:t xml:space="preserve"> </w:t>
      </w:r>
      <w:r>
        <w:t>T.,</w:t>
      </w:r>
      <w:r>
        <w:rPr>
          <w:spacing w:val="-8"/>
        </w:rPr>
        <w:t xml:space="preserve"> </w:t>
      </w:r>
      <w:r>
        <w:t>A.</w:t>
      </w:r>
      <w:r>
        <w:rPr>
          <w:spacing w:val="-7"/>
        </w:rPr>
        <w:t xml:space="preserve"> </w:t>
      </w:r>
      <w:r>
        <w:t>Demirgüç-Kunt,</w:t>
      </w:r>
      <w:r>
        <w:rPr>
          <w:spacing w:val="-7"/>
        </w:rPr>
        <w:t xml:space="preserve"> </w:t>
      </w:r>
      <w:r>
        <w:t>and</w:t>
      </w:r>
      <w:r>
        <w:rPr>
          <w:spacing w:val="-7"/>
        </w:rPr>
        <w:t xml:space="preserve"> </w:t>
      </w:r>
      <w:r>
        <w:t>P.</w:t>
      </w:r>
      <w:r>
        <w:rPr>
          <w:spacing w:val="-7"/>
        </w:rPr>
        <w:t xml:space="preserve"> </w:t>
      </w:r>
      <w:r>
        <w:t>Honohan.</w:t>
      </w:r>
      <w:r>
        <w:rPr>
          <w:spacing w:val="-7"/>
        </w:rPr>
        <w:t xml:space="preserve"> </w:t>
      </w:r>
      <w:r>
        <w:t>2009.</w:t>
      </w:r>
      <w:r>
        <w:rPr>
          <w:spacing w:val="-10"/>
        </w:rPr>
        <w:t xml:space="preserve"> </w:t>
      </w:r>
      <w:r>
        <w:t>"Access</w:t>
      </w:r>
      <w:r>
        <w:rPr>
          <w:spacing w:val="-6"/>
        </w:rPr>
        <w:t xml:space="preserve"> </w:t>
      </w:r>
      <w:r>
        <w:t>to</w:t>
      </w:r>
      <w:r>
        <w:rPr>
          <w:spacing w:val="-7"/>
        </w:rPr>
        <w:t xml:space="preserve"> </w:t>
      </w:r>
      <w:r>
        <w:t>Financial</w:t>
      </w:r>
      <w:r>
        <w:rPr>
          <w:spacing w:val="-6"/>
        </w:rPr>
        <w:t xml:space="preserve"> </w:t>
      </w:r>
      <w:r>
        <w:t>Services:</w:t>
      </w:r>
      <w:r>
        <w:rPr>
          <w:spacing w:val="-6"/>
        </w:rPr>
        <w:t xml:space="preserve"> </w:t>
      </w:r>
      <w:r>
        <w:t>Measurement,</w:t>
      </w:r>
      <w:r>
        <w:rPr>
          <w:spacing w:val="-7"/>
        </w:rPr>
        <w:t xml:space="preserve"> </w:t>
      </w:r>
      <w:r>
        <w:t xml:space="preserve">Impact, and Policies." </w:t>
      </w:r>
      <w:r>
        <w:rPr>
          <w:i/>
        </w:rPr>
        <w:t xml:space="preserve">World Bank Research Observer </w:t>
      </w:r>
      <w:r>
        <w:t>24 (1).</w:t>
      </w:r>
    </w:p>
    <w:p>
      <w:pPr>
        <w:pStyle w:val="5"/>
        <w:spacing w:before="11"/>
        <w:rPr>
          <w:sz w:val="21"/>
        </w:rPr>
      </w:pPr>
    </w:p>
    <w:p>
      <w:pPr>
        <w:pStyle w:val="5"/>
        <w:ind w:left="840" w:right="138" w:hanging="720"/>
        <w:jc w:val="both"/>
      </w:pPr>
      <w:r>
        <w:t>Beck,</w:t>
      </w:r>
      <w:r>
        <w:rPr>
          <w:spacing w:val="-13"/>
        </w:rPr>
        <w:t xml:space="preserve"> </w:t>
      </w:r>
      <w:r>
        <w:t>T.,</w:t>
      </w:r>
      <w:r>
        <w:rPr>
          <w:spacing w:val="-13"/>
        </w:rPr>
        <w:t xml:space="preserve"> </w:t>
      </w:r>
      <w:r>
        <w:t>A.</w:t>
      </w:r>
      <w:r>
        <w:rPr>
          <w:spacing w:val="-13"/>
        </w:rPr>
        <w:t xml:space="preserve"> </w:t>
      </w:r>
      <w:r>
        <w:t>Demirguc-Kunt,</w:t>
      </w:r>
      <w:r>
        <w:rPr>
          <w:spacing w:val="-13"/>
        </w:rPr>
        <w:t xml:space="preserve"> </w:t>
      </w:r>
      <w:r>
        <w:t>and</w:t>
      </w:r>
      <w:r>
        <w:rPr>
          <w:spacing w:val="-13"/>
        </w:rPr>
        <w:t xml:space="preserve"> </w:t>
      </w:r>
      <w:r>
        <w:t>V.</w:t>
      </w:r>
      <w:r>
        <w:rPr>
          <w:spacing w:val="-14"/>
        </w:rPr>
        <w:t xml:space="preserve"> </w:t>
      </w:r>
      <w:r>
        <w:t>Maksimovic.</w:t>
      </w:r>
      <w:r>
        <w:rPr>
          <w:spacing w:val="-14"/>
        </w:rPr>
        <w:t xml:space="preserve"> </w:t>
      </w:r>
      <w:r>
        <w:t>2005.</w:t>
      </w:r>
      <w:r>
        <w:rPr>
          <w:spacing w:val="32"/>
        </w:rPr>
        <w:t xml:space="preserve"> </w:t>
      </w:r>
      <w:r>
        <w:t>"Financial</w:t>
      </w:r>
      <w:r>
        <w:rPr>
          <w:spacing w:val="-12"/>
        </w:rPr>
        <w:t xml:space="preserve"> </w:t>
      </w:r>
      <w:r>
        <w:t>and</w:t>
      </w:r>
      <w:r>
        <w:rPr>
          <w:spacing w:val="-13"/>
        </w:rPr>
        <w:t xml:space="preserve"> </w:t>
      </w:r>
      <w:r>
        <w:t>Legal</w:t>
      </w:r>
      <w:r>
        <w:rPr>
          <w:spacing w:val="-12"/>
        </w:rPr>
        <w:t xml:space="preserve"> </w:t>
      </w:r>
      <w:r>
        <w:t>Constraints</w:t>
      </w:r>
      <w:r>
        <w:rPr>
          <w:spacing w:val="-14"/>
        </w:rPr>
        <w:t xml:space="preserve"> </w:t>
      </w:r>
      <w:r>
        <w:t>to</w:t>
      </w:r>
      <w:r>
        <w:rPr>
          <w:spacing w:val="-12"/>
        </w:rPr>
        <w:t xml:space="preserve"> </w:t>
      </w:r>
      <w:r>
        <w:t>Growth:</w:t>
      </w:r>
      <w:r>
        <w:rPr>
          <w:spacing w:val="-12"/>
        </w:rPr>
        <w:t xml:space="preserve"> </w:t>
      </w:r>
      <w:r>
        <w:t>Does Firm Size Matter?</w:t>
      </w:r>
      <w:r>
        <w:rPr>
          <w:rFonts w:hint="eastAsia" w:eastAsia="宋体"/>
          <w:lang w:eastAsia="zh-CN"/>
        </w:rPr>
        <w:t>”</w:t>
      </w:r>
      <w:r>
        <w:rPr>
          <w:spacing w:val="40"/>
        </w:rPr>
        <w:t xml:space="preserve"> </w:t>
      </w:r>
      <w:r>
        <w:rPr>
          <w:i/>
        </w:rPr>
        <w:t xml:space="preserve">Journal of Finance </w:t>
      </w:r>
      <w:r>
        <w:t>60 (1).</w:t>
      </w:r>
    </w:p>
    <w:p>
      <w:pPr>
        <w:pStyle w:val="5"/>
        <w:spacing w:before="11"/>
        <w:rPr>
          <w:sz w:val="21"/>
        </w:rPr>
      </w:pPr>
    </w:p>
    <w:p>
      <w:pPr>
        <w:pStyle w:val="5"/>
        <w:ind w:left="840" w:right="136" w:hanging="720"/>
        <w:jc w:val="both"/>
      </w:pPr>
      <w:r>
        <w:t xml:space="preserve">Boar, C., S. Claessens, A. Kosse, R. Leckow, and T. Rice. 2021. </w:t>
      </w:r>
      <w:r>
        <w:rPr>
          <w:rFonts w:hint="eastAsia" w:eastAsia="宋体"/>
          <w:lang w:eastAsia="zh-CN"/>
        </w:rPr>
        <w:t>“</w:t>
      </w:r>
      <w:r>
        <w:t>Interoperability between Payment Systems across Borders.</w:t>
      </w:r>
      <w:r>
        <w:rPr>
          <w:rFonts w:hint="eastAsia" w:eastAsia="宋体"/>
          <w:lang w:eastAsia="zh-CN"/>
        </w:rPr>
        <w:t>”</w:t>
      </w:r>
      <w:r>
        <w:t xml:space="preserve"> </w:t>
      </w:r>
      <w:r>
        <w:rPr>
          <w:i/>
        </w:rPr>
        <w:t xml:space="preserve">BIS Bulletin </w:t>
      </w:r>
      <w:r>
        <w:t>No. 49. Bank for International Settlements.</w:t>
      </w:r>
    </w:p>
    <w:p>
      <w:pPr>
        <w:pStyle w:val="5"/>
      </w:pPr>
    </w:p>
    <w:p>
      <w:pPr>
        <w:ind w:left="840" w:right="131" w:hanging="720"/>
        <w:jc w:val="both"/>
      </w:pPr>
      <w:r>
        <w:t>Brock,</w:t>
      </w:r>
      <w:r>
        <w:rPr>
          <w:spacing w:val="-12"/>
        </w:rPr>
        <w:t xml:space="preserve"> </w:t>
      </w:r>
      <w:r>
        <w:t>M.,</w:t>
      </w:r>
      <w:r>
        <w:rPr>
          <w:spacing w:val="-9"/>
        </w:rPr>
        <w:t xml:space="preserve"> </w:t>
      </w:r>
      <w:r>
        <w:t>and</w:t>
      </w:r>
      <w:r>
        <w:rPr>
          <w:spacing w:val="-10"/>
        </w:rPr>
        <w:t xml:space="preserve"> </w:t>
      </w:r>
      <w:r>
        <w:t>R.</w:t>
      </w:r>
      <w:r>
        <w:rPr>
          <w:spacing w:val="-10"/>
        </w:rPr>
        <w:t xml:space="preserve"> </w:t>
      </w:r>
      <w:r>
        <w:t>De</w:t>
      </w:r>
      <w:r>
        <w:rPr>
          <w:spacing w:val="-9"/>
        </w:rPr>
        <w:t xml:space="preserve"> </w:t>
      </w:r>
      <w:r>
        <w:t>Haas.</w:t>
      </w:r>
      <w:r>
        <w:rPr>
          <w:spacing w:val="-11"/>
        </w:rPr>
        <w:t xml:space="preserve"> </w:t>
      </w:r>
      <w:r>
        <w:t>2023.</w:t>
      </w:r>
      <w:r>
        <w:rPr>
          <w:spacing w:val="-10"/>
        </w:rPr>
        <w:t xml:space="preserve"> </w:t>
      </w:r>
      <w:r>
        <w:rPr>
          <w:rFonts w:hint="eastAsia" w:eastAsia="宋体"/>
          <w:lang w:eastAsia="zh-CN"/>
        </w:rPr>
        <w:t>“</w:t>
      </w:r>
      <w:r>
        <w:t>Discriminatory</w:t>
      </w:r>
      <w:r>
        <w:rPr>
          <w:spacing w:val="-10"/>
        </w:rPr>
        <w:t xml:space="preserve"> </w:t>
      </w:r>
      <w:r>
        <w:t>Lending:</w:t>
      </w:r>
      <w:r>
        <w:rPr>
          <w:spacing w:val="-9"/>
        </w:rPr>
        <w:t xml:space="preserve"> </w:t>
      </w:r>
      <w:r>
        <w:t>Evidence</w:t>
      </w:r>
      <w:r>
        <w:rPr>
          <w:spacing w:val="-9"/>
        </w:rPr>
        <w:t xml:space="preserve"> </w:t>
      </w:r>
      <w:r>
        <w:t>from</w:t>
      </w:r>
      <w:r>
        <w:rPr>
          <w:spacing w:val="-9"/>
        </w:rPr>
        <w:t xml:space="preserve"> </w:t>
      </w:r>
      <w:r>
        <w:t>Bankers</w:t>
      </w:r>
      <w:r>
        <w:rPr>
          <w:spacing w:val="-9"/>
        </w:rPr>
        <w:t xml:space="preserve"> </w:t>
      </w:r>
      <w:r>
        <w:t>in</w:t>
      </w:r>
      <w:r>
        <w:rPr>
          <w:spacing w:val="-10"/>
        </w:rPr>
        <w:t xml:space="preserve"> </w:t>
      </w:r>
      <w:r>
        <w:t>the</w:t>
      </w:r>
      <w:r>
        <w:rPr>
          <w:spacing w:val="-9"/>
        </w:rPr>
        <w:t xml:space="preserve"> </w:t>
      </w:r>
      <w:r>
        <w:t>Lab.</w:t>
      </w:r>
      <w:r>
        <w:rPr>
          <w:rFonts w:hint="eastAsia" w:eastAsia="宋体"/>
          <w:lang w:eastAsia="zh-CN"/>
        </w:rPr>
        <w:t>”</w:t>
      </w:r>
      <w:r>
        <w:rPr>
          <w:spacing w:val="-8"/>
        </w:rPr>
        <w:t xml:space="preserve"> </w:t>
      </w:r>
      <w:r>
        <w:rPr>
          <w:i/>
        </w:rPr>
        <w:t>American Economic J</w:t>
      </w:r>
      <w:r>
        <w:rPr>
          <w:i/>
          <w:u w:val="single"/>
        </w:rPr>
        <w:t xml:space="preserve">ournal: Applied Economics, </w:t>
      </w:r>
      <w:r>
        <w:t>15 (2, April): 31–68.</w:t>
      </w:r>
    </w:p>
    <w:p>
      <w:pPr>
        <w:pStyle w:val="5"/>
        <w:rPr>
          <w:sz w:val="14"/>
        </w:rPr>
      </w:pPr>
    </w:p>
    <w:p>
      <w:pPr>
        <w:spacing w:before="91"/>
        <w:ind w:left="840" w:right="135" w:hanging="720"/>
        <w:jc w:val="both"/>
      </w:pPr>
      <w:r>
        <w:t>Brown,</w:t>
      </w:r>
      <w:r>
        <w:rPr>
          <w:spacing w:val="-7"/>
        </w:rPr>
        <w:t xml:space="preserve"> </w:t>
      </w:r>
      <w:r>
        <w:t>M.,</w:t>
      </w:r>
      <w:r>
        <w:rPr>
          <w:spacing w:val="-9"/>
        </w:rPr>
        <w:t xml:space="preserve"> </w:t>
      </w:r>
      <w:r>
        <w:t>T.</w:t>
      </w:r>
      <w:r>
        <w:rPr>
          <w:spacing w:val="-8"/>
        </w:rPr>
        <w:t xml:space="preserve"> </w:t>
      </w:r>
      <w:r>
        <w:t>Jappelli,</w:t>
      </w:r>
      <w:r>
        <w:rPr>
          <w:spacing w:val="-10"/>
        </w:rPr>
        <w:t xml:space="preserve"> </w:t>
      </w:r>
      <w:r>
        <w:t>and</w:t>
      </w:r>
      <w:r>
        <w:rPr>
          <w:spacing w:val="-9"/>
        </w:rPr>
        <w:t xml:space="preserve"> </w:t>
      </w:r>
      <w:r>
        <w:t>M.</w:t>
      </w:r>
      <w:r>
        <w:rPr>
          <w:spacing w:val="-6"/>
        </w:rPr>
        <w:t xml:space="preserve"> </w:t>
      </w:r>
      <w:r>
        <w:t>Pagano.</w:t>
      </w:r>
      <w:r>
        <w:rPr>
          <w:spacing w:val="-5"/>
        </w:rPr>
        <w:t xml:space="preserve"> </w:t>
      </w:r>
      <w:r>
        <w:t>2009.</w:t>
      </w:r>
      <w:r>
        <w:rPr>
          <w:spacing w:val="-10"/>
        </w:rPr>
        <w:t xml:space="preserve"> </w:t>
      </w:r>
      <w:r>
        <w:rPr>
          <w:rFonts w:hint="eastAsia" w:eastAsia="宋体"/>
          <w:lang w:eastAsia="zh-CN"/>
        </w:rPr>
        <w:t>“</w:t>
      </w:r>
      <w:r>
        <w:t>Information</w:t>
      </w:r>
      <w:r>
        <w:rPr>
          <w:spacing w:val="-10"/>
        </w:rPr>
        <w:t xml:space="preserve"> </w:t>
      </w:r>
      <w:r>
        <w:t>Sharing</w:t>
      </w:r>
      <w:r>
        <w:rPr>
          <w:spacing w:val="-10"/>
        </w:rPr>
        <w:t xml:space="preserve"> </w:t>
      </w:r>
      <w:r>
        <w:t>and</w:t>
      </w:r>
      <w:r>
        <w:rPr>
          <w:spacing w:val="-9"/>
        </w:rPr>
        <w:t xml:space="preserve"> </w:t>
      </w:r>
      <w:r>
        <w:t>Credit:</w:t>
      </w:r>
      <w:r>
        <w:rPr>
          <w:spacing w:val="-6"/>
        </w:rPr>
        <w:t xml:space="preserve"> </w:t>
      </w:r>
      <w:r>
        <w:t>Firm-Level</w:t>
      </w:r>
      <w:r>
        <w:rPr>
          <w:spacing w:val="-8"/>
        </w:rPr>
        <w:t xml:space="preserve"> </w:t>
      </w:r>
      <w:r>
        <w:t>Evidence</w:t>
      </w:r>
      <w:r>
        <w:rPr>
          <w:spacing w:val="-7"/>
        </w:rPr>
        <w:t xml:space="preserve"> </w:t>
      </w:r>
      <w:r>
        <w:t>from Transition Countries.</w:t>
      </w:r>
      <w:r>
        <w:rPr>
          <w:rFonts w:hint="eastAsia" w:eastAsia="宋体"/>
          <w:lang w:eastAsia="zh-CN"/>
        </w:rPr>
        <w:t>”</w:t>
      </w:r>
      <w:r>
        <w:t xml:space="preserve"> </w:t>
      </w:r>
      <w:r>
        <w:rPr>
          <w:i/>
        </w:rPr>
        <w:t xml:space="preserve">Journal of Financial Intermediation </w:t>
      </w:r>
      <w:r>
        <w:t>18: 151–72.</w:t>
      </w:r>
    </w:p>
    <w:p>
      <w:pPr>
        <w:pStyle w:val="5"/>
        <w:spacing w:before="2"/>
      </w:pPr>
    </w:p>
    <w:p>
      <w:pPr>
        <w:pStyle w:val="5"/>
        <w:ind w:left="840" w:right="138" w:hanging="720"/>
        <w:jc w:val="both"/>
      </w:pPr>
      <w:r>
        <w:t>Campos, F. M., M. Frese, M. Goldstein, L. Iacovone, D. F.</w:t>
      </w:r>
      <w:r>
        <w:rPr>
          <w:spacing w:val="40"/>
        </w:rPr>
        <w:t xml:space="preserve"> </w:t>
      </w:r>
      <w:r>
        <w:t>Johnson, D. McKenzie, and M. Mensmann. 2018.</w:t>
      </w:r>
      <w:r>
        <w:rPr>
          <w:spacing w:val="-14"/>
        </w:rPr>
        <w:t xml:space="preserve"> </w:t>
      </w:r>
      <w:r>
        <w:rPr>
          <w:rFonts w:hint="eastAsia" w:eastAsia="宋体"/>
          <w:lang w:eastAsia="zh-CN"/>
        </w:rPr>
        <w:t>“</w:t>
      </w:r>
      <w:r>
        <w:t>Personal Initiative Training Leads to Remarkable Growth of Women-Owned Small Businesses in Togo.</w:t>
      </w:r>
      <w:r>
        <w:rPr>
          <w:rFonts w:hint="eastAsia" w:eastAsia="宋体"/>
          <w:lang w:eastAsia="zh-CN"/>
        </w:rPr>
        <w:t>”</w:t>
      </w:r>
      <w:r>
        <w:rPr>
          <w:spacing w:val="-8"/>
        </w:rPr>
        <w:t xml:space="preserve"> </w:t>
      </w:r>
      <w:r>
        <w:t>Gender Innovation Lab Policy Brief No. 22.</w:t>
      </w:r>
      <w:r>
        <w:rPr>
          <w:spacing w:val="-13"/>
        </w:rPr>
        <w:t xml:space="preserve"> </w:t>
      </w:r>
      <w:r>
        <w:t>World Bank,</w:t>
      </w:r>
      <w:r>
        <w:rPr>
          <w:spacing w:val="-2"/>
        </w:rPr>
        <w:t xml:space="preserve"> </w:t>
      </w:r>
      <w:r>
        <w:t>Washington, DC.</w:t>
      </w:r>
    </w:p>
    <w:p>
      <w:pPr>
        <w:pStyle w:val="5"/>
        <w:spacing w:before="10"/>
        <w:rPr>
          <w:sz w:val="21"/>
        </w:rPr>
      </w:pPr>
    </w:p>
    <w:p>
      <w:pPr>
        <w:ind w:left="840" w:right="135" w:hanging="720"/>
        <w:jc w:val="both"/>
      </w:pPr>
      <w:r>
        <w:t xml:space="preserve">Celik, K. 2021. </w:t>
      </w:r>
      <w:r>
        <w:rPr>
          <w:rFonts w:hint="eastAsia" w:eastAsia="宋体"/>
          <w:lang w:eastAsia="zh-CN"/>
        </w:rPr>
        <w:t>“</w:t>
      </w:r>
      <w:r>
        <w:t>Impact of</w:t>
      </w:r>
      <w:r>
        <w:rPr>
          <w:spacing w:val="-2"/>
        </w:rPr>
        <w:t xml:space="preserve"> </w:t>
      </w:r>
      <w:r>
        <w:t>the FATF</w:t>
      </w:r>
      <w:r>
        <w:rPr>
          <w:spacing w:val="-1"/>
        </w:rPr>
        <w:t xml:space="preserve"> </w:t>
      </w:r>
      <w:r>
        <w:t>Recommendations and their Implementation on Financial Inclusion: Insights from Mutual Evaluations and National Risk Assessments.</w:t>
      </w:r>
      <w:r>
        <w:rPr>
          <w:rFonts w:hint="eastAsia" w:eastAsia="宋体"/>
          <w:lang w:eastAsia="zh-CN"/>
        </w:rPr>
        <w:t>”</w:t>
      </w:r>
      <w:r>
        <w:t xml:space="preserve"> </w:t>
      </w:r>
      <w:r>
        <w:rPr>
          <w:i/>
        </w:rPr>
        <w:t>Equitable Growth, Finance and Institutions Insight</w:t>
      </w:r>
      <w:r>
        <w:t>. World Bank, Washington, DC.</w:t>
      </w:r>
    </w:p>
    <w:p>
      <w:pPr>
        <w:pStyle w:val="5"/>
        <w:spacing w:before="1"/>
      </w:pPr>
    </w:p>
    <w:p>
      <w:pPr>
        <w:pStyle w:val="5"/>
        <w:spacing w:before="1"/>
        <w:ind w:left="840" w:right="141" w:hanging="720"/>
        <w:jc w:val="both"/>
      </w:pPr>
      <w:r>
        <w:t>Coelho,</w:t>
      </w:r>
      <w:r>
        <w:rPr>
          <w:spacing w:val="-10"/>
        </w:rPr>
        <w:t xml:space="preserve"> </w:t>
      </w:r>
      <w:r>
        <w:t>R.</w:t>
      </w:r>
      <w:r>
        <w:rPr>
          <w:spacing w:val="-9"/>
        </w:rPr>
        <w:t xml:space="preserve"> </w:t>
      </w:r>
      <w:r>
        <w:t>and</w:t>
      </w:r>
      <w:r>
        <w:rPr>
          <w:spacing w:val="-9"/>
        </w:rPr>
        <w:t xml:space="preserve"> </w:t>
      </w:r>
      <w:r>
        <w:t>F.</w:t>
      </w:r>
      <w:r>
        <w:rPr>
          <w:spacing w:val="-10"/>
        </w:rPr>
        <w:t xml:space="preserve"> </w:t>
      </w:r>
      <w:r>
        <w:t>Restoy.</w:t>
      </w:r>
      <w:r>
        <w:rPr>
          <w:spacing w:val="-10"/>
        </w:rPr>
        <w:t xml:space="preserve"> </w:t>
      </w:r>
      <w:r>
        <w:t>2022.</w:t>
      </w:r>
      <w:r>
        <w:rPr>
          <w:spacing w:val="-10"/>
        </w:rPr>
        <w:t xml:space="preserve"> </w:t>
      </w:r>
      <w:r>
        <w:rPr>
          <w:rFonts w:hint="eastAsia" w:eastAsia="宋体"/>
          <w:lang w:eastAsia="zh-CN"/>
        </w:rPr>
        <w:t>“</w:t>
      </w:r>
      <w:r>
        <w:t>The</w:t>
      </w:r>
      <w:r>
        <w:rPr>
          <w:spacing w:val="-9"/>
        </w:rPr>
        <w:t xml:space="preserve"> </w:t>
      </w:r>
      <w:r>
        <w:t>Regulatory</w:t>
      </w:r>
      <w:r>
        <w:rPr>
          <w:spacing w:val="-10"/>
        </w:rPr>
        <w:t xml:space="preserve"> </w:t>
      </w:r>
      <w:r>
        <w:t>Response</w:t>
      </w:r>
      <w:r>
        <w:rPr>
          <w:spacing w:val="-9"/>
        </w:rPr>
        <w:t xml:space="preserve"> </w:t>
      </w:r>
      <w:r>
        <w:t>to</w:t>
      </w:r>
      <w:r>
        <w:rPr>
          <w:spacing w:val="-10"/>
        </w:rPr>
        <w:t xml:space="preserve"> </w:t>
      </w:r>
      <w:r>
        <w:t>Climate</w:t>
      </w:r>
      <w:r>
        <w:rPr>
          <w:spacing w:val="-9"/>
        </w:rPr>
        <w:t xml:space="preserve"> </w:t>
      </w:r>
      <w:r>
        <w:t>Risks:</w:t>
      </w:r>
      <w:r>
        <w:rPr>
          <w:spacing w:val="-8"/>
        </w:rPr>
        <w:t xml:space="preserve"> </w:t>
      </w:r>
      <w:r>
        <w:t>Some</w:t>
      </w:r>
      <w:r>
        <w:rPr>
          <w:spacing w:val="-9"/>
        </w:rPr>
        <w:t xml:space="preserve"> </w:t>
      </w:r>
      <w:r>
        <w:t>Challenges.</w:t>
      </w:r>
      <w:r>
        <w:rPr>
          <w:rFonts w:hint="eastAsia" w:eastAsia="宋体"/>
          <w:lang w:eastAsia="zh-CN"/>
        </w:rPr>
        <w:t>”</w:t>
      </w:r>
      <w:r>
        <w:rPr>
          <w:spacing w:val="-9"/>
        </w:rPr>
        <w:t xml:space="preserve"> </w:t>
      </w:r>
      <w:r>
        <w:t>FSI</w:t>
      </w:r>
      <w:r>
        <w:rPr>
          <w:spacing w:val="-11"/>
        </w:rPr>
        <w:t xml:space="preserve"> </w:t>
      </w:r>
      <w:r>
        <w:t>Brief No. 16. Bank for International Settlements.</w:t>
      </w:r>
    </w:p>
    <w:p>
      <w:pPr>
        <w:pStyle w:val="5"/>
        <w:spacing w:before="10"/>
        <w:rPr>
          <w:sz w:val="21"/>
        </w:rPr>
      </w:pPr>
    </w:p>
    <w:p>
      <w:pPr>
        <w:pStyle w:val="5"/>
        <w:ind w:left="840" w:right="136" w:hanging="720"/>
        <w:jc w:val="both"/>
      </w:pPr>
      <w:r>
        <w:t>Cucagna,</w:t>
      </w:r>
      <w:r>
        <w:rPr>
          <w:spacing w:val="-5"/>
        </w:rPr>
        <w:t xml:space="preserve"> </w:t>
      </w:r>
      <w:r>
        <w:t>E.,</w:t>
      </w:r>
      <w:r>
        <w:rPr>
          <w:spacing w:val="-6"/>
        </w:rPr>
        <w:t xml:space="preserve"> </w:t>
      </w:r>
      <w:r>
        <w:t>L.</w:t>
      </w:r>
      <w:r>
        <w:rPr>
          <w:spacing w:val="-6"/>
        </w:rPr>
        <w:t xml:space="preserve"> </w:t>
      </w:r>
      <w:r>
        <w:t>Iacovone,</w:t>
      </w:r>
      <w:r>
        <w:rPr>
          <w:spacing w:val="-5"/>
        </w:rPr>
        <w:t xml:space="preserve"> </w:t>
      </w:r>
      <w:r>
        <w:t>and</w:t>
      </w:r>
      <w:r>
        <w:rPr>
          <w:spacing w:val="-6"/>
        </w:rPr>
        <w:t xml:space="preserve"> </w:t>
      </w:r>
      <w:r>
        <w:t>E.</w:t>
      </w:r>
      <w:r>
        <w:rPr>
          <w:spacing w:val="-6"/>
        </w:rPr>
        <w:t xml:space="preserve"> </w:t>
      </w:r>
      <w:r>
        <w:t>Rubiano-Matulevich.</w:t>
      </w:r>
      <w:r>
        <w:rPr>
          <w:spacing w:val="-8"/>
        </w:rPr>
        <w:t xml:space="preserve"> </w:t>
      </w:r>
      <w:r>
        <w:t>2020.</w:t>
      </w:r>
      <w:r>
        <w:rPr>
          <w:spacing w:val="-14"/>
        </w:rPr>
        <w:t xml:space="preserve"> </w:t>
      </w:r>
      <w:r>
        <w:rPr>
          <w:rFonts w:hint="eastAsia" w:eastAsia="宋体"/>
          <w:lang w:eastAsia="zh-CN"/>
        </w:rPr>
        <w:t>“</w:t>
      </w:r>
      <w:r>
        <w:t>Women</w:t>
      </w:r>
      <w:r>
        <w:rPr>
          <w:spacing w:val="-7"/>
        </w:rPr>
        <w:t xml:space="preserve"> </w:t>
      </w:r>
      <w:r>
        <w:t>Entrepreneurs</w:t>
      </w:r>
      <w:r>
        <w:rPr>
          <w:spacing w:val="-7"/>
        </w:rPr>
        <w:t xml:space="preserve"> </w:t>
      </w:r>
      <w:r>
        <w:t>in</w:t>
      </w:r>
      <w:r>
        <w:rPr>
          <w:spacing w:val="-6"/>
        </w:rPr>
        <w:t xml:space="preserve"> </w:t>
      </w:r>
      <w:r>
        <w:t>Mexico:</w:t>
      </w:r>
      <w:r>
        <w:rPr>
          <w:spacing w:val="-5"/>
        </w:rPr>
        <w:t xml:space="preserve"> </w:t>
      </w:r>
      <w:r>
        <w:t>Breaking Sectoral Segmentation and Increasing Profits.</w:t>
      </w:r>
      <w:r>
        <w:rPr>
          <w:rFonts w:hint="eastAsia" w:eastAsia="宋体"/>
          <w:lang w:eastAsia="zh-CN"/>
        </w:rPr>
        <w:t>”</w:t>
      </w:r>
      <w:r>
        <w:t xml:space="preserve"> World Bank, Washington, DC.</w:t>
      </w:r>
    </w:p>
    <w:p>
      <w:pPr>
        <w:pStyle w:val="5"/>
      </w:pPr>
    </w:p>
    <w:p>
      <w:pPr>
        <w:ind w:left="840" w:right="138" w:hanging="720"/>
        <w:jc w:val="both"/>
      </w:pPr>
      <w:r>
        <w:t xml:space="preserve">Demirgüç-Kunt, A., T. Beck, and P. Honohan. 2008. </w:t>
      </w:r>
      <w:r>
        <w:rPr>
          <w:i/>
        </w:rPr>
        <w:t>Finance for All? Policies and Pitfalls in Expanding Access</w:t>
      </w:r>
      <w:r>
        <w:t>. Washington, DC: World Bank.</w:t>
      </w:r>
    </w:p>
    <w:p>
      <w:pPr>
        <w:pStyle w:val="5"/>
        <w:spacing w:before="2"/>
      </w:pPr>
    </w:p>
    <w:p>
      <w:pPr>
        <w:ind w:left="840" w:right="137" w:hanging="720"/>
        <w:jc w:val="both"/>
      </w:pPr>
      <w:r>
        <w:t xml:space="preserve">De Silva Lokuwaduge, C. S., and K. M. De Silva. 2022. </w:t>
      </w:r>
      <w:r>
        <w:rPr>
          <w:rFonts w:hint="eastAsia" w:eastAsia="宋体"/>
          <w:lang w:eastAsia="zh-CN"/>
        </w:rPr>
        <w:t>“</w:t>
      </w:r>
      <w:r>
        <w:t>ESG Risk Disclosure and the Risk of Green Washing.</w:t>
      </w:r>
      <w:r>
        <w:rPr>
          <w:rFonts w:hint="eastAsia" w:eastAsia="宋体"/>
          <w:lang w:eastAsia="zh-CN"/>
        </w:rPr>
        <w:t>”</w:t>
      </w:r>
      <w:r>
        <w:t xml:space="preserve"> </w:t>
      </w:r>
      <w:r>
        <w:rPr>
          <w:i/>
        </w:rPr>
        <w:t xml:space="preserve">Australasian Accounting, Business and Finance Journal </w:t>
      </w:r>
      <w:r>
        <w:t>16 (1): 146–59.</w:t>
      </w:r>
    </w:p>
    <w:p>
      <w:pPr>
        <w:jc w:val="both"/>
        <w:sectPr>
          <w:pgSz w:w="12240" w:h="15840"/>
          <w:pgMar w:top="1360" w:right="1300" w:bottom="280" w:left="1320" w:header="720" w:footer="720" w:gutter="0"/>
          <w:cols w:space="720" w:num="1"/>
        </w:sectPr>
      </w:pPr>
    </w:p>
    <w:p>
      <w:pPr>
        <w:pStyle w:val="5"/>
        <w:spacing w:before="79"/>
        <w:ind w:left="120"/>
      </w:pPr>
      <w:r>
        <w:t>European</w:t>
      </w:r>
      <w:r>
        <w:rPr>
          <w:spacing w:val="-6"/>
        </w:rPr>
        <w:t xml:space="preserve"> </w:t>
      </w:r>
      <w:r>
        <w:t>Parliament.</w:t>
      </w:r>
      <w:r>
        <w:rPr>
          <w:spacing w:val="-4"/>
        </w:rPr>
        <w:t xml:space="preserve"> </w:t>
      </w:r>
      <w:r>
        <w:t>2015.</w:t>
      </w:r>
      <w:r>
        <w:rPr>
          <w:spacing w:val="-7"/>
        </w:rPr>
        <w:t xml:space="preserve"> </w:t>
      </w:r>
      <w:r>
        <w:t>EU</w:t>
      </w:r>
      <w:r>
        <w:rPr>
          <w:spacing w:val="-5"/>
        </w:rPr>
        <w:t xml:space="preserve"> </w:t>
      </w:r>
      <w:r>
        <w:t>Second</w:t>
      </w:r>
      <w:r>
        <w:rPr>
          <w:spacing w:val="-4"/>
        </w:rPr>
        <w:t xml:space="preserve"> </w:t>
      </w:r>
      <w:r>
        <w:t>Payment</w:t>
      </w:r>
      <w:r>
        <w:rPr>
          <w:spacing w:val="-3"/>
        </w:rPr>
        <w:t xml:space="preserve"> </w:t>
      </w:r>
      <w:r>
        <w:t>Services</w:t>
      </w:r>
      <w:r>
        <w:rPr>
          <w:spacing w:val="-4"/>
        </w:rPr>
        <w:t xml:space="preserve"> </w:t>
      </w:r>
      <w:r>
        <w:t>Directive</w:t>
      </w:r>
      <w:r>
        <w:rPr>
          <w:spacing w:val="-3"/>
        </w:rPr>
        <w:t xml:space="preserve"> </w:t>
      </w:r>
      <w:r>
        <w:rPr>
          <w:spacing w:val="-2"/>
        </w:rPr>
        <w:t>2015/2366.</w:t>
      </w:r>
    </w:p>
    <w:p>
      <w:pPr>
        <w:pStyle w:val="5"/>
      </w:pPr>
    </w:p>
    <w:p>
      <w:pPr>
        <w:ind w:left="840" w:right="132" w:hanging="720"/>
        <w:jc w:val="both"/>
      </w:pPr>
      <w:r>
        <w:t xml:space="preserve">FATF (Financial Action Task Force). 2012–2023. </w:t>
      </w:r>
      <w:r>
        <w:rPr>
          <w:i/>
        </w:rPr>
        <w:t>International Standards on Combating Money Laundering and the Financing of Terrorism &amp; Proliferation</w:t>
      </w:r>
      <w:r>
        <w:t xml:space="preserve">. FATF. </w:t>
      </w:r>
      <w:r>
        <w:fldChar w:fldCharType="begin"/>
      </w:r>
      <w:r>
        <w:instrText xml:space="preserve"> HYPERLINK "http://www.fatf-gafi.org/recommendations.html" \h </w:instrText>
      </w:r>
      <w:r>
        <w:fldChar w:fldCharType="separate"/>
      </w:r>
      <w:r>
        <w:rPr>
          <w:u w:val="single"/>
        </w:rPr>
        <w:t>www.fatf-</w:t>
      </w:r>
      <w:r>
        <w:rPr>
          <w:u w:val="single"/>
        </w:rPr>
        <w:fldChar w:fldCharType="end"/>
      </w:r>
      <w:r>
        <w:t xml:space="preserve"> </w:t>
      </w:r>
      <w:r>
        <w:fldChar w:fldCharType="begin"/>
      </w:r>
      <w:r>
        <w:instrText xml:space="preserve"> HYPERLINK "http://www.fatf-gafi.org/recommendations.html" \h </w:instrText>
      </w:r>
      <w:r>
        <w:fldChar w:fldCharType="separate"/>
      </w:r>
      <w:r>
        <w:rPr>
          <w:spacing w:val="-2"/>
          <w:u w:val="single"/>
        </w:rPr>
        <w:t>gafi.org/recommendations.html</w:t>
      </w:r>
      <w:r>
        <w:rPr>
          <w:spacing w:val="-2"/>
          <w:u w:val="single"/>
        </w:rPr>
        <w:fldChar w:fldCharType="end"/>
      </w:r>
      <w:r>
        <w:rPr>
          <w:spacing w:val="-2"/>
          <w:u w:val="single"/>
        </w:rPr>
        <w:t>.</w:t>
      </w:r>
    </w:p>
    <w:p>
      <w:pPr>
        <w:pStyle w:val="5"/>
        <w:spacing w:before="11"/>
        <w:rPr>
          <w:sz w:val="13"/>
        </w:rPr>
      </w:pPr>
    </w:p>
    <w:p>
      <w:pPr>
        <w:spacing w:before="91"/>
        <w:ind w:left="840" w:right="133" w:hanging="720"/>
        <w:jc w:val="both"/>
      </w:pPr>
      <w:r>
        <w:t>FATF (Financial Action Task Force). 2013–2017.</w:t>
      </w:r>
      <w:r>
        <w:rPr>
          <w:spacing w:val="40"/>
        </w:rPr>
        <w:t xml:space="preserve"> </w:t>
      </w:r>
      <w:r>
        <w:rPr>
          <w:i/>
        </w:rPr>
        <w:t>Anti-Money Laundering and Terrorism Financing Measures and Financial Inclusion</w:t>
      </w:r>
      <w:r>
        <w:t>–</w:t>
      </w:r>
      <w:r>
        <w:rPr>
          <w:i/>
        </w:rPr>
        <w:t>With a Supplement on Customer Due Diligence.</w:t>
      </w:r>
      <w:r>
        <w:rPr>
          <w:i/>
          <w:spacing w:val="40"/>
        </w:rPr>
        <w:t xml:space="preserve"> </w:t>
      </w:r>
      <w:r>
        <w:t xml:space="preserve">FATF. </w:t>
      </w:r>
      <w:r>
        <w:fldChar w:fldCharType="begin"/>
      </w:r>
      <w:r>
        <w:instrText xml:space="preserve"> HYPERLINK "http://www.fatf-gafi.org/publications/financialinclusion" \h </w:instrText>
      </w:r>
      <w:r>
        <w:fldChar w:fldCharType="separate"/>
      </w:r>
      <w:r>
        <w:t xml:space="preserve">www.fatf-gafi.org/publications/financialinclusion </w:t>
      </w:r>
      <w:r>
        <w:fldChar w:fldCharType="end"/>
      </w:r>
      <w:r>
        <w:t>documents/financial-inclusion-cdd-2017.html.</w:t>
      </w:r>
    </w:p>
    <w:p>
      <w:pPr>
        <w:pStyle w:val="5"/>
        <w:spacing w:before="1"/>
      </w:pPr>
    </w:p>
    <w:p>
      <w:pPr>
        <w:pStyle w:val="5"/>
        <w:tabs>
          <w:tab w:val="left" w:pos="3813"/>
          <w:tab w:val="left" w:pos="4509"/>
        </w:tabs>
        <w:ind w:left="840" w:right="136" w:hanging="720"/>
      </w:pPr>
      <w:r>
        <w:t>FATF</w:t>
      </w:r>
      <w:r>
        <w:rPr>
          <w:spacing w:val="40"/>
        </w:rPr>
        <w:t xml:space="preserve"> </w:t>
      </w:r>
      <w:r>
        <w:t>(Financial</w:t>
      </w:r>
      <w:r>
        <w:rPr>
          <w:spacing w:val="40"/>
        </w:rPr>
        <w:t xml:space="preserve"> </w:t>
      </w:r>
      <w:r>
        <w:t>Action</w:t>
      </w:r>
      <w:r>
        <w:rPr>
          <w:spacing w:val="40"/>
        </w:rPr>
        <w:t xml:space="preserve"> </w:t>
      </w:r>
      <w:r>
        <w:t>Task</w:t>
      </w:r>
      <w:r>
        <w:rPr>
          <w:spacing w:val="40"/>
        </w:rPr>
        <w:t xml:space="preserve"> </w:t>
      </w:r>
      <w:r>
        <w:t>Force).</w:t>
      </w:r>
      <w:r>
        <w:tab/>
      </w:r>
      <w:r>
        <w:rPr>
          <w:spacing w:val="-2"/>
        </w:rPr>
        <w:t>2014.</w:t>
      </w:r>
      <w:r>
        <w:tab/>
      </w:r>
      <w:r>
        <w:t>Risk-Based</w:t>
      </w:r>
      <w:r>
        <w:rPr>
          <w:spacing w:val="40"/>
        </w:rPr>
        <w:t xml:space="preserve"> </w:t>
      </w:r>
      <w:r>
        <w:t>Approach</w:t>
      </w:r>
      <w:r>
        <w:rPr>
          <w:spacing w:val="40"/>
        </w:rPr>
        <w:t xml:space="preserve"> </w:t>
      </w:r>
      <w:r>
        <w:t>for</w:t>
      </w:r>
      <w:r>
        <w:rPr>
          <w:spacing w:val="40"/>
        </w:rPr>
        <w:t xml:space="preserve"> </w:t>
      </w:r>
      <w:r>
        <w:t>the</w:t>
      </w:r>
      <w:r>
        <w:rPr>
          <w:spacing w:val="38"/>
        </w:rPr>
        <w:t xml:space="preserve"> </w:t>
      </w:r>
      <w:r>
        <w:t>Banking</w:t>
      </w:r>
      <w:r>
        <w:rPr>
          <w:spacing w:val="40"/>
        </w:rPr>
        <w:t xml:space="preserve"> </w:t>
      </w:r>
      <w:r>
        <w:t>Sector.</w:t>
      </w:r>
      <w:r>
        <w:rPr>
          <w:spacing w:val="40"/>
        </w:rPr>
        <w:t xml:space="preserve"> </w:t>
      </w:r>
      <w:r>
        <w:t xml:space="preserve">FATF. </w:t>
      </w:r>
      <w:r>
        <w:rPr>
          <w:spacing w:val="-2"/>
        </w:rPr>
        <w:t>https://</w:t>
      </w:r>
      <w:r>
        <w:fldChar w:fldCharType="begin"/>
      </w:r>
      <w:r>
        <w:instrText xml:space="preserve"> HYPERLINK "http://www.fatf-gafi.org/en/publications/Fatfrecommendations/Risk-based-approach-banking-" \h </w:instrText>
      </w:r>
      <w:r>
        <w:fldChar w:fldCharType="separate"/>
      </w:r>
      <w:r>
        <w:rPr>
          <w:spacing w:val="-2"/>
        </w:rPr>
        <w:t>www.fatf-gafi.org/en/publications/Fatfrecommendations/Risk-based-approach-banking-</w:t>
      </w:r>
      <w:r>
        <w:rPr>
          <w:spacing w:val="-2"/>
        </w:rPr>
        <w:fldChar w:fldCharType="end"/>
      </w:r>
      <w:r>
        <w:rPr>
          <w:spacing w:val="-2"/>
        </w:rPr>
        <w:t xml:space="preserve"> sector.html#:~:text=A%20risk%2Dbased%20approach%20means,with%20the%20level%20of%2 0risk.</w:t>
      </w:r>
    </w:p>
    <w:p>
      <w:pPr>
        <w:pStyle w:val="5"/>
      </w:pPr>
    </w:p>
    <w:p>
      <w:pPr>
        <w:spacing w:before="1"/>
        <w:ind w:left="120"/>
      </w:pPr>
      <w:r>
        <w:t>FATF</w:t>
      </w:r>
      <w:r>
        <w:rPr>
          <w:spacing w:val="-7"/>
        </w:rPr>
        <w:t xml:space="preserve"> </w:t>
      </w:r>
      <w:r>
        <w:t>(Financial</w:t>
      </w:r>
      <w:r>
        <w:rPr>
          <w:spacing w:val="-2"/>
        </w:rPr>
        <w:t xml:space="preserve"> </w:t>
      </w:r>
      <w:r>
        <w:t>Action</w:t>
      </w:r>
      <w:r>
        <w:rPr>
          <w:spacing w:val="-3"/>
        </w:rPr>
        <w:t xml:space="preserve"> </w:t>
      </w:r>
      <w:r>
        <w:t>Task</w:t>
      </w:r>
      <w:r>
        <w:rPr>
          <w:spacing w:val="-3"/>
        </w:rPr>
        <w:t xml:space="preserve"> </w:t>
      </w:r>
      <w:r>
        <w:t>Force).</w:t>
      </w:r>
      <w:r>
        <w:rPr>
          <w:spacing w:val="48"/>
        </w:rPr>
        <w:t xml:space="preserve"> </w:t>
      </w:r>
      <w:r>
        <w:t>2020.</w:t>
      </w:r>
      <w:r>
        <w:rPr>
          <w:spacing w:val="49"/>
        </w:rPr>
        <w:t xml:space="preserve"> </w:t>
      </w:r>
      <w:r>
        <w:rPr>
          <w:i/>
        </w:rPr>
        <w:t>Guidance</w:t>
      </w:r>
      <w:r>
        <w:rPr>
          <w:i/>
          <w:spacing w:val="-5"/>
        </w:rPr>
        <w:t xml:space="preserve"> </w:t>
      </w:r>
      <w:r>
        <w:rPr>
          <w:i/>
        </w:rPr>
        <w:t>on</w:t>
      </w:r>
      <w:r>
        <w:rPr>
          <w:i/>
          <w:spacing w:val="-3"/>
        </w:rPr>
        <w:t xml:space="preserve"> </w:t>
      </w:r>
      <w:r>
        <w:rPr>
          <w:i/>
        </w:rPr>
        <w:t>Digital</w:t>
      </w:r>
      <w:r>
        <w:rPr>
          <w:i/>
          <w:spacing w:val="-2"/>
        </w:rPr>
        <w:t xml:space="preserve"> </w:t>
      </w:r>
      <w:r>
        <w:rPr>
          <w:i/>
        </w:rPr>
        <w:t>Identity</w:t>
      </w:r>
      <w:r>
        <w:t>.</w:t>
      </w:r>
      <w:r>
        <w:rPr>
          <w:spacing w:val="-3"/>
        </w:rPr>
        <w:t xml:space="preserve"> </w:t>
      </w:r>
      <w:r>
        <w:rPr>
          <w:spacing w:val="-2"/>
        </w:rPr>
        <w:t>FATF.</w:t>
      </w:r>
    </w:p>
    <w:p>
      <w:pPr>
        <w:pStyle w:val="5"/>
      </w:pPr>
    </w:p>
    <w:p>
      <w:pPr>
        <w:ind w:left="840" w:right="132" w:hanging="720"/>
        <w:jc w:val="both"/>
      </w:pPr>
      <w:r>
        <w:t xml:space="preserve">FMO (Entrepreneurial Development Bank) and IFC (International Finance Corporation). 2020. </w:t>
      </w:r>
      <w:r>
        <w:rPr>
          <w:i/>
        </w:rPr>
        <w:t>Non- Financial Services: The</w:t>
      </w:r>
      <w:r>
        <w:rPr>
          <w:i/>
          <w:spacing w:val="-1"/>
        </w:rPr>
        <w:t xml:space="preserve"> </w:t>
      </w:r>
      <w:r>
        <w:rPr>
          <w:i/>
        </w:rPr>
        <w:t>Key</w:t>
      </w:r>
      <w:r>
        <w:rPr>
          <w:i/>
          <w:spacing w:val="-1"/>
        </w:rPr>
        <w:t xml:space="preserve"> </w:t>
      </w:r>
      <w:r>
        <w:rPr>
          <w:i/>
        </w:rPr>
        <w:t>to</w:t>
      </w:r>
      <w:r>
        <w:rPr>
          <w:i/>
          <w:spacing w:val="-1"/>
        </w:rPr>
        <w:t xml:space="preserve"> </w:t>
      </w:r>
      <w:r>
        <w:rPr>
          <w:i/>
        </w:rPr>
        <w:t>Unlocking</w:t>
      </w:r>
      <w:r>
        <w:rPr>
          <w:i/>
          <w:spacing w:val="-3"/>
        </w:rPr>
        <w:t xml:space="preserve"> </w:t>
      </w:r>
      <w:r>
        <w:rPr>
          <w:i/>
        </w:rPr>
        <w:t>the</w:t>
      </w:r>
      <w:r>
        <w:rPr>
          <w:i/>
          <w:spacing w:val="-1"/>
        </w:rPr>
        <w:t xml:space="preserve"> </w:t>
      </w:r>
      <w:r>
        <w:rPr>
          <w:i/>
        </w:rPr>
        <w:t>Growth</w:t>
      </w:r>
      <w:r>
        <w:rPr>
          <w:i/>
          <w:spacing w:val="-3"/>
        </w:rPr>
        <w:t xml:space="preserve"> </w:t>
      </w:r>
      <w:r>
        <w:rPr>
          <w:i/>
        </w:rPr>
        <w:t>Potential of Women-led</w:t>
      </w:r>
      <w:r>
        <w:rPr>
          <w:i/>
          <w:spacing w:val="-3"/>
        </w:rPr>
        <w:t xml:space="preserve"> </w:t>
      </w:r>
      <w:r>
        <w:rPr>
          <w:i/>
        </w:rPr>
        <w:t>Small and</w:t>
      </w:r>
      <w:r>
        <w:rPr>
          <w:i/>
          <w:spacing w:val="-3"/>
        </w:rPr>
        <w:t xml:space="preserve"> </w:t>
      </w:r>
      <w:r>
        <w:rPr>
          <w:i/>
        </w:rPr>
        <w:t xml:space="preserve">Medium Enterprises for Banks. </w:t>
      </w:r>
      <w:r>
        <w:t>FMO and IFC.</w:t>
      </w:r>
    </w:p>
    <w:p>
      <w:pPr>
        <w:pStyle w:val="5"/>
        <w:spacing w:before="1"/>
      </w:pPr>
    </w:p>
    <w:p>
      <w:pPr>
        <w:ind w:left="840" w:right="137" w:hanging="720"/>
        <w:jc w:val="both"/>
      </w:pPr>
      <w:r>
        <w:t xml:space="preserve">Giannetti, C., and N. Jentzsch. 2013. </w:t>
      </w:r>
      <w:r>
        <w:rPr>
          <w:rFonts w:hint="eastAsia" w:eastAsia="宋体"/>
          <w:lang w:eastAsia="zh-CN"/>
        </w:rPr>
        <w:t>“</w:t>
      </w:r>
      <w:r>
        <w:t>Credit Reporting, Financial Intermediation and Identification Systems: International Evidence.</w:t>
      </w:r>
      <w:r>
        <w:rPr>
          <w:rFonts w:hint="eastAsia" w:eastAsia="宋体"/>
          <w:lang w:eastAsia="zh-CN"/>
        </w:rPr>
        <w:t>”</w:t>
      </w:r>
      <w:r>
        <w:t xml:space="preserve"> </w:t>
      </w:r>
      <w:r>
        <w:rPr>
          <w:i/>
        </w:rPr>
        <w:t xml:space="preserve">Journal of International Money and Finance </w:t>
      </w:r>
      <w:r>
        <w:t>33: 60–80.</w:t>
      </w:r>
    </w:p>
    <w:p>
      <w:pPr>
        <w:pStyle w:val="5"/>
      </w:pPr>
    </w:p>
    <w:p>
      <w:pPr>
        <w:pStyle w:val="5"/>
        <w:ind w:left="840" w:right="135" w:hanging="720"/>
        <w:jc w:val="both"/>
      </w:pPr>
      <w:r>
        <w:t>He, L., R. Liu, Z.</w:t>
      </w:r>
      <w:r>
        <w:rPr>
          <w:spacing w:val="40"/>
        </w:rPr>
        <w:t xml:space="preserve"> </w:t>
      </w:r>
      <w:r>
        <w:t xml:space="preserve">Zhong, D. Wang, and Y. Xia, 2019. </w:t>
      </w:r>
      <w:r>
        <w:rPr>
          <w:rFonts w:hint="eastAsia" w:eastAsia="宋体"/>
          <w:lang w:eastAsia="zh-CN"/>
        </w:rPr>
        <w:t>“</w:t>
      </w:r>
      <w:r>
        <w:t>Can Green Financial Development Promote Renewable Energy Investment Efficiency? A Consideration of Bank Credit.</w:t>
      </w:r>
      <w:r>
        <w:rPr>
          <w:rFonts w:hint="eastAsia" w:eastAsia="宋体"/>
          <w:lang w:eastAsia="zh-CN"/>
        </w:rPr>
        <w:t>”</w:t>
      </w:r>
      <w:r>
        <w:t xml:space="preserve"> </w:t>
      </w:r>
      <w:r>
        <w:rPr>
          <w:i/>
        </w:rPr>
        <w:t xml:space="preserve">Renewable Energy </w:t>
      </w:r>
      <w:r>
        <w:t>143:</w:t>
      </w:r>
      <w:r>
        <w:rPr>
          <w:spacing w:val="40"/>
        </w:rPr>
        <w:t xml:space="preserve"> </w:t>
      </w:r>
      <w:r>
        <w:t>974–84.</w:t>
      </w:r>
    </w:p>
    <w:p>
      <w:pPr>
        <w:pStyle w:val="5"/>
        <w:spacing w:before="10"/>
        <w:rPr>
          <w:sz w:val="21"/>
        </w:rPr>
      </w:pPr>
    </w:p>
    <w:p>
      <w:pPr>
        <w:ind w:left="840" w:right="133" w:hanging="720"/>
        <w:jc w:val="both"/>
      </w:pPr>
      <w:r>
        <w:t>Hu,</w:t>
      </w:r>
      <w:r>
        <w:rPr>
          <w:spacing w:val="40"/>
        </w:rPr>
        <w:t xml:space="preserve"> </w:t>
      </w:r>
      <w:r>
        <w:t>S.,</w:t>
      </w:r>
      <w:r>
        <w:rPr>
          <w:spacing w:val="40"/>
        </w:rPr>
        <w:t xml:space="preserve"> </w:t>
      </w:r>
      <w:r>
        <w:t>and</w:t>
      </w:r>
      <w:r>
        <w:rPr>
          <w:spacing w:val="40"/>
        </w:rPr>
        <w:t xml:space="preserve"> </w:t>
      </w:r>
      <w:r>
        <w:t>Y.</w:t>
      </w:r>
      <w:r>
        <w:rPr>
          <w:spacing w:val="40"/>
        </w:rPr>
        <w:t xml:space="preserve"> </w:t>
      </w:r>
      <w:r>
        <w:t>Zhang</w:t>
      </w:r>
      <w:r>
        <w:rPr>
          <w:spacing w:val="40"/>
        </w:rPr>
        <w:t xml:space="preserve"> </w:t>
      </w:r>
      <w:r>
        <w:t>2021.</w:t>
      </w:r>
      <w:r>
        <w:rPr>
          <w:spacing w:val="40"/>
        </w:rPr>
        <w:t xml:space="preserve"> </w:t>
      </w:r>
      <w:r>
        <w:rPr>
          <w:rFonts w:hint="eastAsia" w:eastAsia="宋体"/>
          <w:lang w:eastAsia="zh-CN"/>
        </w:rPr>
        <w:t>“</w:t>
      </w:r>
      <w:r>
        <w:t>COVID-19</w:t>
      </w:r>
      <w:r>
        <w:rPr>
          <w:spacing w:val="40"/>
        </w:rPr>
        <w:t xml:space="preserve"> </w:t>
      </w:r>
      <w:r>
        <w:t>Pandemic</w:t>
      </w:r>
      <w:r>
        <w:rPr>
          <w:spacing w:val="40"/>
        </w:rPr>
        <w:t xml:space="preserve"> </w:t>
      </w:r>
      <w:r>
        <w:t>and</w:t>
      </w:r>
      <w:r>
        <w:rPr>
          <w:spacing w:val="40"/>
        </w:rPr>
        <w:t xml:space="preserve"> </w:t>
      </w:r>
      <w:r>
        <w:t>Firm</w:t>
      </w:r>
      <w:r>
        <w:rPr>
          <w:spacing w:val="40"/>
        </w:rPr>
        <w:t xml:space="preserve"> </w:t>
      </w:r>
      <w:r>
        <w:t>Performance:</w:t>
      </w:r>
      <w:r>
        <w:rPr>
          <w:spacing w:val="40"/>
        </w:rPr>
        <w:t xml:space="preserve"> </w:t>
      </w:r>
      <w:r>
        <w:t>Cross-Country</w:t>
      </w:r>
      <w:r>
        <w:rPr>
          <w:spacing w:val="40"/>
        </w:rPr>
        <w:t xml:space="preserve"> </w:t>
      </w:r>
      <w:r>
        <w:t>Evidence.</w:t>
      </w:r>
      <w:r>
        <w:rPr>
          <w:rFonts w:hint="eastAsia" w:eastAsia="宋体"/>
          <w:lang w:eastAsia="zh-CN"/>
        </w:rPr>
        <w:t>”</w:t>
      </w:r>
      <w:r>
        <w:t xml:space="preserve"> </w:t>
      </w:r>
      <w:r>
        <w:rPr>
          <w:i/>
        </w:rPr>
        <w:t xml:space="preserve">International Review of Economics &amp; Finance </w:t>
      </w:r>
      <w:r>
        <w:t>74: 365–72.</w:t>
      </w:r>
    </w:p>
    <w:p>
      <w:pPr>
        <w:pStyle w:val="5"/>
        <w:spacing w:before="1"/>
      </w:pPr>
    </w:p>
    <w:p>
      <w:pPr>
        <w:spacing w:before="1"/>
        <w:ind w:left="840" w:right="136" w:hanging="720"/>
        <w:jc w:val="both"/>
      </w:pPr>
      <w:r>
        <w:t xml:space="preserve">ICMA (International Capital Market Association). 2021. </w:t>
      </w:r>
      <w:r>
        <w:rPr>
          <w:i/>
        </w:rPr>
        <w:t>Handbook–Harmonised Framework for Impact Reporting</w:t>
      </w:r>
      <w:r>
        <w:t>. ICMA.</w:t>
      </w:r>
    </w:p>
    <w:p>
      <w:pPr>
        <w:pStyle w:val="5"/>
        <w:spacing w:before="10"/>
        <w:rPr>
          <w:sz w:val="21"/>
        </w:rPr>
      </w:pPr>
    </w:p>
    <w:p>
      <w:pPr>
        <w:pStyle w:val="5"/>
        <w:spacing w:before="1"/>
        <w:ind w:left="840" w:hanging="720"/>
      </w:pPr>
      <w:r>
        <w:t xml:space="preserve">IFC (International Finance Corporation). 2017. </w:t>
      </w:r>
      <w:r>
        <w:rPr>
          <w:rFonts w:hint="eastAsia" w:eastAsia="宋体"/>
          <w:lang w:eastAsia="zh-CN"/>
        </w:rPr>
        <w:t>“</w:t>
      </w:r>
      <w:r>
        <w:t>Gender Intelligence for Banks—Moving the Needle on Gender Equality.</w:t>
      </w:r>
      <w:r>
        <w:rPr>
          <w:rFonts w:hint="eastAsia" w:eastAsia="宋体"/>
          <w:lang w:eastAsia="zh-CN"/>
        </w:rPr>
        <w:t>”</w:t>
      </w:r>
      <w:r>
        <w:t xml:space="preserve"> World Bank Group, Washington, DC.</w:t>
      </w:r>
    </w:p>
    <w:p>
      <w:pPr>
        <w:pStyle w:val="5"/>
        <w:spacing w:before="11"/>
        <w:rPr>
          <w:sz w:val="21"/>
        </w:rPr>
      </w:pPr>
    </w:p>
    <w:p>
      <w:pPr>
        <w:ind w:left="840" w:hanging="720"/>
      </w:pPr>
      <w:r>
        <w:t xml:space="preserve">IFC (International Finance Corporation). 2020. </w:t>
      </w:r>
      <w:r>
        <w:rPr>
          <w:i/>
        </w:rPr>
        <w:t xml:space="preserve">The Basic Green Finance Reference Guide. </w:t>
      </w:r>
      <w:r>
        <w:t>Washington, DC: IFC.</w:t>
      </w:r>
    </w:p>
    <w:p>
      <w:pPr>
        <w:pStyle w:val="5"/>
        <w:spacing w:before="11"/>
        <w:rPr>
          <w:sz w:val="21"/>
        </w:rPr>
      </w:pPr>
    </w:p>
    <w:p>
      <w:pPr>
        <w:ind w:left="840" w:hanging="720"/>
      </w:pPr>
      <w:r>
        <w:t>Immordino,</w:t>
      </w:r>
      <w:r>
        <w:rPr>
          <w:spacing w:val="36"/>
        </w:rPr>
        <w:t xml:space="preserve"> </w:t>
      </w:r>
      <w:r>
        <w:t>G.,</w:t>
      </w:r>
      <w:r>
        <w:rPr>
          <w:spacing w:val="36"/>
        </w:rPr>
        <w:t xml:space="preserve"> </w:t>
      </w:r>
      <w:r>
        <w:t>and</w:t>
      </w:r>
      <w:r>
        <w:rPr>
          <w:spacing w:val="36"/>
        </w:rPr>
        <w:t xml:space="preserve"> </w:t>
      </w:r>
      <w:r>
        <w:t>F.</w:t>
      </w:r>
      <w:r>
        <w:rPr>
          <w:spacing w:val="35"/>
        </w:rPr>
        <w:t xml:space="preserve"> </w:t>
      </w:r>
      <w:r>
        <w:t>F.</w:t>
      </w:r>
      <w:r>
        <w:rPr>
          <w:spacing w:val="35"/>
        </w:rPr>
        <w:t xml:space="preserve"> </w:t>
      </w:r>
      <w:r>
        <w:t>Russo.</w:t>
      </w:r>
      <w:r>
        <w:rPr>
          <w:spacing w:val="38"/>
        </w:rPr>
        <w:t xml:space="preserve"> </w:t>
      </w:r>
      <w:r>
        <w:t>2018.</w:t>
      </w:r>
      <w:r>
        <w:rPr>
          <w:spacing w:val="36"/>
        </w:rPr>
        <w:t xml:space="preserve"> </w:t>
      </w:r>
      <w:r>
        <w:rPr>
          <w:rFonts w:hint="eastAsia" w:eastAsia="宋体"/>
          <w:lang w:eastAsia="zh-CN"/>
        </w:rPr>
        <w:t>“</w:t>
      </w:r>
      <w:r>
        <w:t>Cashless</w:t>
      </w:r>
      <w:r>
        <w:rPr>
          <w:spacing w:val="36"/>
        </w:rPr>
        <w:t xml:space="preserve"> </w:t>
      </w:r>
      <w:r>
        <w:t>Payments</w:t>
      </w:r>
      <w:r>
        <w:rPr>
          <w:spacing w:val="34"/>
        </w:rPr>
        <w:t xml:space="preserve"> </w:t>
      </w:r>
      <w:r>
        <w:t>and</w:t>
      </w:r>
      <w:r>
        <w:rPr>
          <w:spacing w:val="36"/>
        </w:rPr>
        <w:t xml:space="preserve"> </w:t>
      </w:r>
      <w:r>
        <w:t>Tax</w:t>
      </w:r>
      <w:r>
        <w:rPr>
          <w:spacing w:val="36"/>
        </w:rPr>
        <w:t xml:space="preserve"> </w:t>
      </w:r>
      <w:r>
        <w:t>Evasion.</w:t>
      </w:r>
      <w:r>
        <w:rPr>
          <w:rFonts w:hint="eastAsia" w:eastAsia="宋体"/>
          <w:lang w:eastAsia="zh-CN"/>
        </w:rPr>
        <w:t>”</w:t>
      </w:r>
      <w:r>
        <w:rPr>
          <w:spacing w:val="39"/>
        </w:rPr>
        <w:t xml:space="preserve"> </w:t>
      </w:r>
      <w:r>
        <w:rPr>
          <w:i/>
        </w:rPr>
        <w:t>European</w:t>
      </w:r>
      <w:r>
        <w:rPr>
          <w:i/>
          <w:spacing w:val="36"/>
        </w:rPr>
        <w:t xml:space="preserve"> </w:t>
      </w:r>
      <w:r>
        <w:rPr>
          <w:i/>
        </w:rPr>
        <w:t>Journal</w:t>
      </w:r>
      <w:r>
        <w:rPr>
          <w:i/>
          <w:spacing w:val="37"/>
        </w:rPr>
        <w:t xml:space="preserve"> </w:t>
      </w:r>
      <w:r>
        <w:rPr>
          <w:i/>
        </w:rPr>
        <w:t xml:space="preserve">of Political Economy </w:t>
      </w:r>
      <w:r>
        <w:t>55: 36–43.</w:t>
      </w:r>
    </w:p>
    <w:p>
      <w:pPr>
        <w:pStyle w:val="5"/>
        <w:spacing w:before="2"/>
      </w:pPr>
    </w:p>
    <w:p>
      <w:pPr>
        <w:pStyle w:val="5"/>
        <w:ind w:left="840" w:hanging="720"/>
      </w:pPr>
      <w:r>
        <w:t>Këlliçi,</w:t>
      </w:r>
      <w:r>
        <w:rPr>
          <w:spacing w:val="-10"/>
        </w:rPr>
        <w:t xml:space="preserve"> </w:t>
      </w:r>
      <w:r>
        <w:t>E.,</w:t>
      </w:r>
      <w:r>
        <w:rPr>
          <w:spacing w:val="-12"/>
        </w:rPr>
        <w:t xml:space="preserve"> </w:t>
      </w:r>
      <w:r>
        <w:t>and</w:t>
      </w:r>
      <w:r>
        <w:rPr>
          <w:spacing w:val="-9"/>
        </w:rPr>
        <w:t xml:space="preserve"> </w:t>
      </w:r>
      <w:r>
        <w:t>I.</w:t>
      </w:r>
      <w:r>
        <w:rPr>
          <w:spacing w:val="-10"/>
        </w:rPr>
        <w:t xml:space="preserve"> </w:t>
      </w:r>
      <w:r>
        <w:t>Baholli.</w:t>
      </w:r>
      <w:r>
        <w:rPr>
          <w:spacing w:val="-10"/>
        </w:rPr>
        <w:t xml:space="preserve"> </w:t>
      </w:r>
      <w:r>
        <w:t>2015.</w:t>
      </w:r>
      <w:r>
        <w:rPr>
          <w:spacing w:val="-10"/>
        </w:rPr>
        <w:t xml:space="preserve"> </w:t>
      </w:r>
      <w:r>
        <w:rPr>
          <w:rFonts w:hint="eastAsia" w:eastAsia="宋体"/>
          <w:lang w:eastAsia="zh-CN"/>
        </w:rPr>
        <w:t>“</w:t>
      </w:r>
      <w:r>
        <w:t>Mobile</w:t>
      </w:r>
      <w:r>
        <w:rPr>
          <w:spacing w:val="-12"/>
        </w:rPr>
        <w:t xml:space="preserve"> </w:t>
      </w:r>
      <w:r>
        <w:t>Payments,</w:t>
      </w:r>
      <w:r>
        <w:rPr>
          <w:spacing w:val="-9"/>
        </w:rPr>
        <w:t xml:space="preserve"> </w:t>
      </w:r>
      <w:r>
        <w:t>Driving</w:t>
      </w:r>
      <w:r>
        <w:rPr>
          <w:spacing w:val="-10"/>
        </w:rPr>
        <w:t xml:space="preserve"> </w:t>
      </w:r>
      <w:r>
        <w:t>Economies</w:t>
      </w:r>
      <w:r>
        <w:rPr>
          <w:spacing w:val="-11"/>
        </w:rPr>
        <w:t xml:space="preserve"> </w:t>
      </w:r>
      <w:r>
        <w:t>in</w:t>
      </w:r>
      <w:r>
        <w:rPr>
          <w:spacing w:val="-12"/>
        </w:rPr>
        <w:t xml:space="preserve"> </w:t>
      </w:r>
      <w:r>
        <w:t>Development</w:t>
      </w:r>
      <w:r>
        <w:rPr>
          <w:spacing w:val="-9"/>
        </w:rPr>
        <w:t xml:space="preserve"> </w:t>
      </w:r>
      <w:r>
        <w:t>Countries</w:t>
      </w:r>
      <w:r>
        <w:rPr>
          <w:spacing w:val="-9"/>
        </w:rPr>
        <w:t xml:space="preserve"> </w:t>
      </w:r>
      <w:r>
        <w:t>Toward Less</w:t>
      </w:r>
      <w:r>
        <w:rPr>
          <w:spacing w:val="-7"/>
        </w:rPr>
        <w:t xml:space="preserve"> </w:t>
      </w:r>
      <w:r>
        <w:t>Risky</w:t>
      </w:r>
      <w:r>
        <w:rPr>
          <w:spacing w:val="-7"/>
        </w:rPr>
        <w:t xml:space="preserve"> </w:t>
      </w:r>
      <w:r>
        <w:t>Transactions</w:t>
      </w:r>
      <w:r>
        <w:rPr>
          <w:spacing w:val="-8"/>
        </w:rPr>
        <w:t xml:space="preserve"> </w:t>
      </w:r>
      <w:r>
        <w:t>and</w:t>
      </w:r>
      <w:r>
        <w:rPr>
          <w:spacing w:val="-7"/>
        </w:rPr>
        <w:t xml:space="preserve"> </w:t>
      </w:r>
      <w:r>
        <w:t>Lowering</w:t>
      </w:r>
      <w:r>
        <w:rPr>
          <w:spacing w:val="-8"/>
        </w:rPr>
        <w:t xml:space="preserve"> </w:t>
      </w:r>
      <w:r>
        <w:t>Informality.</w:t>
      </w:r>
      <w:r>
        <w:rPr>
          <w:rFonts w:hint="eastAsia" w:eastAsia="宋体"/>
          <w:lang w:eastAsia="zh-CN"/>
        </w:rPr>
        <w:t>”</w:t>
      </w:r>
      <w:r>
        <w:rPr>
          <w:spacing w:val="-4"/>
        </w:rPr>
        <w:t xml:space="preserve"> </w:t>
      </w:r>
      <w:r>
        <w:rPr>
          <w:i/>
        </w:rPr>
        <w:t>European</w:t>
      </w:r>
      <w:r>
        <w:rPr>
          <w:i/>
          <w:spacing w:val="-10"/>
        </w:rPr>
        <w:t xml:space="preserve"> </w:t>
      </w:r>
      <w:r>
        <w:rPr>
          <w:i/>
        </w:rPr>
        <w:t>Academic</w:t>
      </w:r>
      <w:r>
        <w:rPr>
          <w:i/>
          <w:spacing w:val="-6"/>
        </w:rPr>
        <w:t xml:space="preserve"> </w:t>
      </w:r>
      <w:r>
        <w:rPr>
          <w:i/>
        </w:rPr>
        <w:t>Research</w:t>
      </w:r>
      <w:r>
        <w:rPr>
          <w:i/>
          <w:spacing w:val="-7"/>
        </w:rPr>
        <w:t xml:space="preserve"> </w:t>
      </w:r>
      <w:r>
        <w:t>3</w:t>
      </w:r>
      <w:r>
        <w:rPr>
          <w:spacing w:val="-7"/>
        </w:rPr>
        <w:t xml:space="preserve"> </w:t>
      </w:r>
      <w:r>
        <w:t>(1):</w:t>
      </w:r>
      <w:r>
        <w:rPr>
          <w:spacing w:val="-8"/>
        </w:rPr>
        <w:t xml:space="preserve"> </w:t>
      </w:r>
      <w:r>
        <w:rPr>
          <w:spacing w:val="-2"/>
        </w:rPr>
        <w:t>572–88.</w:t>
      </w:r>
    </w:p>
    <w:p>
      <w:pPr>
        <w:pStyle w:val="5"/>
        <w:spacing w:before="11"/>
        <w:rPr>
          <w:sz w:val="21"/>
        </w:rPr>
      </w:pPr>
    </w:p>
    <w:p>
      <w:pPr>
        <w:tabs>
          <w:tab w:val="left" w:pos="1530"/>
          <w:tab w:val="left" w:pos="1979"/>
          <w:tab w:val="left" w:pos="2502"/>
          <w:tab w:val="left" w:pos="2898"/>
          <w:tab w:val="left" w:pos="3539"/>
          <w:tab w:val="left" w:pos="4239"/>
          <w:tab w:val="left" w:pos="5273"/>
          <w:tab w:val="left" w:pos="5797"/>
          <w:tab w:val="left" w:pos="6859"/>
          <w:tab w:val="left" w:pos="8090"/>
          <w:tab w:val="left" w:pos="8565"/>
        </w:tabs>
        <w:ind w:left="840" w:right="139" w:hanging="720"/>
      </w:pPr>
      <w:r>
        <w:rPr>
          <w:spacing w:val="-2"/>
        </w:rPr>
        <w:t>Khiaonarong,</w:t>
      </w:r>
      <w:r>
        <w:tab/>
      </w:r>
      <w:r>
        <w:rPr>
          <w:spacing w:val="-4"/>
        </w:rPr>
        <w:t>T.,</w:t>
      </w:r>
      <w:r>
        <w:tab/>
      </w:r>
      <w:r>
        <w:rPr>
          <w:spacing w:val="-4"/>
        </w:rPr>
        <w:t>and</w:t>
      </w:r>
      <w:r>
        <w:tab/>
      </w:r>
      <w:r>
        <w:rPr>
          <w:spacing w:val="-6"/>
        </w:rPr>
        <w:t>T.</w:t>
      </w:r>
      <w:r>
        <w:tab/>
      </w:r>
      <w:r>
        <w:rPr>
          <w:spacing w:val="-4"/>
        </w:rPr>
        <w:t>Goh.</w:t>
      </w:r>
      <w:r>
        <w:tab/>
      </w:r>
      <w:r>
        <w:rPr>
          <w:spacing w:val="-2"/>
        </w:rPr>
        <w:t>2020.</w:t>
      </w:r>
      <w:r>
        <w:tab/>
      </w:r>
      <w:r>
        <w:rPr>
          <w:rFonts w:hint="eastAsia" w:eastAsia="宋体"/>
          <w:spacing w:val="-2"/>
          <w:lang w:eastAsia="zh-CN"/>
        </w:rPr>
        <w:t>“</w:t>
      </w:r>
      <w:r>
        <w:rPr>
          <w:spacing w:val="-2"/>
        </w:rPr>
        <w:t>FinTech</w:t>
      </w:r>
      <w:r>
        <w:tab/>
      </w:r>
      <w:r>
        <w:rPr>
          <w:spacing w:val="-4"/>
        </w:rPr>
        <w:t>and</w:t>
      </w:r>
      <w:r>
        <w:tab/>
      </w:r>
      <w:r>
        <w:rPr>
          <w:spacing w:val="-2"/>
        </w:rPr>
        <w:t>Payments</w:t>
      </w:r>
      <w:r>
        <w:tab/>
      </w:r>
      <w:r>
        <w:rPr>
          <w:spacing w:val="-2"/>
        </w:rPr>
        <w:t>Regulation:</w:t>
      </w:r>
      <w:r>
        <w:tab/>
      </w:r>
      <w:r>
        <w:rPr>
          <w:spacing w:val="-6"/>
        </w:rPr>
        <w:t>An</w:t>
      </w:r>
      <w:r>
        <w:tab/>
      </w:r>
      <w:r>
        <w:rPr>
          <w:spacing w:val="-2"/>
        </w:rPr>
        <w:t xml:space="preserve">Analytical </w:t>
      </w:r>
      <w:r>
        <w:t>Framework.</w:t>
      </w:r>
      <w:r>
        <w:rPr>
          <w:rFonts w:hint="eastAsia" w:eastAsia="宋体"/>
          <w:lang w:eastAsia="zh-CN"/>
        </w:rPr>
        <w:t>”</w:t>
      </w:r>
      <w:r>
        <w:t xml:space="preserve"> </w:t>
      </w:r>
      <w:r>
        <w:rPr>
          <w:i/>
        </w:rPr>
        <w:t xml:space="preserve">Journal of Payments Strategy &amp; Systems </w:t>
      </w:r>
      <w:r>
        <w:t>14 (2): 157–71.</w:t>
      </w:r>
    </w:p>
    <w:p>
      <w:pPr>
        <w:pStyle w:val="5"/>
      </w:pPr>
    </w:p>
    <w:p>
      <w:pPr>
        <w:pStyle w:val="5"/>
        <w:tabs>
          <w:tab w:val="left" w:pos="5902"/>
        </w:tabs>
        <w:ind w:left="840" w:right="136" w:hanging="720"/>
      </w:pPr>
      <w:r>
        <w:t>Loan</w:t>
      </w:r>
      <w:r>
        <w:rPr>
          <w:spacing w:val="40"/>
        </w:rPr>
        <w:t xml:space="preserve"> </w:t>
      </w:r>
      <w:r>
        <w:t>Market</w:t>
      </w:r>
      <w:r>
        <w:rPr>
          <w:spacing w:val="80"/>
        </w:rPr>
        <w:t xml:space="preserve"> </w:t>
      </w:r>
      <w:r>
        <w:t>Association.</w:t>
      </w:r>
      <w:r>
        <w:rPr>
          <w:spacing w:val="80"/>
        </w:rPr>
        <w:t xml:space="preserve"> </w:t>
      </w:r>
      <w:r>
        <w:t>2021.</w:t>
      </w:r>
      <w:r>
        <w:rPr>
          <w:spacing w:val="40"/>
        </w:rPr>
        <w:t xml:space="preserve"> </w:t>
      </w:r>
      <w:r>
        <w:t>Green</w:t>
      </w:r>
      <w:r>
        <w:rPr>
          <w:spacing w:val="40"/>
        </w:rPr>
        <w:t xml:space="preserve"> </w:t>
      </w:r>
      <w:r>
        <w:t>Loan</w:t>
      </w:r>
      <w:r>
        <w:rPr>
          <w:spacing w:val="40"/>
        </w:rPr>
        <w:t xml:space="preserve"> </w:t>
      </w:r>
      <w:r>
        <w:t>Principles.</w:t>
      </w:r>
      <w:r>
        <w:tab/>
      </w:r>
      <w:r>
        <w:rPr>
          <w:spacing w:val="-2"/>
        </w:rPr>
        <w:t>https://</w:t>
      </w:r>
      <w:r>
        <w:fldChar w:fldCharType="begin"/>
      </w:r>
      <w:r>
        <w:instrText xml:space="preserve"> HYPERLINK "http://www.lsta.org/content/green-loan-" \h </w:instrText>
      </w:r>
      <w:r>
        <w:fldChar w:fldCharType="separate"/>
      </w:r>
      <w:r>
        <w:rPr>
          <w:spacing w:val="-2"/>
        </w:rPr>
        <w:t>www.lsta.org/content/green-loan-</w:t>
      </w:r>
      <w:r>
        <w:rPr>
          <w:spacing w:val="-2"/>
        </w:rPr>
        <w:fldChar w:fldCharType="end"/>
      </w:r>
      <w:r>
        <w:rPr>
          <w:spacing w:val="-2"/>
        </w:rPr>
        <w:t xml:space="preserve"> principles/.</w:t>
      </w:r>
    </w:p>
    <w:p>
      <w:pPr>
        <w:sectPr>
          <w:pgSz w:w="12240" w:h="15840"/>
          <w:pgMar w:top="1360" w:right="1300" w:bottom="280" w:left="1320" w:header="720" w:footer="720" w:gutter="0"/>
          <w:cols w:space="720" w:num="1"/>
        </w:sectPr>
      </w:pPr>
    </w:p>
    <w:p>
      <w:pPr>
        <w:pStyle w:val="5"/>
        <w:spacing w:before="191"/>
        <w:ind w:left="840" w:right="144" w:hanging="720"/>
        <w:jc w:val="both"/>
      </w:pPr>
      <w:r>
        <w:t xml:space="preserve">Martinez Peria, M. S., and S. Singh. 2014. </w:t>
      </w:r>
      <w:r>
        <w:rPr>
          <w:rFonts w:hint="eastAsia" w:eastAsia="宋体"/>
          <w:lang w:eastAsia="zh-CN"/>
        </w:rPr>
        <w:t>“</w:t>
      </w:r>
      <w:r>
        <w:t>The Impact of Credit Information Sharing Reforms on Firm Financing.</w:t>
      </w:r>
      <w:r>
        <w:rPr>
          <w:rFonts w:hint="eastAsia" w:eastAsia="宋体"/>
          <w:lang w:eastAsia="zh-CN"/>
        </w:rPr>
        <w:t>”</w:t>
      </w:r>
      <w:r>
        <w:t xml:space="preserve"> Policy Research Working Paper 7013. World Bank, Washington, DC.</w:t>
      </w:r>
    </w:p>
    <w:p>
      <w:pPr>
        <w:pStyle w:val="5"/>
        <w:spacing w:before="1"/>
      </w:pPr>
    </w:p>
    <w:p>
      <w:pPr>
        <w:pStyle w:val="5"/>
        <w:spacing w:before="1"/>
        <w:ind w:left="840" w:right="140" w:hanging="720"/>
        <w:jc w:val="both"/>
      </w:pPr>
      <w:r>
        <w:t xml:space="preserve">Nicholls, A. 2019. </w:t>
      </w:r>
      <w:r>
        <w:rPr>
          <w:rFonts w:hint="eastAsia" w:eastAsia="宋体"/>
          <w:lang w:eastAsia="zh-CN"/>
        </w:rPr>
        <w:t>“</w:t>
      </w:r>
      <w:r>
        <w:t>Policies, Initiatives, and Regulations Related to Sustainable Finance.</w:t>
      </w:r>
      <w:r>
        <w:rPr>
          <w:rFonts w:hint="eastAsia" w:eastAsia="宋体"/>
          <w:lang w:eastAsia="zh-CN"/>
        </w:rPr>
        <w:t>”</w:t>
      </w:r>
      <w:r>
        <w:t xml:space="preserve"> Asian Development Outlook 2021 Background Paper.</w:t>
      </w:r>
    </w:p>
    <w:p>
      <w:pPr>
        <w:pStyle w:val="5"/>
        <w:spacing w:before="10"/>
        <w:rPr>
          <w:sz w:val="21"/>
        </w:rPr>
      </w:pPr>
    </w:p>
    <w:p>
      <w:pPr>
        <w:spacing w:before="1"/>
        <w:ind w:left="840" w:right="133" w:hanging="720"/>
        <w:jc w:val="both"/>
      </w:pPr>
      <w:r>
        <w:t>OCC (Office of the Comptroller of the Currency). 2021</w:t>
      </w:r>
      <w:r>
        <w:rPr>
          <w:i/>
        </w:rPr>
        <w:t>. Comptroller’s Handbook: Payment Systems</w:t>
      </w:r>
      <w:r>
        <w:t>, October 2021. OCC.</w:t>
      </w:r>
    </w:p>
    <w:p>
      <w:pPr>
        <w:pStyle w:val="5"/>
        <w:spacing w:before="10"/>
        <w:rPr>
          <w:sz w:val="21"/>
        </w:rPr>
      </w:pPr>
    </w:p>
    <w:p>
      <w:pPr>
        <w:spacing w:before="1"/>
        <w:ind w:left="840" w:right="136" w:hanging="720"/>
        <w:jc w:val="both"/>
      </w:pPr>
      <w:r>
        <w:t xml:space="preserve">Qi, S., and S. Ongena. 2019. </w:t>
      </w:r>
      <w:r>
        <w:rPr>
          <w:rFonts w:hint="eastAsia" w:eastAsia="宋体"/>
          <w:lang w:eastAsia="zh-CN"/>
        </w:rPr>
        <w:t>“</w:t>
      </w:r>
      <w:r>
        <w:t>Fuel the Engine: Bank Credit and Firm Innovation.</w:t>
      </w:r>
      <w:r>
        <w:rPr>
          <w:rFonts w:hint="eastAsia" w:eastAsia="宋体"/>
          <w:lang w:eastAsia="zh-CN"/>
        </w:rPr>
        <w:t>”</w:t>
      </w:r>
      <w:r>
        <w:t xml:space="preserve"> </w:t>
      </w:r>
      <w:r>
        <w:rPr>
          <w:i/>
        </w:rPr>
        <w:t xml:space="preserve">Journal of Financial Services Research </w:t>
      </w:r>
      <w:r>
        <w:t>57: 115–47.</w:t>
      </w:r>
    </w:p>
    <w:p>
      <w:pPr>
        <w:pStyle w:val="5"/>
        <w:spacing w:before="11"/>
        <w:rPr>
          <w:sz w:val="21"/>
        </w:rPr>
      </w:pPr>
    </w:p>
    <w:p>
      <w:pPr>
        <w:pStyle w:val="5"/>
        <w:ind w:left="840" w:right="135" w:hanging="720"/>
        <w:jc w:val="both"/>
      </w:pPr>
      <w:r>
        <w:t xml:space="preserve">Pazarbasioglu, C., A. G. Mora, M. Uttamchandani, H. Natarajan, E. Feyen, and M. Saal. 2020. </w:t>
      </w:r>
      <w:r>
        <w:rPr>
          <w:i/>
        </w:rPr>
        <w:t>Digital Financial Services</w:t>
      </w:r>
      <w:r>
        <w:t>. Washington, DC: World Bank Group.</w:t>
      </w:r>
    </w:p>
    <w:p>
      <w:pPr>
        <w:pStyle w:val="5"/>
        <w:spacing w:before="2"/>
      </w:pPr>
    </w:p>
    <w:p>
      <w:pPr>
        <w:ind w:left="840" w:right="133" w:hanging="720"/>
        <w:jc w:val="both"/>
      </w:pPr>
      <w:r>
        <w:t xml:space="preserve">Resendiz, R. M. 2018. </w:t>
      </w:r>
      <w:r>
        <w:rPr>
          <w:rFonts w:hint="eastAsia" w:eastAsia="宋体"/>
          <w:lang w:eastAsia="zh-CN"/>
        </w:rPr>
        <w:t>“</w:t>
      </w:r>
      <w:r>
        <w:t>The Role of Payment Systems and Services in Financial Inclusion–The Latin American and Caribbean Perspective.</w:t>
      </w:r>
      <w:r>
        <w:rPr>
          <w:rFonts w:hint="eastAsia" w:eastAsia="宋体"/>
          <w:lang w:eastAsia="zh-CN"/>
        </w:rPr>
        <w:t>”</w:t>
      </w:r>
      <w:r>
        <w:t xml:space="preserve"> IFC Bulletins chapters in </w:t>
      </w:r>
      <w:r>
        <w:rPr>
          <w:i/>
        </w:rPr>
        <w:t>The Role of Data in Supporting Financial Inclusion Policy</w:t>
      </w:r>
      <w:r>
        <w:t>, vol. 47, edited by Bank for International Settlements.</w:t>
      </w:r>
    </w:p>
    <w:p>
      <w:pPr>
        <w:pStyle w:val="5"/>
        <w:spacing w:before="10"/>
        <w:rPr>
          <w:sz w:val="21"/>
        </w:rPr>
      </w:pPr>
    </w:p>
    <w:p>
      <w:pPr>
        <w:pStyle w:val="5"/>
        <w:ind w:left="120"/>
        <w:rPr>
          <w:rFonts w:eastAsia="宋体"/>
          <w:lang w:eastAsia="zh-CN"/>
        </w:rPr>
      </w:pPr>
      <w:r>
        <w:t>Saparito,</w:t>
      </w:r>
      <w:r>
        <w:rPr>
          <w:spacing w:val="1"/>
        </w:rPr>
        <w:t xml:space="preserve"> </w:t>
      </w:r>
      <w:r>
        <w:t>P., A.</w:t>
      </w:r>
      <w:r>
        <w:rPr>
          <w:spacing w:val="3"/>
        </w:rPr>
        <w:t xml:space="preserve"> </w:t>
      </w:r>
      <w:r>
        <w:t>Elam, and</w:t>
      </w:r>
      <w:r>
        <w:rPr>
          <w:spacing w:val="-2"/>
        </w:rPr>
        <w:t xml:space="preserve"> </w:t>
      </w:r>
      <w:r>
        <w:t>C.</w:t>
      </w:r>
      <w:r>
        <w:rPr>
          <w:spacing w:val="3"/>
        </w:rPr>
        <w:t xml:space="preserve"> </w:t>
      </w:r>
      <w:r>
        <w:t>Brush.</w:t>
      </w:r>
      <w:r>
        <w:rPr>
          <w:spacing w:val="4"/>
        </w:rPr>
        <w:t xml:space="preserve"> </w:t>
      </w:r>
      <w:r>
        <w:t xml:space="preserve">2013. </w:t>
      </w:r>
      <w:r>
        <w:rPr>
          <w:rFonts w:hint="eastAsia" w:eastAsia="宋体"/>
          <w:lang w:eastAsia="zh-CN"/>
        </w:rPr>
        <w:t>“</w:t>
      </w:r>
      <w:r>
        <w:t>Bank–Firm</w:t>
      </w:r>
      <w:r>
        <w:rPr>
          <w:spacing w:val="4"/>
        </w:rPr>
        <w:t xml:space="preserve"> </w:t>
      </w:r>
      <w:r>
        <w:t>Relationships:</w:t>
      </w:r>
      <w:r>
        <w:rPr>
          <w:spacing w:val="4"/>
        </w:rPr>
        <w:t xml:space="preserve"> </w:t>
      </w:r>
      <w:r>
        <w:t>Do Perceptions</w:t>
      </w:r>
      <w:r>
        <w:rPr>
          <w:spacing w:val="3"/>
        </w:rPr>
        <w:t xml:space="preserve"> </w:t>
      </w:r>
      <w:r>
        <w:t>Vary by</w:t>
      </w:r>
      <w:r>
        <w:rPr>
          <w:spacing w:val="1"/>
        </w:rPr>
        <w:t xml:space="preserve"> </w:t>
      </w:r>
      <w:r>
        <w:rPr>
          <w:spacing w:val="-2"/>
        </w:rPr>
        <w:t>Gender?</w:t>
      </w:r>
      <w:r>
        <w:rPr>
          <w:rFonts w:hint="eastAsia" w:eastAsia="宋体"/>
          <w:spacing w:val="-2"/>
          <w:lang w:eastAsia="zh-CN"/>
        </w:rPr>
        <w:t>”</w:t>
      </w:r>
    </w:p>
    <w:p>
      <w:pPr>
        <w:spacing w:before="1"/>
        <w:ind w:left="840"/>
      </w:pPr>
      <w:r>
        <w:rPr>
          <w:i/>
        </w:rPr>
        <w:t>Entrepreneurship</w:t>
      </w:r>
      <w:r>
        <w:rPr>
          <w:i/>
          <w:spacing w:val="-4"/>
        </w:rPr>
        <w:t xml:space="preserve"> </w:t>
      </w:r>
      <w:r>
        <w:rPr>
          <w:i/>
        </w:rPr>
        <w:t>Theory</w:t>
      </w:r>
      <w:r>
        <w:rPr>
          <w:i/>
          <w:spacing w:val="-4"/>
        </w:rPr>
        <w:t xml:space="preserve"> </w:t>
      </w:r>
      <w:r>
        <w:rPr>
          <w:i/>
        </w:rPr>
        <w:t>and</w:t>
      </w:r>
      <w:r>
        <w:rPr>
          <w:i/>
          <w:spacing w:val="-3"/>
        </w:rPr>
        <w:t xml:space="preserve"> </w:t>
      </w:r>
      <w:r>
        <w:rPr>
          <w:i/>
        </w:rPr>
        <w:t>Practice</w:t>
      </w:r>
      <w:r>
        <w:rPr>
          <w:i/>
          <w:spacing w:val="-2"/>
        </w:rPr>
        <w:t xml:space="preserve"> </w:t>
      </w:r>
      <w:r>
        <w:t>37</w:t>
      </w:r>
      <w:r>
        <w:rPr>
          <w:spacing w:val="-6"/>
        </w:rPr>
        <w:t xml:space="preserve"> </w:t>
      </w:r>
      <w:r>
        <w:rPr>
          <w:spacing w:val="-4"/>
        </w:rPr>
        <w:t>(4).</w:t>
      </w:r>
    </w:p>
    <w:p>
      <w:pPr>
        <w:pStyle w:val="5"/>
        <w:spacing w:before="10"/>
        <w:rPr>
          <w:sz w:val="21"/>
        </w:rPr>
      </w:pPr>
    </w:p>
    <w:p>
      <w:pPr>
        <w:ind w:left="840" w:right="132" w:hanging="720"/>
        <w:jc w:val="both"/>
      </w:pPr>
      <w:r>
        <w:t xml:space="preserve">Siemer, M. 2019. </w:t>
      </w:r>
      <w:r>
        <w:rPr>
          <w:rFonts w:hint="eastAsia" w:eastAsia="宋体"/>
          <w:lang w:eastAsia="zh-CN"/>
        </w:rPr>
        <w:t>“</w:t>
      </w:r>
      <w:r>
        <w:t>Employment Effects of Financial Constraints during the Great Recession.</w:t>
      </w:r>
      <w:r>
        <w:rPr>
          <w:rFonts w:hint="eastAsia" w:eastAsia="宋体"/>
          <w:lang w:eastAsia="zh-CN"/>
        </w:rPr>
        <w:t>”</w:t>
      </w:r>
      <w:r>
        <w:t xml:space="preserve"> </w:t>
      </w:r>
      <w:r>
        <w:rPr>
          <w:i/>
        </w:rPr>
        <w:t xml:space="preserve">Review of Economics and Statistics </w:t>
      </w:r>
      <w:r>
        <w:t>101: 16–29.</w:t>
      </w:r>
    </w:p>
    <w:p>
      <w:pPr>
        <w:pStyle w:val="5"/>
        <w:spacing w:before="2"/>
      </w:pPr>
    </w:p>
    <w:p>
      <w:pPr>
        <w:ind w:left="840" w:right="136" w:hanging="720"/>
        <w:jc w:val="both"/>
      </w:pPr>
      <w:r>
        <w:t>TCFD (Task Force on Climate-related Financial Disclosures).</w:t>
      </w:r>
      <w:r>
        <w:rPr>
          <w:spacing w:val="40"/>
        </w:rPr>
        <w:t xml:space="preserve"> </w:t>
      </w:r>
      <w:r>
        <w:t xml:space="preserve">2021. 2021 </w:t>
      </w:r>
      <w:r>
        <w:rPr>
          <w:i/>
        </w:rPr>
        <w:t xml:space="preserve">Status Report: Task Force on Climate-related Financial Disclosures. </w:t>
      </w:r>
      <w:r>
        <w:t>TCFD. Financial Stability Board.</w:t>
      </w:r>
    </w:p>
    <w:p>
      <w:pPr>
        <w:pStyle w:val="5"/>
        <w:spacing w:before="11"/>
        <w:rPr>
          <w:sz w:val="21"/>
        </w:rPr>
      </w:pPr>
    </w:p>
    <w:p>
      <w:pPr>
        <w:ind w:left="840" w:right="135" w:hanging="720"/>
        <w:jc w:val="both"/>
      </w:pPr>
      <w:r>
        <w:t xml:space="preserve">UNCITRAL (United Nations Commission on International Trade Law). 2010. </w:t>
      </w:r>
      <w:r>
        <w:rPr>
          <w:i/>
        </w:rPr>
        <w:t xml:space="preserve">UNCITRAL Legislative Guide on Secured Transactions. </w:t>
      </w:r>
      <w:r>
        <w:t>United Nations.</w:t>
      </w:r>
    </w:p>
    <w:p>
      <w:pPr>
        <w:pStyle w:val="5"/>
        <w:spacing w:before="11"/>
        <w:rPr>
          <w:sz w:val="21"/>
        </w:rPr>
      </w:pPr>
    </w:p>
    <w:p>
      <w:pPr>
        <w:ind w:left="840" w:right="136" w:hanging="720"/>
        <w:jc w:val="both"/>
      </w:pPr>
      <w:r>
        <w:t xml:space="preserve">UNCITRAL (United Nations Commission on International Trade Law). 2014. </w:t>
      </w:r>
      <w:r>
        <w:rPr>
          <w:i/>
        </w:rPr>
        <w:t xml:space="preserve">UNCITRAL Guide on the Implementation of a Security Rights Registry. </w:t>
      </w:r>
      <w:r>
        <w:t>United Nations.</w:t>
      </w:r>
    </w:p>
    <w:p>
      <w:pPr>
        <w:pStyle w:val="5"/>
        <w:spacing w:before="11"/>
        <w:rPr>
          <w:sz w:val="21"/>
        </w:rPr>
      </w:pPr>
    </w:p>
    <w:p>
      <w:pPr>
        <w:spacing w:line="242" w:lineRule="auto"/>
        <w:ind w:left="840" w:right="135" w:hanging="720"/>
        <w:jc w:val="both"/>
      </w:pPr>
      <w:r>
        <w:t>UNCITRAL (United Nations Commission</w:t>
      </w:r>
      <w:r>
        <w:rPr>
          <w:spacing w:val="-1"/>
        </w:rPr>
        <w:t xml:space="preserve"> </w:t>
      </w:r>
      <w:r>
        <w:t>on</w:t>
      </w:r>
      <w:r>
        <w:rPr>
          <w:spacing w:val="-1"/>
        </w:rPr>
        <w:t xml:space="preserve"> </w:t>
      </w:r>
      <w:r>
        <w:t>International Trade Law).</w:t>
      </w:r>
      <w:r>
        <w:rPr>
          <w:spacing w:val="-1"/>
        </w:rPr>
        <w:t xml:space="preserve"> </w:t>
      </w:r>
      <w:r>
        <w:t>2019.</w:t>
      </w:r>
      <w:r>
        <w:rPr>
          <w:spacing w:val="-1"/>
        </w:rPr>
        <w:t xml:space="preserve"> </w:t>
      </w:r>
      <w:r>
        <w:rPr>
          <w:i/>
        </w:rPr>
        <w:t>UNCITRAL Model Law</w:t>
      </w:r>
      <w:r>
        <w:rPr>
          <w:i/>
          <w:spacing w:val="-2"/>
        </w:rPr>
        <w:t xml:space="preserve"> </w:t>
      </w:r>
      <w:r>
        <w:rPr>
          <w:i/>
        </w:rPr>
        <w:t xml:space="preserve">on Secured Transactions. </w:t>
      </w:r>
      <w:r>
        <w:t>United Nations.</w:t>
      </w:r>
    </w:p>
    <w:p>
      <w:pPr>
        <w:pStyle w:val="5"/>
        <w:spacing w:before="6"/>
        <w:rPr>
          <w:sz w:val="21"/>
        </w:rPr>
      </w:pPr>
    </w:p>
    <w:p>
      <w:pPr>
        <w:spacing w:before="1"/>
        <w:ind w:left="840" w:right="140" w:hanging="720"/>
        <w:jc w:val="both"/>
      </w:pPr>
      <w:r>
        <w:t xml:space="preserve">Wellalage, N. H., and V. Fernandez. 2019. </w:t>
      </w:r>
      <w:r>
        <w:rPr>
          <w:rFonts w:hint="eastAsia" w:eastAsia="宋体"/>
          <w:lang w:eastAsia="zh-CN"/>
        </w:rPr>
        <w:t>“</w:t>
      </w:r>
      <w:r>
        <w:t>Innovation and SME Finance: Evidence from Developing Countries.</w:t>
      </w:r>
      <w:r>
        <w:rPr>
          <w:rFonts w:hint="eastAsia" w:eastAsia="宋体"/>
          <w:lang w:eastAsia="zh-CN"/>
        </w:rPr>
        <w:t>”</w:t>
      </w:r>
      <w:r>
        <w:t xml:space="preserve"> </w:t>
      </w:r>
      <w:r>
        <w:rPr>
          <w:i/>
        </w:rPr>
        <w:t xml:space="preserve">International Review of Financial Analysis </w:t>
      </w:r>
      <w:r>
        <w:t>66: 101370.</w:t>
      </w:r>
    </w:p>
    <w:p>
      <w:pPr>
        <w:pStyle w:val="5"/>
        <w:spacing w:before="1"/>
      </w:pPr>
    </w:p>
    <w:p>
      <w:pPr>
        <w:ind w:left="840" w:right="141" w:hanging="720"/>
        <w:jc w:val="both"/>
      </w:pPr>
      <w:r>
        <w:t xml:space="preserve">Wellalage, N. H., and S. Locke. 2020. </w:t>
      </w:r>
      <w:r>
        <w:rPr>
          <w:rFonts w:hint="eastAsia" w:eastAsia="宋体"/>
          <w:lang w:eastAsia="zh-CN"/>
        </w:rPr>
        <w:t>“</w:t>
      </w:r>
      <w:r>
        <w:t>Formal Credit and Innovation: Is There a Uniform Relationship Across Types of Innovation?</w:t>
      </w:r>
      <w:r>
        <w:rPr>
          <w:rFonts w:hint="eastAsia" w:eastAsia="宋体"/>
          <w:lang w:eastAsia="zh-CN"/>
        </w:rPr>
        <w:t>”</w:t>
      </w:r>
      <w:r>
        <w:t xml:space="preserve"> </w:t>
      </w:r>
      <w:r>
        <w:rPr>
          <w:i/>
        </w:rPr>
        <w:t xml:space="preserve">International Review of Economics &amp; Finance </w:t>
      </w:r>
      <w:r>
        <w:t>70: 1–15.</w:t>
      </w:r>
    </w:p>
    <w:p>
      <w:pPr>
        <w:pStyle w:val="5"/>
      </w:pPr>
    </w:p>
    <w:p>
      <w:pPr>
        <w:ind w:left="840" w:right="136" w:hanging="720"/>
        <w:jc w:val="both"/>
      </w:pPr>
      <w:r>
        <w:t xml:space="preserve">World Bank. 2014. </w:t>
      </w:r>
      <w:r>
        <w:rPr>
          <w:i/>
        </w:rPr>
        <w:t>Global Financial Development Report 2014: Financial Inclusion</w:t>
      </w:r>
      <w:r>
        <w:t>. Washington, DC: World Bank.</w:t>
      </w:r>
    </w:p>
    <w:p>
      <w:pPr>
        <w:pStyle w:val="5"/>
        <w:spacing w:before="11"/>
        <w:rPr>
          <w:sz w:val="21"/>
        </w:rPr>
      </w:pPr>
    </w:p>
    <w:p>
      <w:pPr>
        <w:ind w:left="840" w:right="135" w:hanging="720"/>
        <w:jc w:val="both"/>
      </w:pPr>
      <w:r>
        <w:t xml:space="preserve">World Bank. 2016. </w:t>
      </w:r>
      <w:r>
        <w:rPr>
          <w:i/>
        </w:rPr>
        <w:t>Payment Aspects of Financial Inclusion</w:t>
      </w:r>
      <w:r>
        <w:t>.</w:t>
      </w:r>
      <w:r>
        <w:rPr>
          <w:spacing w:val="-13"/>
        </w:rPr>
        <w:t xml:space="preserve"> </w:t>
      </w:r>
      <w:r>
        <w:t xml:space="preserve">Washington, DC: World Bank Group. </w:t>
      </w:r>
      <w:r>
        <w:rPr>
          <w:spacing w:val="-2"/>
        </w:rPr>
        <w:t>https://</w:t>
      </w:r>
      <w:r>
        <w:fldChar w:fldCharType="begin"/>
      </w:r>
      <w:r>
        <w:instrText xml:space="preserve"> HYPERLINK "http://www.worldbank.org/en/topic/financialinclusion/brief/pafi-task-force-and-report" \h </w:instrText>
      </w:r>
      <w:r>
        <w:fldChar w:fldCharType="separate"/>
      </w:r>
      <w:r>
        <w:rPr>
          <w:spacing w:val="-2"/>
        </w:rPr>
        <w:t>www.worldbank.org/en/topic/financialinclusion/brief/pafi-task-force-and-report.</w:t>
      </w:r>
      <w:r>
        <w:rPr>
          <w:spacing w:val="-2"/>
        </w:rPr>
        <w:fldChar w:fldCharType="end"/>
      </w:r>
    </w:p>
    <w:p>
      <w:pPr>
        <w:jc w:val="both"/>
        <w:sectPr>
          <w:pgSz w:w="12240" w:h="15840"/>
          <w:pgMar w:top="1500" w:right="1300" w:bottom="280" w:left="1320" w:header="720" w:footer="720" w:gutter="0"/>
          <w:cols w:space="720" w:num="1"/>
        </w:sectPr>
      </w:pPr>
    </w:p>
    <w:p>
      <w:pPr>
        <w:spacing w:before="79"/>
        <w:ind w:left="840" w:hanging="720"/>
      </w:pPr>
      <w:r>
        <w:t>World</w:t>
      </w:r>
      <w:r>
        <w:rPr>
          <w:spacing w:val="40"/>
        </w:rPr>
        <w:t xml:space="preserve"> </w:t>
      </w:r>
      <w:r>
        <w:t>Bank.</w:t>
      </w:r>
      <w:r>
        <w:rPr>
          <w:spacing w:val="40"/>
        </w:rPr>
        <w:t xml:space="preserve"> </w:t>
      </w:r>
      <w:r>
        <w:t>2020a.</w:t>
      </w:r>
      <w:r>
        <w:rPr>
          <w:spacing w:val="40"/>
        </w:rPr>
        <w:t xml:space="preserve"> </w:t>
      </w:r>
      <w:r>
        <w:rPr>
          <w:i/>
        </w:rPr>
        <w:t>Payment</w:t>
      </w:r>
      <w:r>
        <w:rPr>
          <w:i/>
          <w:spacing w:val="40"/>
        </w:rPr>
        <w:t xml:space="preserve"> </w:t>
      </w:r>
      <w:r>
        <w:rPr>
          <w:i/>
        </w:rPr>
        <w:t>Systems</w:t>
      </w:r>
      <w:r>
        <w:rPr>
          <w:i/>
          <w:spacing w:val="40"/>
        </w:rPr>
        <w:t xml:space="preserve"> </w:t>
      </w:r>
      <w:r>
        <w:rPr>
          <w:i/>
        </w:rPr>
        <w:t>Worldwide:</w:t>
      </w:r>
      <w:r>
        <w:rPr>
          <w:i/>
          <w:spacing w:val="40"/>
        </w:rPr>
        <w:t xml:space="preserve"> </w:t>
      </w:r>
      <w:r>
        <w:rPr>
          <w:i/>
        </w:rPr>
        <w:t>Summary</w:t>
      </w:r>
      <w:r>
        <w:rPr>
          <w:i/>
          <w:spacing w:val="40"/>
        </w:rPr>
        <w:t xml:space="preserve"> </w:t>
      </w:r>
      <w:r>
        <w:rPr>
          <w:i/>
        </w:rPr>
        <w:t>Outcomes</w:t>
      </w:r>
      <w:r>
        <w:rPr>
          <w:i/>
          <w:spacing w:val="40"/>
        </w:rPr>
        <w:t xml:space="preserve"> </w:t>
      </w:r>
      <w:r>
        <w:rPr>
          <w:i/>
        </w:rPr>
        <w:t>of</w:t>
      </w:r>
      <w:r>
        <w:rPr>
          <w:i/>
          <w:spacing w:val="40"/>
        </w:rPr>
        <w:t xml:space="preserve"> </w:t>
      </w:r>
      <w:r>
        <w:rPr>
          <w:i/>
        </w:rPr>
        <w:t>the</w:t>
      </w:r>
      <w:r>
        <w:rPr>
          <w:i/>
          <w:spacing w:val="40"/>
        </w:rPr>
        <w:t xml:space="preserve"> </w:t>
      </w:r>
      <w:r>
        <w:rPr>
          <w:i/>
        </w:rPr>
        <w:t>Fifth</w:t>
      </w:r>
      <w:r>
        <w:rPr>
          <w:i/>
          <w:spacing w:val="40"/>
        </w:rPr>
        <w:t xml:space="preserve"> </w:t>
      </w:r>
      <w:r>
        <w:rPr>
          <w:i/>
        </w:rPr>
        <w:t>Global</w:t>
      </w:r>
      <w:r>
        <w:rPr>
          <w:i/>
          <w:spacing w:val="40"/>
        </w:rPr>
        <w:t xml:space="preserve"> </w:t>
      </w:r>
      <w:r>
        <w:rPr>
          <w:i/>
        </w:rPr>
        <w:t>Payment Systems Survey: A Snapshot</w:t>
      </w:r>
      <w:r>
        <w:t>. Washington, DC: World Bank.</w:t>
      </w:r>
    </w:p>
    <w:p>
      <w:pPr>
        <w:pStyle w:val="5"/>
        <w:spacing w:before="10"/>
        <w:rPr>
          <w:sz w:val="21"/>
        </w:rPr>
      </w:pPr>
    </w:p>
    <w:p>
      <w:pPr>
        <w:spacing w:before="1"/>
        <w:ind w:left="840" w:hanging="720"/>
      </w:pPr>
      <w:r>
        <w:t xml:space="preserve">World Bank. 2020b. </w:t>
      </w:r>
      <w:r>
        <w:rPr>
          <w:i/>
        </w:rPr>
        <w:t>Payment Aspects of Financial Inclusion in the Fintech Era</w:t>
      </w:r>
      <w:r>
        <w:t>.</w:t>
      </w:r>
      <w:r>
        <w:rPr>
          <w:spacing w:val="-15"/>
        </w:rPr>
        <w:t xml:space="preserve"> </w:t>
      </w:r>
      <w:r>
        <w:t>Washington, DC: World Bank Group.</w:t>
      </w:r>
    </w:p>
    <w:p>
      <w:pPr>
        <w:pStyle w:val="5"/>
        <w:spacing w:before="10"/>
        <w:rPr>
          <w:sz w:val="21"/>
        </w:rPr>
      </w:pPr>
    </w:p>
    <w:p>
      <w:pPr>
        <w:pStyle w:val="5"/>
        <w:spacing w:before="1"/>
        <w:ind w:left="840" w:hanging="720"/>
      </w:pPr>
      <w:r>
        <w:t>World Bank. 2021a.</w:t>
      </w:r>
      <w:r>
        <w:rPr>
          <w:spacing w:val="-13"/>
        </w:rPr>
        <w:t xml:space="preserve"> </w:t>
      </w:r>
      <w:r>
        <w:t>Toolkits for Policymakers to Green the Financial System. Washington, DC: World</w:t>
      </w:r>
      <w:r>
        <w:rPr>
          <w:spacing w:val="40"/>
        </w:rPr>
        <w:t xml:space="preserve"> </w:t>
      </w:r>
      <w:r>
        <w:t>Bank Group.</w:t>
      </w:r>
    </w:p>
    <w:p>
      <w:pPr>
        <w:pStyle w:val="5"/>
        <w:spacing w:before="1"/>
      </w:pPr>
    </w:p>
    <w:p>
      <w:pPr>
        <w:spacing w:before="1"/>
        <w:ind w:left="840" w:hanging="720"/>
      </w:pPr>
      <w:r>
        <w:t>World</w:t>
      </w:r>
      <w:r>
        <w:rPr>
          <w:spacing w:val="-10"/>
        </w:rPr>
        <w:t xml:space="preserve"> </w:t>
      </w:r>
      <w:r>
        <w:t>Bank</w:t>
      </w:r>
      <w:r>
        <w:rPr>
          <w:spacing w:val="-9"/>
        </w:rPr>
        <w:t xml:space="preserve"> </w:t>
      </w:r>
      <w:r>
        <w:t>2021b.</w:t>
      </w:r>
      <w:r>
        <w:rPr>
          <w:spacing w:val="-9"/>
        </w:rPr>
        <w:t xml:space="preserve"> </w:t>
      </w:r>
      <w:r>
        <w:rPr>
          <w:i/>
        </w:rPr>
        <w:t>Considerations</w:t>
      </w:r>
      <w:r>
        <w:rPr>
          <w:i/>
          <w:spacing w:val="-9"/>
        </w:rPr>
        <w:t xml:space="preserve"> </w:t>
      </w:r>
      <w:r>
        <w:rPr>
          <w:i/>
        </w:rPr>
        <w:t>and</w:t>
      </w:r>
      <w:r>
        <w:rPr>
          <w:i/>
          <w:spacing w:val="-10"/>
        </w:rPr>
        <w:t xml:space="preserve"> </w:t>
      </w:r>
      <w:r>
        <w:rPr>
          <w:i/>
        </w:rPr>
        <w:t>Lessons</w:t>
      </w:r>
      <w:r>
        <w:rPr>
          <w:i/>
          <w:spacing w:val="-11"/>
        </w:rPr>
        <w:t xml:space="preserve"> </w:t>
      </w:r>
      <w:r>
        <w:rPr>
          <w:i/>
        </w:rPr>
        <w:t>for</w:t>
      </w:r>
      <w:r>
        <w:rPr>
          <w:i/>
          <w:spacing w:val="-11"/>
        </w:rPr>
        <w:t xml:space="preserve"> </w:t>
      </w:r>
      <w:r>
        <w:rPr>
          <w:i/>
        </w:rPr>
        <w:t>the</w:t>
      </w:r>
      <w:r>
        <w:rPr>
          <w:i/>
          <w:spacing w:val="-9"/>
        </w:rPr>
        <w:t xml:space="preserve"> </w:t>
      </w:r>
      <w:r>
        <w:rPr>
          <w:i/>
        </w:rPr>
        <w:t>Development</w:t>
      </w:r>
      <w:r>
        <w:rPr>
          <w:i/>
          <w:spacing w:val="-9"/>
        </w:rPr>
        <w:t xml:space="preserve"> </w:t>
      </w:r>
      <w:r>
        <w:rPr>
          <w:i/>
        </w:rPr>
        <w:t>and</w:t>
      </w:r>
      <w:r>
        <w:rPr>
          <w:i/>
          <w:spacing w:val="-10"/>
        </w:rPr>
        <w:t xml:space="preserve"> </w:t>
      </w:r>
      <w:r>
        <w:rPr>
          <w:i/>
        </w:rPr>
        <w:t>Implementation</w:t>
      </w:r>
      <w:r>
        <w:rPr>
          <w:i/>
          <w:spacing w:val="-10"/>
        </w:rPr>
        <w:t xml:space="preserve"> </w:t>
      </w:r>
      <w:r>
        <w:rPr>
          <w:i/>
        </w:rPr>
        <w:t>of</w:t>
      </w:r>
      <w:r>
        <w:rPr>
          <w:i/>
          <w:spacing w:val="-9"/>
        </w:rPr>
        <w:t xml:space="preserve"> </w:t>
      </w:r>
      <w:r>
        <w:rPr>
          <w:i/>
        </w:rPr>
        <w:t>Fast</w:t>
      </w:r>
      <w:r>
        <w:rPr>
          <w:i/>
          <w:spacing w:val="-9"/>
        </w:rPr>
        <w:t xml:space="preserve"> </w:t>
      </w:r>
      <w:r>
        <w:rPr>
          <w:i/>
        </w:rPr>
        <w:t>Payment Systems</w:t>
      </w:r>
      <w:r>
        <w:t>.</w:t>
      </w:r>
      <w:r>
        <w:rPr>
          <w:spacing w:val="-16"/>
        </w:rPr>
        <w:t xml:space="preserve"> </w:t>
      </w:r>
      <w:r>
        <w:t>World</w:t>
      </w:r>
      <w:r>
        <w:rPr>
          <w:spacing w:val="-14"/>
        </w:rPr>
        <w:t xml:space="preserve"> </w:t>
      </w:r>
      <w:r>
        <w:t>Bank</w:t>
      </w:r>
      <w:r>
        <w:rPr>
          <w:spacing w:val="-14"/>
        </w:rPr>
        <w:t xml:space="preserve"> </w:t>
      </w:r>
      <w:r>
        <w:t>Fast</w:t>
      </w:r>
      <w:r>
        <w:rPr>
          <w:spacing w:val="-13"/>
        </w:rPr>
        <w:t xml:space="preserve"> </w:t>
      </w:r>
      <w:r>
        <w:t>Payments</w:t>
      </w:r>
      <w:r>
        <w:rPr>
          <w:spacing w:val="-14"/>
        </w:rPr>
        <w:t xml:space="preserve"> </w:t>
      </w:r>
      <w:r>
        <w:t>Toolkit–Main</w:t>
      </w:r>
      <w:r>
        <w:rPr>
          <w:spacing w:val="-14"/>
        </w:rPr>
        <w:t xml:space="preserve"> </w:t>
      </w:r>
      <w:r>
        <w:t>Report).</w:t>
      </w:r>
      <w:r>
        <w:rPr>
          <w:spacing w:val="52"/>
        </w:rPr>
        <w:t xml:space="preserve"> </w:t>
      </w:r>
      <w:r>
        <w:t>Washington,</w:t>
      </w:r>
      <w:r>
        <w:rPr>
          <w:spacing w:val="-14"/>
        </w:rPr>
        <w:t xml:space="preserve"> </w:t>
      </w:r>
      <w:r>
        <w:t>DC:</w:t>
      </w:r>
      <w:r>
        <w:rPr>
          <w:spacing w:val="-14"/>
        </w:rPr>
        <w:t xml:space="preserve"> </w:t>
      </w:r>
      <w:r>
        <w:t>World</w:t>
      </w:r>
      <w:r>
        <w:rPr>
          <w:spacing w:val="-14"/>
        </w:rPr>
        <w:t xml:space="preserve"> </w:t>
      </w:r>
      <w:r>
        <w:t>Bank</w:t>
      </w:r>
      <w:r>
        <w:rPr>
          <w:spacing w:val="-13"/>
        </w:rPr>
        <w:t xml:space="preserve"> </w:t>
      </w:r>
      <w:r>
        <w:rPr>
          <w:spacing w:val="-2"/>
        </w:rPr>
        <w:t>Group.</w:t>
      </w:r>
    </w:p>
    <w:p>
      <w:pPr>
        <w:pStyle w:val="5"/>
        <w:spacing w:before="53" w:line="506" w:lineRule="exact"/>
        <w:ind w:left="120"/>
      </w:pPr>
      <w:r>
        <w:t>World</w:t>
      </w:r>
      <w:r>
        <w:rPr>
          <w:spacing w:val="-2"/>
        </w:rPr>
        <w:t xml:space="preserve"> </w:t>
      </w:r>
      <w:r>
        <w:t>Bank</w:t>
      </w:r>
      <w:r>
        <w:rPr>
          <w:spacing w:val="-2"/>
        </w:rPr>
        <w:t xml:space="preserve"> </w:t>
      </w:r>
      <w:r>
        <w:t>Group.</w:t>
      </w:r>
      <w:r>
        <w:rPr>
          <w:spacing w:val="-5"/>
        </w:rPr>
        <w:t xml:space="preserve"> </w:t>
      </w:r>
      <w:r>
        <w:t>2011.</w:t>
      </w:r>
      <w:r>
        <w:rPr>
          <w:spacing w:val="-5"/>
        </w:rPr>
        <w:t xml:space="preserve"> </w:t>
      </w:r>
      <w:r>
        <w:t>General</w:t>
      </w:r>
      <w:r>
        <w:rPr>
          <w:spacing w:val="-1"/>
        </w:rPr>
        <w:t xml:space="preserve"> </w:t>
      </w:r>
      <w:r>
        <w:t>Principles</w:t>
      </w:r>
      <w:r>
        <w:rPr>
          <w:spacing w:val="-4"/>
        </w:rPr>
        <w:t xml:space="preserve"> </w:t>
      </w:r>
      <w:r>
        <w:t>for</w:t>
      </w:r>
      <w:r>
        <w:rPr>
          <w:spacing w:val="-2"/>
        </w:rPr>
        <w:t xml:space="preserve"> </w:t>
      </w:r>
      <w:r>
        <w:t>Credit</w:t>
      </w:r>
      <w:r>
        <w:rPr>
          <w:spacing w:val="-1"/>
        </w:rPr>
        <w:t xml:space="preserve"> </w:t>
      </w:r>
      <w:r>
        <w:t>Reporting.</w:t>
      </w:r>
      <w:r>
        <w:rPr>
          <w:spacing w:val="40"/>
        </w:rPr>
        <w:t xml:space="preserve"> </w:t>
      </w:r>
      <w:r>
        <w:t>Washington,</w:t>
      </w:r>
      <w:r>
        <w:rPr>
          <w:spacing w:val="-5"/>
        </w:rPr>
        <w:t xml:space="preserve"> </w:t>
      </w:r>
      <w:r>
        <w:t>DC:</w:t>
      </w:r>
      <w:r>
        <w:rPr>
          <w:spacing w:val="-1"/>
        </w:rPr>
        <w:t xml:space="preserve"> </w:t>
      </w:r>
      <w:r>
        <w:t>World</w:t>
      </w:r>
      <w:r>
        <w:rPr>
          <w:spacing w:val="-2"/>
        </w:rPr>
        <w:t xml:space="preserve"> </w:t>
      </w:r>
      <w:r>
        <w:t>Bank</w:t>
      </w:r>
      <w:r>
        <w:rPr>
          <w:spacing w:val="-2"/>
        </w:rPr>
        <w:t xml:space="preserve"> </w:t>
      </w:r>
      <w:r>
        <w:t>Group. World</w:t>
      </w:r>
      <w:r>
        <w:rPr>
          <w:spacing w:val="8"/>
        </w:rPr>
        <w:t xml:space="preserve"> </w:t>
      </w:r>
      <w:r>
        <w:t>Bank</w:t>
      </w:r>
      <w:r>
        <w:rPr>
          <w:spacing w:val="9"/>
        </w:rPr>
        <w:t xml:space="preserve"> </w:t>
      </w:r>
      <w:r>
        <w:t>Group.</w:t>
      </w:r>
      <w:r>
        <w:rPr>
          <w:spacing w:val="8"/>
        </w:rPr>
        <w:t xml:space="preserve"> </w:t>
      </w:r>
      <w:r>
        <w:t>2017.</w:t>
      </w:r>
      <w:r>
        <w:rPr>
          <w:spacing w:val="8"/>
        </w:rPr>
        <w:t xml:space="preserve"> </w:t>
      </w:r>
      <w:r>
        <w:t>Good</w:t>
      </w:r>
      <w:r>
        <w:rPr>
          <w:spacing w:val="8"/>
        </w:rPr>
        <w:t xml:space="preserve"> </w:t>
      </w:r>
      <w:r>
        <w:t>Practices</w:t>
      </w:r>
      <w:r>
        <w:rPr>
          <w:spacing w:val="9"/>
        </w:rPr>
        <w:t xml:space="preserve"> </w:t>
      </w:r>
      <w:r>
        <w:t>for</w:t>
      </w:r>
      <w:r>
        <w:rPr>
          <w:spacing w:val="10"/>
        </w:rPr>
        <w:t xml:space="preserve"> </w:t>
      </w:r>
      <w:r>
        <w:t>Financial</w:t>
      </w:r>
      <w:r>
        <w:rPr>
          <w:spacing w:val="10"/>
        </w:rPr>
        <w:t xml:space="preserve"> </w:t>
      </w:r>
      <w:r>
        <w:t>Consumer</w:t>
      </w:r>
      <w:r>
        <w:rPr>
          <w:spacing w:val="9"/>
        </w:rPr>
        <w:t xml:space="preserve"> </w:t>
      </w:r>
      <w:r>
        <w:t>Protection.</w:t>
      </w:r>
      <w:r>
        <w:rPr>
          <w:spacing w:val="72"/>
        </w:rPr>
        <w:t xml:space="preserve"> </w:t>
      </w:r>
      <w:r>
        <w:t>Washington,</w:t>
      </w:r>
      <w:r>
        <w:rPr>
          <w:spacing w:val="8"/>
        </w:rPr>
        <w:t xml:space="preserve"> </w:t>
      </w:r>
      <w:r>
        <w:t>DC:</w:t>
      </w:r>
      <w:r>
        <w:rPr>
          <w:spacing w:val="74"/>
        </w:rPr>
        <w:t xml:space="preserve"> </w:t>
      </w:r>
      <w:r>
        <w:rPr>
          <w:spacing w:val="-4"/>
        </w:rPr>
        <w:t>World</w:t>
      </w:r>
    </w:p>
    <w:p>
      <w:pPr>
        <w:pStyle w:val="5"/>
        <w:spacing w:line="199" w:lineRule="exact"/>
        <w:ind w:left="840"/>
      </w:pPr>
      <w:r>
        <w:t>Bank</w:t>
      </w:r>
      <w:r>
        <w:rPr>
          <w:spacing w:val="-1"/>
        </w:rPr>
        <w:t xml:space="preserve"> </w:t>
      </w:r>
      <w:r>
        <w:rPr>
          <w:spacing w:val="-2"/>
        </w:rPr>
        <w:t>Group.</w:t>
      </w:r>
    </w:p>
    <w:p>
      <w:pPr>
        <w:pStyle w:val="5"/>
      </w:pPr>
    </w:p>
    <w:p>
      <w:pPr>
        <w:spacing w:before="1"/>
        <w:ind w:left="840" w:hanging="720"/>
      </w:pPr>
      <w:r>
        <w:t>World</w:t>
      </w:r>
      <w:r>
        <w:rPr>
          <w:spacing w:val="-14"/>
        </w:rPr>
        <w:t xml:space="preserve"> </w:t>
      </w:r>
      <w:r>
        <w:t>Bank</w:t>
      </w:r>
      <w:r>
        <w:rPr>
          <w:spacing w:val="-14"/>
        </w:rPr>
        <w:t xml:space="preserve"> </w:t>
      </w:r>
      <w:r>
        <w:t>Group.</w:t>
      </w:r>
      <w:r>
        <w:rPr>
          <w:spacing w:val="-15"/>
        </w:rPr>
        <w:t xml:space="preserve"> </w:t>
      </w:r>
      <w:r>
        <w:t>2019b.</w:t>
      </w:r>
      <w:r>
        <w:rPr>
          <w:spacing w:val="-17"/>
        </w:rPr>
        <w:t xml:space="preserve"> </w:t>
      </w:r>
      <w:r>
        <w:rPr>
          <w:i/>
        </w:rPr>
        <w:t>Prudential</w:t>
      </w:r>
      <w:r>
        <w:rPr>
          <w:i/>
          <w:spacing w:val="-14"/>
        </w:rPr>
        <w:t xml:space="preserve"> </w:t>
      </w:r>
      <w:r>
        <w:rPr>
          <w:i/>
        </w:rPr>
        <w:t>Regulatory</w:t>
      </w:r>
      <w:r>
        <w:rPr>
          <w:i/>
          <w:spacing w:val="-14"/>
        </w:rPr>
        <w:t xml:space="preserve"> </w:t>
      </w:r>
      <w:r>
        <w:rPr>
          <w:i/>
        </w:rPr>
        <w:t>and</w:t>
      </w:r>
      <w:r>
        <w:rPr>
          <w:i/>
          <w:spacing w:val="-15"/>
        </w:rPr>
        <w:t xml:space="preserve"> </w:t>
      </w:r>
      <w:r>
        <w:rPr>
          <w:i/>
        </w:rPr>
        <w:t>Supervisory</w:t>
      </w:r>
      <w:r>
        <w:rPr>
          <w:i/>
          <w:spacing w:val="-13"/>
        </w:rPr>
        <w:t xml:space="preserve"> </w:t>
      </w:r>
      <w:r>
        <w:rPr>
          <w:i/>
        </w:rPr>
        <w:t>Practices</w:t>
      </w:r>
      <w:r>
        <w:rPr>
          <w:i/>
          <w:spacing w:val="-14"/>
        </w:rPr>
        <w:t xml:space="preserve"> </w:t>
      </w:r>
      <w:r>
        <w:rPr>
          <w:i/>
        </w:rPr>
        <w:t>for</w:t>
      </w:r>
      <w:r>
        <w:rPr>
          <w:i/>
          <w:spacing w:val="-14"/>
        </w:rPr>
        <w:t xml:space="preserve"> </w:t>
      </w:r>
      <w:r>
        <w:rPr>
          <w:i/>
        </w:rPr>
        <w:t>Fintech:</w:t>
      </w:r>
      <w:r>
        <w:rPr>
          <w:i/>
          <w:spacing w:val="-14"/>
        </w:rPr>
        <w:t xml:space="preserve"> </w:t>
      </w:r>
      <w:r>
        <w:rPr>
          <w:i/>
        </w:rPr>
        <w:t>Payments,</w:t>
      </w:r>
      <w:r>
        <w:rPr>
          <w:i/>
          <w:spacing w:val="-14"/>
        </w:rPr>
        <w:t xml:space="preserve"> </w:t>
      </w:r>
      <w:r>
        <w:rPr>
          <w:i/>
        </w:rPr>
        <w:t>Credit and Deposits</w:t>
      </w:r>
      <w:r>
        <w:t>. Washington, DC: World Bank Group.</w:t>
      </w:r>
    </w:p>
    <w:p>
      <w:pPr>
        <w:pStyle w:val="5"/>
        <w:spacing w:before="10"/>
        <w:rPr>
          <w:sz w:val="21"/>
        </w:rPr>
      </w:pPr>
    </w:p>
    <w:p>
      <w:pPr>
        <w:spacing w:before="1"/>
        <w:ind w:left="840" w:hanging="720"/>
      </w:pPr>
      <w:r>
        <w:t xml:space="preserve">World Bank Group and World Economic Forum. 2016. </w:t>
      </w:r>
      <w:r>
        <w:rPr>
          <w:i/>
        </w:rPr>
        <w:t>Innovation in Electronic Payment Adoption: The Case of Small Retailers</w:t>
      </w:r>
      <w:r>
        <w:t>. World Economic Forum, Geneva and World Bank, Washington, DC.</w:t>
      </w:r>
    </w:p>
    <w:p>
      <w:pPr>
        <w:sectPr>
          <w:pgSz w:w="12240" w:h="15840"/>
          <w:pgMar w:top="1360" w:right="1300" w:bottom="280" w:left="1320" w:header="720" w:footer="720" w:gutter="0"/>
          <w:cols w:space="720" w:num="1"/>
        </w:sectPr>
      </w:pPr>
    </w:p>
    <w:p>
      <w:pPr>
        <w:pStyle w:val="5"/>
        <w:rPr>
          <w:sz w:val="20"/>
        </w:rPr>
      </w:pPr>
    </w:p>
    <w:p>
      <w:pPr>
        <w:pStyle w:val="5"/>
        <w:spacing w:before="1"/>
        <w:rPr>
          <w:sz w:val="10"/>
        </w:rPr>
      </w:pPr>
    </w:p>
    <w:p>
      <w:pPr>
        <w:pStyle w:val="5"/>
        <w:spacing w:line="20" w:lineRule="exact"/>
        <w:ind w:left="120"/>
        <w:rPr>
          <w:sz w:val="2"/>
        </w:rPr>
      </w:pPr>
      <w:r>
        <w:rPr>
          <w:sz w:val="2"/>
        </w:rPr>
        <mc:AlternateContent>
          <mc:Choice Requires="wpg">
            <w:drawing>
              <wp:inline distT="0" distB="0" distL="114300" distR="114300">
                <wp:extent cx="1829435" cy="9525"/>
                <wp:effectExtent l="0" t="0" r="0" b="0"/>
                <wp:docPr id="4" name="组合 4"/>
                <wp:cNvGraphicFramePr/>
                <a:graphic xmlns:a="http://schemas.openxmlformats.org/drawingml/2006/main">
                  <a:graphicData uri="http://schemas.microsoft.com/office/word/2010/wordprocessingGroup">
                    <wpg:wgp>
                      <wpg:cNvGrpSpPr/>
                      <wpg:grpSpPr>
                        <a:xfrm>
                          <a:off x="0" y="0"/>
                          <a:ext cx="1829435" cy="9525"/>
                          <a:chOff x="0" y="0"/>
                          <a:chExt cx="2881" cy="15"/>
                        </a:xfrm>
                      </wpg:grpSpPr>
                      <wps:wsp>
                        <wps:cNvPr id="3" name="矩形 3"/>
                        <wps:cNvSpPr/>
                        <wps:spPr>
                          <a:xfrm>
                            <a:off x="0" y="0"/>
                            <a:ext cx="2881"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144.05pt;" coordsize="2881,15" o:gfxdata="UEsDBAoAAAAAAIdO4kAAAAAAAAAAAAAAAAAEAAAAZHJzL1BLAwQUAAAACACHTuJAcoNhU9QAAAAD&#10;AQAADwAAAGRycy9kb3ducmV2LnhtbE2PQUvDQBCF74L/YRnBm92kUglpNqUU9VQEW0G8TbPTJDQ7&#10;G7LbpP33jl708mB4j/e+KVYX16mRhtB6NpDOElDElbct1wY+9i8PGagQkS12nsnAlQKsytubAnPr&#10;J36ncRdrJSUccjTQxNjnWoeqIYdh5nti8Y5+cBjlHGptB5yk3HV6niRP2mHLstBgT5uGqtPu7Ay8&#10;TjitH9PncXs6bq5f+8Xb5zYlY+7v0mQJKtIl/oXhB1/QoRSmgz+zDaozII/EXxVvnmUpqIOEFqDL&#10;Qv9nL78BUEsDBBQAAAAIAIdO4kBwM6pVBwIAAH4EAAAOAAAAZHJzL2Uyb0RvYy54bWyllMuO0zAU&#10;hvdIvIPlPU3TC+pETWdBmW4QjDTwAK7jJJbii47dpt2zYMkbILHjGRCPM+I1OHbSDHQ0UjVkkfhy&#10;zu/zfz7t8vqgGrIX4KTROU1HY0qE5qaQusrpp483rxaUOM90wRqjRU6PwtHr1csXy9ZmYmJq0xQC&#10;CIpol7U2p7X3NksSx2uhmBsZKzRulgYU8ziFKimAtaiummQyHr9OWgOFBcOFc7i67jZprwiXCJqy&#10;lFysDd8poX2nCqJhHi25WlpHV7HashTcfyhLJzxpcopOfXzjITjehneyWrKsAmZryfsS2CUlnHlS&#10;TGo8dJBaM8/IDuQjKSU5GGdKP+JGJZ2RSARdpOMzNhswOxu9VFlb2QE6XtQZ9WfL8vf7WyCyyOmM&#10;Es0UXvjvn5/vv34hs8CmtVWGIRuwd/YW+oWqmwW7hxJU+KIRcohUjwNVcfCE42K6mFzNpnNKOO5d&#10;zSfzDjqv8WYeJfH6bZ82WSzSLieNGcnptCQUNdTQWmxD98DG/R+bu5pZEZG7YLxnMx3YfPtx/+s7&#10;mXZsYsgAxmUOGV1K5Ul7LLPg/EYYRcIgp4BNHHuL7d85j3eAJE4h4TRnGlncyKaJE6i2bxogexYa&#10;Pj6hVkz5J6zRIVibkNZthxUkezIRRltTHBHAzoKsaiwkjUo98Bgd2zKq9z+h0Pd/z2PUw9/G6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yg2FT1AAAAAMBAAAPAAAAAAAAAAEAIAAAACIAAABkcnMv&#10;ZG93bnJldi54bWxQSwECFAAUAAAACACHTuJAcDOqVQcCAAB+BAAADgAAAAAAAAABACAAAAAjAQAA&#10;ZHJzL2Uyb0RvYy54bWxQSwUGAAAAAAYABgBZAQAAnAUAAAAA&#10;">
                <o:lock v:ext="edit" aspectratio="f"/>
                <v:rect id="_x0000_s1026" o:spid="_x0000_s1026" o:spt="1" style="position:absolute;left:0;top:0;height:15;width:2881;" fillcolor="#000000" filled="t" stroked="f" coordsize="21600,2160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v:fill on="t" focussize="0,0"/>
                  <v:stroke on="f"/>
                  <v:imagedata o:title=""/>
                  <o:lock v:ext="edit" aspectratio="f"/>
                </v:rect>
                <w10:wrap type="none"/>
                <w10:anchorlock/>
              </v:group>
            </w:pict>
          </mc:Fallback>
        </mc:AlternateContent>
      </w:r>
    </w:p>
    <w:p>
      <w:pPr>
        <w:pStyle w:val="5"/>
        <w:spacing w:before="94"/>
        <w:ind w:left="120" w:right="134"/>
      </w:pPr>
      <w:r>
        <w:rPr>
          <w:vertAlign w:val="superscript"/>
        </w:rPr>
        <w:t>1</w:t>
      </w:r>
      <w:r>
        <w:rPr>
          <w:spacing w:val="80"/>
        </w:rPr>
        <w:t xml:space="preserve"> </w:t>
      </w:r>
      <w:r>
        <w:t>Enterprise</w:t>
      </w:r>
      <w:r>
        <w:rPr>
          <w:spacing w:val="80"/>
        </w:rPr>
        <w:t xml:space="preserve"> </w:t>
      </w:r>
      <w:r>
        <w:t>Surveys,</w:t>
      </w:r>
      <w:r>
        <w:rPr>
          <w:spacing w:val="80"/>
        </w:rPr>
        <w:t xml:space="preserve"> </w:t>
      </w:r>
      <w:r>
        <w:t>World</w:t>
      </w:r>
      <w:r>
        <w:rPr>
          <w:spacing w:val="80"/>
        </w:rPr>
        <w:t xml:space="preserve"> </w:t>
      </w:r>
      <w:r>
        <w:t>Bank,</w:t>
      </w:r>
      <w:r>
        <w:rPr>
          <w:spacing w:val="80"/>
        </w:rPr>
        <w:t xml:space="preserve"> </w:t>
      </w:r>
      <w:r>
        <w:t>https://</w:t>
      </w:r>
      <w:r>
        <w:fldChar w:fldCharType="begin"/>
      </w:r>
      <w:r>
        <w:instrText xml:space="preserve"> HYPERLINK "http://www.enterprisesurveys.org/en/data/exploretopics/biggest-" \h </w:instrText>
      </w:r>
      <w:r>
        <w:fldChar w:fldCharType="separate"/>
      </w:r>
      <w:r>
        <w:t>www.enterprisesurveys.org/en/data/exploretopics/biggest-</w:t>
      </w:r>
      <w:r>
        <w:fldChar w:fldCharType="end"/>
      </w:r>
      <w:r>
        <w:t xml:space="preserve"> </w:t>
      </w:r>
      <w:r>
        <w:rPr>
          <w:spacing w:val="-2"/>
        </w:rPr>
        <w:t>obstacle.</w:t>
      </w:r>
    </w:p>
    <w:p>
      <w:pPr>
        <w:pStyle w:val="5"/>
        <w:ind w:left="120"/>
      </w:pPr>
      <w:r>
        <w:rPr>
          <w:vertAlign w:val="superscript"/>
        </w:rPr>
        <w:t>2</w:t>
      </w:r>
      <w:r>
        <w:rPr>
          <w:spacing w:val="-3"/>
        </w:rPr>
        <w:t xml:space="preserve"> </w:t>
      </w:r>
      <w:r>
        <w:t>Qi</w:t>
      </w:r>
      <w:r>
        <w:rPr>
          <w:spacing w:val="-2"/>
        </w:rPr>
        <w:t xml:space="preserve"> </w:t>
      </w:r>
      <w:r>
        <w:t>and</w:t>
      </w:r>
      <w:r>
        <w:rPr>
          <w:spacing w:val="-3"/>
        </w:rPr>
        <w:t xml:space="preserve"> </w:t>
      </w:r>
      <w:r>
        <w:t>Ongena</w:t>
      </w:r>
      <w:r>
        <w:rPr>
          <w:spacing w:val="-4"/>
        </w:rPr>
        <w:t xml:space="preserve"> </w:t>
      </w:r>
      <w:r>
        <w:t>(2019)</w:t>
      </w:r>
      <w:r>
        <w:rPr>
          <w:rFonts w:hint="eastAsia" w:eastAsia="宋体"/>
          <w:lang w:eastAsia="zh-CN"/>
        </w:rPr>
        <w:t>；</w:t>
      </w:r>
      <w:r>
        <w:rPr>
          <w:spacing w:val="-5"/>
        </w:rPr>
        <w:t xml:space="preserve"> </w:t>
      </w:r>
      <w:r>
        <w:t>Wellalage</w:t>
      </w:r>
      <w:r>
        <w:rPr>
          <w:spacing w:val="-3"/>
        </w:rPr>
        <w:t xml:space="preserve"> </w:t>
      </w:r>
      <w:r>
        <w:t>and</w:t>
      </w:r>
      <w:r>
        <w:rPr>
          <w:spacing w:val="-5"/>
        </w:rPr>
        <w:t xml:space="preserve"> </w:t>
      </w:r>
      <w:r>
        <w:t>Fernandez</w:t>
      </w:r>
      <w:r>
        <w:rPr>
          <w:spacing w:val="-3"/>
        </w:rPr>
        <w:t xml:space="preserve"> </w:t>
      </w:r>
      <w:r>
        <w:t>(2019)</w:t>
      </w:r>
      <w:r>
        <w:rPr>
          <w:rFonts w:hint="eastAsia" w:eastAsia="宋体"/>
          <w:lang w:eastAsia="zh-CN"/>
        </w:rPr>
        <w:t>；</w:t>
      </w:r>
      <w:r>
        <w:rPr>
          <w:spacing w:val="-5"/>
        </w:rPr>
        <w:t xml:space="preserve"> </w:t>
      </w:r>
      <w:r>
        <w:t>Wellalage</w:t>
      </w:r>
      <w:r>
        <w:rPr>
          <w:spacing w:val="-3"/>
        </w:rPr>
        <w:t xml:space="preserve"> </w:t>
      </w:r>
      <w:r>
        <w:t>and</w:t>
      </w:r>
      <w:r>
        <w:rPr>
          <w:spacing w:val="-5"/>
        </w:rPr>
        <w:t xml:space="preserve"> </w:t>
      </w:r>
      <w:r>
        <w:t>Locke</w:t>
      </w:r>
      <w:r>
        <w:rPr>
          <w:spacing w:val="-5"/>
        </w:rPr>
        <w:t xml:space="preserve"> </w:t>
      </w:r>
      <w:r>
        <w:rPr>
          <w:spacing w:val="-2"/>
        </w:rPr>
        <w:t>(2020).</w:t>
      </w:r>
    </w:p>
    <w:p>
      <w:pPr>
        <w:pStyle w:val="5"/>
        <w:spacing w:before="1" w:line="252" w:lineRule="exact"/>
        <w:ind w:left="120"/>
      </w:pPr>
      <w:r>
        <w:rPr>
          <w:vertAlign w:val="superscript"/>
        </w:rPr>
        <w:t>3</w:t>
      </w:r>
      <w:r>
        <w:rPr>
          <w:spacing w:val="-3"/>
        </w:rPr>
        <w:t xml:space="preserve"> </w:t>
      </w:r>
      <w:r>
        <w:t>Amin</w:t>
      </w:r>
      <w:r>
        <w:rPr>
          <w:spacing w:val="-5"/>
        </w:rPr>
        <w:t xml:space="preserve"> </w:t>
      </w:r>
      <w:r>
        <w:t>and</w:t>
      </w:r>
      <w:r>
        <w:rPr>
          <w:spacing w:val="-2"/>
        </w:rPr>
        <w:t xml:space="preserve"> </w:t>
      </w:r>
      <w:r>
        <w:t>Viganola</w:t>
      </w:r>
      <w:r>
        <w:rPr>
          <w:spacing w:val="-4"/>
        </w:rPr>
        <w:t xml:space="preserve"> </w:t>
      </w:r>
      <w:r>
        <w:t>(2021)</w:t>
      </w:r>
      <w:r>
        <w:rPr>
          <w:rFonts w:hint="eastAsia" w:eastAsia="宋体"/>
          <w:lang w:eastAsia="zh-CN"/>
        </w:rPr>
        <w:t>；</w:t>
      </w:r>
      <w:r>
        <w:rPr>
          <w:spacing w:val="-1"/>
        </w:rPr>
        <w:t xml:space="preserve"> </w:t>
      </w:r>
      <w:r>
        <w:t>Hu</w:t>
      </w:r>
      <w:r>
        <w:rPr>
          <w:spacing w:val="-3"/>
        </w:rPr>
        <w:t xml:space="preserve"> </w:t>
      </w:r>
      <w:r>
        <w:t>and</w:t>
      </w:r>
      <w:r>
        <w:rPr>
          <w:spacing w:val="-2"/>
        </w:rPr>
        <w:t xml:space="preserve"> </w:t>
      </w:r>
      <w:r>
        <w:t>Zhang</w:t>
      </w:r>
      <w:r>
        <w:rPr>
          <w:spacing w:val="-4"/>
        </w:rPr>
        <w:t xml:space="preserve"> </w:t>
      </w:r>
      <w:r>
        <w:rPr>
          <w:spacing w:val="-2"/>
        </w:rPr>
        <w:t>(2021).</w:t>
      </w:r>
    </w:p>
    <w:p>
      <w:pPr>
        <w:pStyle w:val="5"/>
        <w:spacing w:line="252" w:lineRule="exact"/>
        <w:ind w:left="120"/>
      </w:pPr>
      <w:r>
        <w:rPr>
          <w:vertAlign w:val="superscript"/>
        </w:rPr>
        <w:t>4</w:t>
      </w:r>
      <w:r>
        <w:rPr>
          <w:spacing w:val="-4"/>
        </w:rPr>
        <w:t xml:space="preserve"> </w:t>
      </w:r>
      <w:r>
        <w:t>Ayyagari</w:t>
      </w:r>
      <w:r>
        <w:rPr>
          <w:spacing w:val="-2"/>
        </w:rPr>
        <w:t xml:space="preserve"> </w:t>
      </w:r>
      <w:r>
        <w:t>et</w:t>
      </w:r>
      <w:r>
        <w:rPr>
          <w:spacing w:val="-2"/>
        </w:rPr>
        <w:t xml:space="preserve"> </w:t>
      </w:r>
      <w:r>
        <w:t>al.</w:t>
      </w:r>
      <w:r>
        <w:rPr>
          <w:spacing w:val="-3"/>
        </w:rPr>
        <w:t xml:space="preserve"> </w:t>
      </w:r>
      <w:r>
        <w:t>(2021)</w:t>
      </w:r>
      <w:r>
        <w:rPr>
          <w:rFonts w:hint="eastAsia" w:eastAsia="宋体"/>
          <w:lang w:eastAsia="zh-CN"/>
        </w:rPr>
        <w:t>；</w:t>
      </w:r>
      <w:r>
        <w:rPr>
          <w:spacing w:val="-3"/>
        </w:rPr>
        <w:t xml:space="preserve"> </w:t>
      </w:r>
      <w:r>
        <w:t>Siemer</w:t>
      </w:r>
      <w:r>
        <w:rPr>
          <w:spacing w:val="-4"/>
        </w:rPr>
        <w:t xml:space="preserve"> </w:t>
      </w:r>
      <w:r>
        <w:rPr>
          <w:spacing w:val="-2"/>
        </w:rPr>
        <w:t>(2019).</w:t>
      </w:r>
    </w:p>
    <w:p>
      <w:pPr>
        <w:pStyle w:val="5"/>
        <w:spacing w:line="252" w:lineRule="exact"/>
        <w:ind w:left="120"/>
      </w:pPr>
      <w:r>
        <w:rPr>
          <w:vertAlign w:val="superscript"/>
        </w:rPr>
        <w:t>5</w:t>
      </w:r>
      <w:r>
        <w:rPr>
          <w:spacing w:val="-19"/>
        </w:rPr>
        <w:t xml:space="preserve"> </w:t>
      </w:r>
      <w:r>
        <w:t>He</w:t>
      </w:r>
      <w:r>
        <w:rPr>
          <w:spacing w:val="-2"/>
        </w:rPr>
        <w:t xml:space="preserve"> </w:t>
      </w:r>
      <w:r>
        <w:t>et</w:t>
      </w:r>
      <w:r>
        <w:rPr>
          <w:spacing w:val="-2"/>
        </w:rPr>
        <w:t xml:space="preserve"> </w:t>
      </w:r>
      <w:r>
        <w:t>al.</w:t>
      </w:r>
      <w:r>
        <w:rPr>
          <w:spacing w:val="-3"/>
        </w:rPr>
        <w:t xml:space="preserve"> </w:t>
      </w:r>
      <w:r>
        <w:rPr>
          <w:spacing w:val="-2"/>
        </w:rPr>
        <w:t>(2019).</w:t>
      </w:r>
    </w:p>
    <w:p>
      <w:pPr>
        <w:pStyle w:val="5"/>
        <w:spacing w:before="2" w:line="252" w:lineRule="exact"/>
        <w:ind w:left="120"/>
      </w:pPr>
      <w:r>
        <w:rPr>
          <w:vertAlign w:val="superscript"/>
        </w:rPr>
        <w:t>6</w:t>
      </w:r>
      <w:r>
        <w:rPr>
          <w:spacing w:val="-1"/>
        </w:rPr>
        <w:t xml:space="preserve"> </w:t>
      </w:r>
      <w:r>
        <w:t>Celik</w:t>
      </w:r>
      <w:r>
        <w:rPr>
          <w:spacing w:val="-4"/>
        </w:rPr>
        <w:t xml:space="preserve"> </w:t>
      </w:r>
      <w:r>
        <w:rPr>
          <w:spacing w:val="-2"/>
        </w:rPr>
        <w:t>(2021).</w:t>
      </w:r>
    </w:p>
    <w:p>
      <w:pPr>
        <w:pStyle w:val="5"/>
        <w:spacing w:line="252" w:lineRule="exact"/>
        <w:ind w:left="120"/>
      </w:pPr>
      <w:r>
        <w:rPr>
          <w:vertAlign w:val="superscript"/>
        </w:rPr>
        <w:t>7</w:t>
      </w:r>
      <w:r>
        <w:rPr>
          <w:spacing w:val="-2"/>
        </w:rPr>
        <w:t xml:space="preserve"> </w:t>
      </w:r>
      <w:r>
        <w:t>World</w:t>
      </w:r>
      <w:r>
        <w:rPr>
          <w:spacing w:val="-1"/>
        </w:rPr>
        <w:t xml:space="preserve"> </w:t>
      </w:r>
      <w:r>
        <w:t>Bank</w:t>
      </w:r>
      <w:r>
        <w:rPr>
          <w:spacing w:val="-4"/>
        </w:rPr>
        <w:t xml:space="preserve"> </w:t>
      </w:r>
      <w:r>
        <w:rPr>
          <w:spacing w:val="-2"/>
        </w:rPr>
        <w:t>(2015).</w:t>
      </w:r>
    </w:p>
    <w:p>
      <w:pPr>
        <w:pStyle w:val="5"/>
        <w:spacing w:before="1" w:line="252" w:lineRule="exact"/>
        <w:ind w:left="120"/>
      </w:pPr>
      <w:r>
        <w:rPr>
          <w:vertAlign w:val="superscript"/>
        </w:rPr>
        <w:t>8</w:t>
      </w:r>
      <w:r>
        <w:rPr>
          <w:spacing w:val="-3"/>
        </w:rPr>
        <w:t xml:space="preserve"> </w:t>
      </w:r>
      <w:r>
        <w:t>Brown,</w:t>
      </w:r>
      <w:r>
        <w:rPr>
          <w:spacing w:val="-3"/>
        </w:rPr>
        <w:t xml:space="preserve"> </w:t>
      </w:r>
      <w:r>
        <w:t>Jappelli,</w:t>
      </w:r>
      <w:r>
        <w:rPr>
          <w:spacing w:val="-3"/>
        </w:rPr>
        <w:t xml:space="preserve"> </w:t>
      </w:r>
      <w:r>
        <w:t>and</w:t>
      </w:r>
      <w:r>
        <w:rPr>
          <w:spacing w:val="-3"/>
        </w:rPr>
        <w:t xml:space="preserve"> </w:t>
      </w:r>
      <w:r>
        <w:t>Pagano</w:t>
      </w:r>
      <w:r>
        <w:rPr>
          <w:spacing w:val="-2"/>
        </w:rPr>
        <w:t xml:space="preserve"> </w:t>
      </w:r>
      <w:r>
        <w:t>(2009)</w:t>
      </w:r>
      <w:r>
        <w:rPr>
          <w:rFonts w:hint="eastAsia" w:eastAsia="宋体"/>
          <w:lang w:eastAsia="zh-CN"/>
        </w:rPr>
        <w:t>；</w:t>
      </w:r>
      <w:r>
        <w:rPr>
          <w:spacing w:val="-2"/>
        </w:rPr>
        <w:t xml:space="preserve"> </w:t>
      </w:r>
      <w:r>
        <w:t>Martinez</w:t>
      </w:r>
      <w:r>
        <w:rPr>
          <w:spacing w:val="-3"/>
        </w:rPr>
        <w:t xml:space="preserve"> </w:t>
      </w:r>
      <w:r>
        <w:t>Peria</w:t>
      </w:r>
      <w:r>
        <w:rPr>
          <w:spacing w:val="46"/>
        </w:rPr>
        <w:t xml:space="preserve"> </w:t>
      </w:r>
      <w:r>
        <w:t>and</w:t>
      </w:r>
      <w:r>
        <w:rPr>
          <w:spacing w:val="-3"/>
        </w:rPr>
        <w:t xml:space="preserve"> </w:t>
      </w:r>
      <w:r>
        <w:t>Singh</w:t>
      </w:r>
      <w:r>
        <w:rPr>
          <w:spacing w:val="-3"/>
        </w:rPr>
        <w:t xml:space="preserve"> </w:t>
      </w:r>
      <w:r>
        <w:rPr>
          <w:spacing w:val="-2"/>
        </w:rPr>
        <w:t>(2014).</w:t>
      </w:r>
    </w:p>
    <w:p>
      <w:pPr>
        <w:pStyle w:val="5"/>
        <w:spacing w:line="252" w:lineRule="exact"/>
        <w:ind w:left="120"/>
      </w:pPr>
      <w:r>
        <w:rPr>
          <w:vertAlign w:val="superscript"/>
        </w:rPr>
        <w:t>9</w:t>
      </w:r>
      <w:r>
        <w:rPr>
          <w:spacing w:val="-2"/>
        </w:rPr>
        <w:t xml:space="preserve"> </w:t>
      </w:r>
      <w:r>
        <w:t>World</w:t>
      </w:r>
      <w:r>
        <w:rPr>
          <w:spacing w:val="-1"/>
        </w:rPr>
        <w:t xml:space="preserve"> </w:t>
      </w:r>
      <w:r>
        <w:t>Bank</w:t>
      </w:r>
      <w:r>
        <w:rPr>
          <w:spacing w:val="-4"/>
        </w:rPr>
        <w:t xml:space="preserve"> </w:t>
      </w:r>
      <w:r>
        <w:rPr>
          <w:spacing w:val="-2"/>
        </w:rPr>
        <w:t>(2020a).</w:t>
      </w:r>
    </w:p>
    <w:p>
      <w:pPr>
        <w:pStyle w:val="5"/>
        <w:ind w:left="120"/>
      </w:pPr>
      <w:r>
        <w:rPr>
          <w:vertAlign w:val="superscript"/>
        </w:rPr>
        <w:t>10</w:t>
      </w:r>
      <w:r>
        <w:rPr>
          <w:spacing w:val="-4"/>
        </w:rPr>
        <w:t xml:space="preserve"> </w:t>
      </w:r>
      <w:r>
        <w:t>Immordino</w:t>
      </w:r>
      <w:r>
        <w:rPr>
          <w:spacing w:val="-3"/>
        </w:rPr>
        <w:t xml:space="preserve"> </w:t>
      </w:r>
      <w:r>
        <w:t>and</w:t>
      </w:r>
      <w:r>
        <w:rPr>
          <w:spacing w:val="-4"/>
        </w:rPr>
        <w:t xml:space="preserve"> </w:t>
      </w:r>
      <w:r>
        <w:t>Russo</w:t>
      </w:r>
      <w:r>
        <w:rPr>
          <w:spacing w:val="-6"/>
        </w:rPr>
        <w:t xml:space="preserve"> </w:t>
      </w:r>
      <w:r>
        <w:rPr>
          <w:spacing w:val="-2"/>
        </w:rPr>
        <w:t>(2018).</w:t>
      </w:r>
    </w:p>
    <w:p>
      <w:pPr>
        <w:pStyle w:val="5"/>
        <w:spacing w:before="1" w:line="252" w:lineRule="exact"/>
        <w:ind w:left="120"/>
      </w:pPr>
      <w:r>
        <w:rPr>
          <w:vertAlign w:val="superscript"/>
        </w:rPr>
        <w:t>11</w:t>
      </w:r>
      <w:r>
        <w:rPr>
          <w:spacing w:val="-4"/>
        </w:rPr>
        <w:t xml:space="preserve"> </w:t>
      </w:r>
      <w:r>
        <w:t>Këlliçi</w:t>
      </w:r>
      <w:r>
        <w:rPr>
          <w:spacing w:val="-3"/>
        </w:rPr>
        <w:t xml:space="preserve"> </w:t>
      </w:r>
      <w:r>
        <w:t>and</w:t>
      </w:r>
      <w:r>
        <w:rPr>
          <w:spacing w:val="-4"/>
        </w:rPr>
        <w:t xml:space="preserve"> </w:t>
      </w:r>
      <w:r>
        <w:t>Baholli</w:t>
      </w:r>
      <w:r>
        <w:rPr>
          <w:spacing w:val="-2"/>
        </w:rPr>
        <w:t xml:space="preserve"> (2015).</w:t>
      </w:r>
    </w:p>
    <w:p>
      <w:pPr>
        <w:pStyle w:val="5"/>
        <w:spacing w:line="252" w:lineRule="exact"/>
        <w:ind w:left="120"/>
      </w:pPr>
      <w:r>
        <w:rPr>
          <w:vertAlign w:val="superscript"/>
        </w:rPr>
        <w:t>12</w:t>
      </w:r>
      <w:r>
        <w:rPr>
          <w:spacing w:val="-3"/>
        </w:rPr>
        <w:t xml:space="preserve"> </w:t>
      </w:r>
      <w:r>
        <w:t>FATF</w:t>
      </w:r>
      <w:r>
        <w:rPr>
          <w:spacing w:val="-3"/>
        </w:rPr>
        <w:t xml:space="preserve"> </w:t>
      </w:r>
      <w:r>
        <w:rPr>
          <w:spacing w:val="-2"/>
        </w:rPr>
        <w:t>(2012–2023).</w:t>
      </w:r>
    </w:p>
    <w:p>
      <w:pPr>
        <w:pStyle w:val="5"/>
        <w:spacing w:before="2" w:line="252" w:lineRule="exact"/>
        <w:ind w:left="120"/>
      </w:pPr>
      <w:r>
        <w:rPr>
          <w:vertAlign w:val="superscript"/>
        </w:rPr>
        <w:t>13</w:t>
      </w:r>
      <w:r>
        <w:rPr>
          <w:spacing w:val="-3"/>
        </w:rPr>
        <w:t xml:space="preserve"> </w:t>
      </w:r>
      <w:r>
        <w:t>FATF</w:t>
      </w:r>
      <w:r>
        <w:rPr>
          <w:spacing w:val="-3"/>
        </w:rPr>
        <w:t xml:space="preserve"> </w:t>
      </w:r>
      <w:r>
        <w:rPr>
          <w:spacing w:val="-2"/>
        </w:rPr>
        <w:t>(2013–2017).</w:t>
      </w:r>
    </w:p>
    <w:p>
      <w:pPr>
        <w:pStyle w:val="5"/>
        <w:spacing w:line="252" w:lineRule="exact"/>
        <w:ind w:left="120"/>
      </w:pPr>
      <w:r>
        <w:rPr>
          <w:vertAlign w:val="superscript"/>
        </w:rPr>
        <w:t>14</w:t>
      </w:r>
      <w:r>
        <w:rPr>
          <w:spacing w:val="-3"/>
        </w:rPr>
        <w:t xml:space="preserve"> </w:t>
      </w:r>
      <w:r>
        <w:t>FATF</w:t>
      </w:r>
      <w:r>
        <w:rPr>
          <w:spacing w:val="-3"/>
        </w:rPr>
        <w:t xml:space="preserve"> </w:t>
      </w:r>
      <w:r>
        <w:rPr>
          <w:spacing w:val="-2"/>
        </w:rPr>
        <w:t>(2020).</w:t>
      </w:r>
    </w:p>
    <w:p>
      <w:pPr>
        <w:pStyle w:val="5"/>
        <w:spacing w:line="252" w:lineRule="exact"/>
        <w:ind w:left="120"/>
        <w:jc w:val="both"/>
      </w:pPr>
      <w:r>
        <w:rPr>
          <w:vertAlign w:val="superscript"/>
        </w:rPr>
        <w:t>15</w:t>
      </w:r>
      <w:r>
        <w:rPr>
          <w:spacing w:val="-3"/>
        </w:rPr>
        <w:t xml:space="preserve"> </w:t>
      </w:r>
      <w:r>
        <w:t>FATF</w:t>
      </w:r>
      <w:r>
        <w:rPr>
          <w:spacing w:val="-3"/>
        </w:rPr>
        <w:t xml:space="preserve"> </w:t>
      </w:r>
      <w:r>
        <w:rPr>
          <w:spacing w:val="-2"/>
        </w:rPr>
        <w:t>(2012–2023).</w:t>
      </w:r>
    </w:p>
    <w:p>
      <w:pPr>
        <w:pStyle w:val="5"/>
        <w:spacing w:before="1"/>
        <w:ind w:left="120" w:right="136"/>
        <w:jc w:val="both"/>
      </w:pPr>
      <w:r>
        <w:rPr>
          <w:vertAlign w:val="superscript"/>
        </w:rPr>
        <w:t>16</w:t>
      </w:r>
      <w:r>
        <w:t xml:space="preserve"> Joint Committee of the European Supervisory Authorities (JC 2017 37, 26/06/2017): </w:t>
      </w:r>
      <w:r>
        <w:rPr>
          <w:rFonts w:hint="eastAsia" w:eastAsia="宋体"/>
          <w:lang w:eastAsia="zh-CN"/>
        </w:rPr>
        <w:t>“</w:t>
      </w:r>
      <w:r>
        <w:t>Joint guidelines under</w:t>
      </w:r>
      <w:r>
        <w:rPr>
          <w:spacing w:val="-11"/>
        </w:rPr>
        <w:t xml:space="preserve"> </w:t>
      </w:r>
      <w:r>
        <w:t>Articles</w:t>
      </w:r>
      <w:r>
        <w:rPr>
          <w:spacing w:val="-11"/>
        </w:rPr>
        <w:t xml:space="preserve"> </w:t>
      </w:r>
      <w:r>
        <w:t>17</w:t>
      </w:r>
      <w:r>
        <w:rPr>
          <w:spacing w:val="-14"/>
        </w:rPr>
        <w:t xml:space="preserve"> </w:t>
      </w:r>
      <w:r>
        <w:t>and</w:t>
      </w:r>
      <w:r>
        <w:rPr>
          <w:spacing w:val="-12"/>
        </w:rPr>
        <w:t xml:space="preserve"> </w:t>
      </w:r>
      <w:r>
        <w:t>18(4)</w:t>
      </w:r>
      <w:r>
        <w:rPr>
          <w:spacing w:val="-14"/>
        </w:rPr>
        <w:t xml:space="preserve"> </w:t>
      </w:r>
      <w:r>
        <w:t>of</w:t>
      </w:r>
      <w:r>
        <w:rPr>
          <w:spacing w:val="-11"/>
        </w:rPr>
        <w:t xml:space="preserve"> </w:t>
      </w:r>
      <w:r>
        <w:t>Directive</w:t>
      </w:r>
      <w:r>
        <w:rPr>
          <w:spacing w:val="-12"/>
        </w:rPr>
        <w:t xml:space="preserve"> </w:t>
      </w:r>
      <w:r>
        <w:t>(EU)</w:t>
      </w:r>
      <w:r>
        <w:rPr>
          <w:spacing w:val="-9"/>
        </w:rPr>
        <w:t xml:space="preserve"> </w:t>
      </w:r>
      <w:r>
        <w:t>2015/849</w:t>
      </w:r>
      <w:r>
        <w:rPr>
          <w:spacing w:val="-14"/>
        </w:rPr>
        <w:t xml:space="preserve"> </w:t>
      </w:r>
      <w:r>
        <w:t>on</w:t>
      </w:r>
      <w:r>
        <w:rPr>
          <w:spacing w:val="-12"/>
        </w:rPr>
        <w:t xml:space="preserve"> </w:t>
      </w:r>
      <w:r>
        <w:t>simplified</w:t>
      </w:r>
      <w:r>
        <w:rPr>
          <w:spacing w:val="-12"/>
        </w:rPr>
        <w:t xml:space="preserve"> </w:t>
      </w:r>
      <w:r>
        <w:t>and</w:t>
      </w:r>
      <w:r>
        <w:rPr>
          <w:spacing w:val="-12"/>
        </w:rPr>
        <w:t xml:space="preserve"> </w:t>
      </w:r>
      <w:r>
        <w:t>enhanced</w:t>
      </w:r>
      <w:r>
        <w:rPr>
          <w:spacing w:val="-14"/>
        </w:rPr>
        <w:t xml:space="preserve"> </w:t>
      </w:r>
      <w:r>
        <w:t>customer</w:t>
      </w:r>
      <w:r>
        <w:rPr>
          <w:spacing w:val="-11"/>
        </w:rPr>
        <w:t xml:space="preserve"> </w:t>
      </w:r>
      <w:r>
        <w:t>due</w:t>
      </w:r>
      <w:r>
        <w:rPr>
          <w:spacing w:val="-12"/>
        </w:rPr>
        <w:t xml:space="preserve"> </w:t>
      </w:r>
      <w:r>
        <w:t>diligence and the factors credit and financial institutions should consider when assessing the money laundering and terrorist financing risk associated with individual business relationships and occasional transactions (the Risk Factors Guidelines).</w:t>
      </w:r>
      <w:r>
        <w:rPr>
          <w:rFonts w:hint="eastAsia" w:eastAsia="宋体"/>
          <w:lang w:eastAsia="zh-CN"/>
        </w:rPr>
        <w:t>”</w:t>
      </w:r>
      <w:r>
        <w:t xml:space="preserve"> BCBS (2014) (rev. July 2020), https://</w:t>
      </w:r>
      <w:r>
        <w:fldChar w:fldCharType="begin"/>
      </w:r>
      <w:r>
        <w:instrText xml:space="preserve"> HYPERLINK "http://www.bis.org/bcbs/publ/d505.pdf" \h </w:instrText>
      </w:r>
      <w:r>
        <w:fldChar w:fldCharType="separate"/>
      </w:r>
      <w:r>
        <w:t>www.bis.org/bcbs/publ/d505.pdf.</w:t>
      </w:r>
      <w:r>
        <w:fldChar w:fldCharType="end"/>
      </w:r>
    </w:p>
    <w:p>
      <w:pPr>
        <w:pStyle w:val="5"/>
        <w:spacing w:line="253" w:lineRule="exact"/>
        <w:ind w:left="120"/>
        <w:jc w:val="both"/>
      </w:pPr>
      <w:r>
        <w:rPr>
          <w:vertAlign w:val="superscript"/>
        </w:rPr>
        <w:t>17</w:t>
      </w:r>
      <w:r>
        <w:rPr>
          <w:spacing w:val="-3"/>
        </w:rPr>
        <w:t xml:space="preserve"> </w:t>
      </w:r>
      <w:r>
        <w:t>FATF</w:t>
      </w:r>
      <w:r>
        <w:rPr>
          <w:spacing w:val="-4"/>
        </w:rPr>
        <w:t xml:space="preserve"> </w:t>
      </w:r>
      <w:r>
        <w:t>(2012–2023)</w:t>
      </w:r>
      <w:r>
        <w:rPr>
          <w:rFonts w:hint="eastAsia" w:eastAsia="宋体"/>
          <w:lang w:eastAsia="zh-CN"/>
        </w:rPr>
        <w:t>；</w:t>
      </w:r>
      <w:r>
        <w:rPr>
          <w:spacing w:val="-3"/>
        </w:rPr>
        <w:t xml:space="preserve"> </w:t>
      </w:r>
      <w:r>
        <w:t>FATF</w:t>
      </w:r>
      <w:r>
        <w:rPr>
          <w:spacing w:val="-6"/>
        </w:rPr>
        <w:t xml:space="preserve"> </w:t>
      </w:r>
      <w:r>
        <w:rPr>
          <w:spacing w:val="-2"/>
        </w:rPr>
        <w:t>(2014).</w:t>
      </w:r>
    </w:p>
    <w:p>
      <w:pPr>
        <w:pStyle w:val="5"/>
        <w:spacing w:line="253" w:lineRule="exact"/>
        <w:ind w:left="120"/>
      </w:pPr>
      <w:r>
        <w:rPr>
          <w:vertAlign w:val="superscript"/>
        </w:rPr>
        <w:t>18</w:t>
      </w:r>
      <w:r>
        <w:rPr>
          <w:spacing w:val="-3"/>
        </w:rPr>
        <w:t xml:space="preserve"> </w:t>
      </w:r>
      <w:r>
        <w:t>FATF</w:t>
      </w:r>
      <w:r>
        <w:rPr>
          <w:spacing w:val="-3"/>
        </w:rPr>
        <w:t xml:space="preserve"> </w:t>
      </w:r>
      <w:r>
        <w:rPr>
          <w:spacing w:val="-2"/>
        </w:rPr>
        <w:t>(2014).</w:t>
      </w:r>
    </w:p>
    <w:p>
      <w:pPr>
        <w:pStyle w:val="5"/>
        <w:spacing w:before="2"/>
        <w:ind w:left="120" w:right="137"/>
        <w:jc w:val="both"/>
        <w:rPr>
          <w:rFonts w:eastAsia="宋体"/>
          <w:lang w:eastAsia="zh-CN"/>
        </w:rPr>
      </w:pPr>
      <w:r>
        <w:rPr>
          <w:vertAlign w:val="superscript"/>
        </w:rPr>
        <w:t>19</w:t>
      </w:r>
      <w:r>
        <w:t xml:space="preserve"> Joint Committee of the European Supervisory Authorities (JC 2017 37, 26/06/2017): </w:t>
      </w:r>
      <w:r>
        <w:rPr>
          <w:rFonts w:hint="eastAsia" w:eastAsia="宋体"/>
          <w:lang w:eastAsia="zh-CN"/>
        </w:rPr>
        <w:t>“</w:t>
      </w:r>
      <w:r>
        <w:t>Joint guidelines under</w:t>
      </w:r>
      <w:r>
        <w:rPr>
          <w:spacing w:val="-11"/>
        </w:rPr>
        <w:t xml:space="preserve"> </w:t>
      </w:r>
      <w:r>
        <w:t>Articles</w:t>
      </w:r>
      <w:r>
        <w:rPr>
          <w:spacing w:val="-11"/>
        </w:rPr>
        <w:t xml:space="preserve"> </w:t>
      </w:r>
      <w:r>
        <w:t>17</w:t>
      </w:r>
      <w:r>
        <w:rPr>
          <w:spacing w:val="-14"/>
        </w:rPr>
        <w:t xml:space="preserve"> </w:t>
      </w:r>
      <w:r>
        <w:t>and</w:t>
      </w:r>
      <w:r>
        <w:rPr>
          <w:spacing w:val="-12"/>
        </w:rPr>
        <w:t xml:space="preserve"> </w:t>
      </w:r>
      <w:r>
        <w:t>18(4)</w:t>
      </w:r>
      <w:r>
        <w:rPr>
          <w:spacing w:val="-14"/>
        </w:rPr>
        <w:t xml:space="preserve"> </w:t>
      </w:r>
      <w:r>
        <w:t>of</w:t>
      </w:r>
      <w:r>
        <w:rPr>
          <w:spacing w:val="-11"/>
        </w:rPr>
        <w:t xml:space="preserve"> </w:t>
      </w:r>
      <w:r>
        <w:t>Directive</w:t>
      </w:r>
      <w:r>
        <w:rPr>
          <w:spacing w:val="-12"/>
        </w:rPr>
        <w:t xml:space="preserve"> </w:t>
      </w:r>
      <w:r>
        <w:t>(EU)</w:t>
      </w:r>
      <w:r>
        <w:rPr>
          <w:spacing w:val="-11"/>
        </w:rPr>
        <w:t xml:space="preserve"> </w:t>
      </w:r>
      <w:r>
        <w:t>2015/849</w:t>
      </w:r>
      <w:r>
        <w:rPr>
          <w:spacing w:val="-14"/>
        </w:rPr>
        <w:t xml:space="preserve"> </w:t>
      </w:r>
      <w:r>
        <w:t>on</w:t>
      </w:r>
      <w:r>
        <w:rPr>
          <w:spacing w:val="-12"/>
        </w:rPr>
        <w:t xml:space="preserve"> </w:t>
      </w:r>
      <w:r>
        <w:t>simplified</w:t>
      </w:r>
      <w:r>
        <w:rPr>
          <w:spacing w:val="-12"/>
        </w:rPr>
        <w:t xml:space="preserve"> </w:t>
      </w:r>
      <w:r>
        <w:t>and</w:t>
      </w:r>
      <w:r>
        <w:rPr>
          <w:spacing w:val="-12"/>
        </w:rPr>
        <w:t xml:space="preserve"> </w:t>
      </w:r>
      <w:r>
        <w:t>enhanced</w:t>
      </w:r>
      <w:r>
        <w:rPr>
          <w:spacing w:val="-14"/>
        </w:rPr>
        <w:t xml:space="preserve"> </w:t>
      </w:r>
      <w:r>
        <w:t>customer</w:t>
      </w:r>
      <w:r>
        <w:rPr>
          <w:spacing w:val="-11"/>
        </w:rPr>
        <w:t xml:space="preserve"> </w:t>
      </w:r>
      <w:r>
        <w:t>due</w:t>
      </w:r>
      <w:r>
        <w:rPr>
          <w:spacing w:val="-12"/>
        </w:rPr>
        <w:t xml:space="preserve"> </w:t>
      </w:r>
      <w:r>
        <w:t>diligence and the factors credit and financial institutions should consider when assessing the money laundering and terrorist financing risk associated with individual business relationships and occasional transactions (the Risk Factors Guidelines).</w:t>
      </w:r>
      <w:r>
        <w:rPr>
          <w:rFonts w:hint="eastAsia" w:eastAsia="宋体"/>
          <w:lang w:eastAsia="zh-CN"/>
        </w:rPr>
        <w:t>”</w:t>
      </w:r>
    </w:p>
    <w:p>
      <w:pPr>
        <w:pStyle w:val="5"/>
        <w:spacing w:line="252" w:lineRule="exact"/>
        <w:ind w:left="120"/>
        <w:jc w:val="both"/>
      </w:pPr>
      <w:r>
        <w:rPr>
          <w:vertAlign w:val="superscript"/>
        </w:rPr>
        <w:t>20</w:t>
      </w:r>
      <w:r>
        <w:rPr>
          <w:spacing w:val="-3"/>
        </w:rPr>
        <w:t xml:space="preserve"> </w:t>
      </w:r>
      <w:r>
        <w:t>BCBS</w:t>
      </w:r>
      <w:r>
        <w:rPr>
          <w:spacing w:val="-2"/>
        </w:rPr>
        <w:t xml:space="preserve"> </w:t>
      </w:r>
      <w:r>
        <w:t>(2014)</w:t>
      </w:r>
      <w:r>
        <w:rPr>
          <w:spacing w:val="-4"/>
        </w:rPr>
        <w:t xml:space="preserve"> </w:t>
      </w:r>
      <w:r>
        <w:t>(rev.</w:t>
      </w:r>
      <w:r>
        <w:rPr>
          <w:spacing w:val="-2"/>
        </w:rPr>
        <w:t xml:space="preserve"> </w:t>
      </w:r>
      <w:r>
        <w:t>July</w:t>
      </w:r>
      <w:r>
        <w:rPr>
          <w:spacing w:val="-2"/>
        </w:rPr>
        <w:t xml:space="preserve"> 2020).</w:t>
      </w:r>
    </w:p>
    <w:p>
      <w:pPr>
        <w:pStyle w:val="5"/>
        <w:ind w:left="120" w:right="137"/>
        <w:jc w:val="both"/>
        <w:rPr>
          <w:rFonts w:eastAsia="宋体"/>
          <w:lang w:eastAsia="zh-CN"/>
        </w:rPr>
      </w:pPr>
      <w:r>
        <w:rPr>
          <w:vertAlign w:val="superscript"/>
        </w:rPr>
        <w:t>21</w:t>
      </w:r>
      <w:r>
        <w:t xml:space="preserve"> Joint Committee of the European Supervisory Authorities (JC 2017 37, 26/06/2017): </w:t>
      </w:r>
      <w:r>
        <w:rPr>
          <w:rFonts w:hint="eastAsia" w:eastAsia="宋体"/>
          <w:lang w:eastAsia="zh-CN"/>
        </w:rPr>
        <w:t>“</w:t>
      </w:r>
      <w:r>
        <w:t>Joint guidelines under</w:t>
      </w:r>
      <w:r>
        <w:rPr>
          <w:spacing w:val="-11"/>
        </w:rPr>
        <w:t xml:space="preserve"> </w:t>
      </w:r>
      <w:r>
        <w:t>Articles</w:t>
      </w:r>
      <w:r>
        <w:rPr>
          <w:spacing w:val="-11"/>
        </w:rPr>
        <w:t xml:space="preserve"> </w:t>
      </w:r>
      <w:r>
        <w:t>17</w:t>
      </w:r>
      <w:r>
        <w:rPr>
          <w:spacing w:val="-14"/>
        </w:rPr>
        <w:t xml:space="preserve"> </w:t>
      </w:r>
      <w:r>
        <w:t>and</w:t>
      </w:r>
      <w:r>
        <w:rPr>
          <w:spacing w:val="-12"/>
        </w:rPr>
        <w:t xml:space="preserve"> </w:t>
      </w:r>
      <w:r>
        <w:t>18(4)</w:t>
      </w:r>
      <w:r>
        <w:rPr>
          <w:spacing w:val="-14"/>
        </w:rPr>
        <w:t xml:space="preserve"> </w:t>
      </w:r>
      <w:r>
        <w:t>of</w:t>
      </w:r>
      <w:r>
        <w:rPr>
          <w:spacing w:val="-11"/>
        </w:rPr>
        <w:t xml:space="preserve"> </w:t>
      </w:r>
      <w:r>
        <w:t>Directive</w:t>
      </w:r>
      <w:r>
        <w:rPr>
          <w:spacing w:val="-12"/>
        </w:rPr>
        <w:t xml:space="preserve"> </w:t>
      </w:r>
      <w:r>
        <w:t>(EU)</w:t>
      </w:r>
      <w:r>
        <w:rPr>
          <w:spacing w:val="-11"/>
        </w:rPr>
        <w:t xml:space="preserve"> </w:t>
      </w:r>
      <w:r>
        <w:t>2015/849</w:t>
      </w:r>
      <w:r>
        <w:rPr>
          <w:spacing w:val="-14"/>
        </w:rPr>
        <w:t xml:space="preserve"> </w:t>
      </w:r>
      <w:r>
        <w:t>on</w:t>
      </w:r>
      <w:r>
        <w:rPr>
          <w:spacing w:val="-12"/>
        </w:rPr>
        <w:t xml:space="preserve"> </w:t>
      </w:r>
      <w:r>
        <w:t>simplified</w:t>
      </w:r>
      <w:r>
        <w:rPr>
          <w:spacing w:val="-12"/>
        </w:rPr>
        <w:t xml:space="preserve"> </w:t>
      </w:r>
      <w:r>
        <w:t>and</w:t>
      </w:r>
      <w:r>
        <w:rPr>
          <w:spacing w:val="-12"/>
        </w:rPr>
        <w:t xml:space="preserve"> </w:t>
      </w:r>
      <w:r>
        <w:t>enhanced</w:t>
      </w:r>
      <w:r>
        <w:rPr>
          <w:spacing w:val="-14"/>
        </w:rPr>
        <w:t xml:space="preserve"> </w:t>
      </w:r>
      <w:r>
        <w:t>customer</w:t>
      </w:r>
      <w:r>
        <w:rPr>
          <w:spacing w:val="-11"/>
        </w:rPr>
        <w:t xml:space="preserve"> </w:t>
      </w:r>
      <w:r>
        <w:t>due</w:t>
      </w:r>
      <w:r>
        <w:rPr>
          <w:spacing w:val="-12"/>
        </w:rPr>
        <w:t xml:space="preserve"> </w:t>
      </w:r>
      <w:r>
        <w:t>diligence and the factors credit and financial institutions should consider when assessing the money laundering and terrorist financing risk associated with individual business relationships and occasional transactions (the Risk Factors Guidelines).</w:t>
      </w:r>
      <w:r>
        <w:rPr>
          <w:rFonts w:hint="eastAsia" w:eastAsia="宋体"/>
          <w:lang w:eastAsia="zh-CN"/>
        </w:rPr>
        <w:t>”</w:t>
      </w:r>
    </w:p>
    <w:p>
      <w:pPr>
        <w:pStyle w:val="5"/>
        <w:ind w:left="120" w:right="135"/>
        <w:jc w:val="both"/>
      </w:pPr>
      <w:r>
        <w:rPr>
          <w:vertAlign w:val="superscript"/>
        </w:rPr>
        <w:t>22</w:t>
      </w:r>
      <w:r>
        <w:rPr>
          <w:spacing w:val="-14"/>
        </w:rPr>
        <w:t xml:space="preserve"> </w:t>
      </w:r>
      <w:r>
        <w:t>UNCITRAL</w:t>
      </w:r>
      <w:r>
        <w:rPr>
          <w:spacing w:val="-14"/>
        </w:rPr>
        <w:t xml:space="preserve"> </w:t>
      </w:r>
      <w:r>
        <w:t>(2019)</w:t>
      </w:r>
      <w:r>
        <w:rPr>
          <w:spacing w:val="-14"/>
        </w:rPr>
        <w:t xml:space="preserve"> </w:t>
      </w:r>
      <w:r>
        <w:t>Model</w:t>
      </w:r>
      <w:r>
        <w:rPr>
          <w:spacing w:val="-12"/>
        </w:rPr>
        <w:t xml:space="preserve"> </w:t>
      </w:r>
      <w:r>
        <w:t>Law</w:t>
      </w:r>
      <w:r>
        <w:rPr>
          <w:spacing w:val="-14"/>
        </w:rPr>
        <w:t xml:space="preserve"> </w:t>
      </w:r>
      <w:r>
        <w:t>on</w:t>
      </w:r>
      <w:r>
        <w:rPr>
          <w:spacing w:val="-14"/>
        </w:rPr>
        <w:t xml:space="preserve"> </w:t>
      </w:r>
      <w:r>
        <w:t>Secured</w:t>
      </w:r>
      <w:r>
        <w:rPr>
          <w:spacing w:val="-13"/>
        </w:rPr>
        <w:t xml:space="preserve"> </w:t>
      </w:r>
      <w:r>
        <w:t>Transactions,</w:t>
      </w:r>
      <w:r>
        <w:rPr>
          <w:spacing w:val="-14"/>
        </w:rPr>
        <w:t xml:space="preserve"> </w:t>
      </w:r>
      <w:r>
        <w:t>Chapter</w:t>
      </w:r>
      <w:r>
        <w:rPr>
          <w:spacing w:val="-14"/>
        </w:rPr>
        <w:t xml:space="preserve"> </w:t>
      </w:r>
      <w:r>
        <w:t>I,</w:t>
      </w:r>
      <w:r>
        <w:rPr>
          <w:spacing w:val="-13"/>
        </w:rPr>
        <w:t xml:space="preserve"> </w:t>
      </w:r>
      <w:r>
        <w:t>Article</w:t>
      </w:r>
      <w:r>
        <w:rPr>
          <w:spacing w:val="-14"/>
        </w:rPr>
        <w:t xml:space="preserve"> </w:t>
      </w:r>
      <w:r>
        <w:t>2(u):</w:t>
      </w:r>
      <w:r>
        <w:rPr>
          <w:spacing w:val="-13"/>
        </w:rPr>
        <w:t xml:space="preserve"> </w:t>
      </w:r>
      <w:r>
        <w:rPr>
          <w:rFonts w:hint="eastAsia" w:eastAsia="宋体"/>
          <w:lang w:eastAsia="zh-CN"/>
        </w:rPr>
        <w:t>“</w:t>
      </w:r>
      <w:r>
        <w:t>Movable</w:t>
      </w:r>
      <w:r>
        <w:rPr>
          <w:spacing w:val="-13"/>
        </w:rPr>
        <w:t xml:space="preserve"> </w:t>
      </w:r>
      <w:r>
        <w:t>asset</w:t>
      </w:r>
      <w:r>
        <w:rPr>
          <w:rFonts w:hint="eastAsia" w:eastAsia="宋体"/>
          <w:lang w:eastAsia="zh-CN"/>
        </w:rPr>
        <w:t>”</w:t>
      </w:r>
      <w:r>
        <w:rPr>
          <w:spacing w:val="-14"/>
        </w:rPr>
        <w:t xml:space="preserve"> </w:t>
      </w:r>
      <w:r>
        <w:t>means a tangible or intangible asset, other than immovable property. UNCITRAL (2010) Legislative Guide on Secured</w:t>
      </w:r>
      <w:r>
        <w:rPr>
          <w:spacing w:val="-8"/>
        </w:rPr>
        <w:t xml:space="preserve"> </w:t>
      </w:r>
      <w:r>
        <w:t>Transactions,</w:t>
      </w:r>
      <w:r>
        <w:rPr>
          <w:spacing w:val="-7"/>
        </w:rPr>
        <w:t xml:space="preserve"> </w:t>
      </w:r>
      <w:r>
        <w:t>Introduction,</w:t>
      </w:r>
      <w:r>
        <w:rPr>
          <w:spacing w:val="-8"/>
        </w:rPr>
        <w:t xml:space="preserve"> </w:t>
      </w:r>
      <w:r>
        <w:t>B.</w:t>
      </w:r>
      <w:r>
        <w:rPr>
          <w:spacing w:val="-8"/>
        </w:rPr>
        <w:t xml:space="preserve"> </w:t>
      </w:r>
      <w:r>
        <w:t>Terminology</w:t>
      </w:r>
      <w:r>
        <w:rPr>
          <w:spacing w:val="-8"/>
        </w:rPr>
        <w:t xml:space="preserve"> </w:t>
      </w:r>
      <w:r>
        <w:t>and</w:t>
      </w:r>
      <w:r>
        <w:rPr>
          <w:spacing w:val="-8"/>
        </w:rPr>
        <w:t xml:space="preserve"> </w:t>
      </w:r>
      <w:r>
        <w:t>Interpretation:</w:t>
      </w:r>
      <w:r>
        <w:rPr>
          <w:spacing w:val="-7"/>
        </w:rPr>
        <w:t xml:space="preserve"> </w:t>
      </w:r>
      <w:r>
        <w:rPr>
          <w:rFonts w:hint="eastAsia" w:eastAsia="宋体"/>
          <w:lang w:eastAsia="zh-CN"/>
        </w:rPr>
        <w:t>“</w:t>
      </w:r>
      <w:r>
        <w:t>Intangible</w:t>
      </w:r>
      <w:r>
        <w:rPr>
          <w:spacing w:val="-8"/>
        </w:rPr>
        <w:t xml:space="preserve"> </w:t>
      </w:r>
      <w:r>
        <w:t>assets</w:t>
      </w:r>
      <w:r>
        <w:rPr>
          <w:rFonts w:hint="eastAsia" w:eastAsia="宋体"/>
          <w:lang w:eastAsia="zh-CN"/>
        </w:rPr>
        <w:t>”</w:t>
      </w:r>
      <w:r>
        <w:rPr>
          <w:spacing w:val="-8"/>
        </w:rPr>
        <w:t xml:space="preserve"> </w:t>
      </w:r>
      <w:r>
        <w:t>means</w:t>
      </w:r>
      <w:r>
        <w:rPr>
          <w:spacing w:val="-10"/>
        </w:rPr>
        <w:t xml:space="preserve"> </w:t>
      </w:r>
      <w:r>
        <w:t>all</w:t>
      </w:r>
      <w:r>
        <w:rPr>
          <w:spacing w:val="-7"/>
        </w:rPr>
        <w:t xml:space="preserve"> </w:t>
      </w:r>
      <w:r>
        <w:t>types of movable assets other than tangible assets and includes incorporeal rights, receivables and rights to the performance of obligations other than receivables.</w:t>
      </w:r>
    </w:p>
    <w:p>
      <w:pPr>
        <w:pStyle w:val="5"/>
        <w:ind w:left="120"/>
      </w:pPr>
      <w:r>
        <w:rPr>
          <w:vertAlign w:val="superscript"/>
        </w:rPr>
        <w:t>23</w:t>
      </w:r>
      <w:r>
        <w:rPr>
          <w:spacing w:val="-7"/>
        </w:rPr>
        <w:t xml:space="preserve"> </w:t>
      </w:r>
      <w:r>
        <w:t>UNCITRAL</w:t>
      </w:r>
      <w:r>
        <w:rPr>
          <w:spacing w:val="-7"/>
        </w:rPr>
        <w:t xml:space="preserve"> </w:t>
      </w:r>
      <w:r>
        <w:rPr>
          <w:spacing w:val="-2"/>
        </w:rPr>
        <w:t>(2019).</w:t>
      </w:r>
    </w:p>
    <w:p>
      <w:pPr>
        <w:pStyle w:val="5"/>
        <w:spacing w:before="1" w:line="252" w:lineRule="exact"/>
        <w:ind w:left="120"/>
      </w:pPr>
      <w:r>
        <w:rPr>
          <w:vertAlign w:val="superscript"/>
        </w:rPr>
        <w:t>24</w:t>
      </w:r>
      <w:r>
        <w:rPr>
          <w:spacing w:val="-7"/>
        </w:rPr>
        <w:t xml:space="preserve"> </w:t>
      </w:r>
      <w:r>
        <w:t>UNCITRAL</w:t>
      </w:r>
      <w:r>
        <w:rPr>
          <w:spacing w:val="-7"/>
        </w:rPr>
        <w:t xml:space="preserve"> </w:t>
      </w:r>
      <w:r>
        <w:rPr>
          <w:spacing w:val="-2"/>
        </w:rPr>
        <w:t>(2010).</w:t>
      </w:r>
    </w:p>
    <w:p>
      <w:pPr>
        <w:pStyle w:val="5"/>
        <w:spacing w:line="252" w:lineRule="exact"/>
        <w:ind w:left="120"/>
      </w:pPr>
      <w:r>
        <w:rPr>
          <w:vertAlign w:val="superscript"/>
        </w:rPr>
        <w:t>25</w:t>
      </w:r>
      <w:r>
        <w:rPr>
          <w:spacing w:val="-7"/>
        </w:rPr>
        <w:t xml:space="preserve"> </w:t>
      </w:r>
      <w:r>
        <w:t>UNCITRAL</w:t>
      </w:r>
      <w:r>
        <w:rPr>
          <w:spacing w:val="-7"/>
        </w:rPr>
        <w:t xml:space="preserve"> </w:t>
      </w:r>
      <w:r>
        <w:rPr>
          <w:spacing w:val="-2"/>
        </w:rPr>
        <w:t>(2010).</w:t>
      </w:r>
    </w:p>
    <w:p>
      <w:pPr>
        <w:pStyle w:val="5"/>
        <w:spacing w:line="252" w:lineRule="exact"/>
        <w:ind w:left="120"/>
      </w:pPr>
      <w:r>
        <w:rPr>
          <w:vertAlign w:val="superscript"/>
        </w:rPr>
        <w:t>26</w:t>
      </w:r>
      <w:r>
        <w:rPr>
          <w:spacing w:val="-7"/>
        </w:rPr>
        <w:t xml:space="preserve"> </w:t>
      </w:r>
      <w:r>
        <w:t>UNCITRAL</w:t>
      </w:r>
      <w:r>
        <w:rPr>
          <w:spacing w:val="-7"/>
        </w:rPr>
        <w:t xml:space="preserve"> </w:t>
      </w:r>
      <w:r>
        <w:rPr>
          <w:spacing w:val="-2"/>
        </w:rPr>
        <w:t>(2019).</w:t>
      </w:r>
    </w:p>
    <w:p>
      <w:pPr>
        <w:pStyle w:val="5"/>
        <w:spacing w:before="1" w:line="252" w:lineRule="exact"/>
        <w:ind w:left="120"/>
      </w:pPr>
      <w:r>
        <w:rPr>
          <w:vertAlign w:val="superscript"/>
        </w:rPr>
        <w:t>27</w:t>
      </w:r>
      <w:r>
        <w:rPr>
          <w:spacing w:val="-7"/>
        </w:rPr>
        <w:t xml:space="preserve"> </w:t>
      </w:r>
      <w:r>
        <w:t>UNCITRAL</w:t>
      </w:r>
      <w:r>
        <w:rPr>
          <w:spacing w:val="-7"/>
        </w:rPr>
        <w:t xml:space="preserve"> </w:t>
      </w:r>
      <w:r>
        <w:rPr>
          <w:spacing w:val="-2"/>
        </w:rPr>
        <w:t>(2010).</w:t>
      </w:r>
    </w:p>
    <w:p>
      <w:pPr>
        <w:pStyle w:val="5"/>
        <w:spacing w:line="252" w:lineRule="exact"/>
        <w:ind w:left="120"/>
      </w:pPr>
      <w:r>
        <w:rPr>
          <w:vertAlign w:val="superscript"/>
        </w:rPr>
        <w:t>28</w:t>
      </w:r>
      <w:r>
        <w:rPr>
          <w:spacing w:val="-7"/>
        </w:rPr>
        <w:t xml:space="preserve"> </w:t>
      </w:r>
      <w:r>
        <w:t>UNCITRAL</w:t>
      </w:r>
      <w:r>
        <w:rPr>
          <w:spacing w:val="-8"/>
        </w:rPr>
        <w:t xml:space="preserve"> </w:t>
      </w:r>
      <w:r>
        <w:rPr>
          <w:spacing w:val="-2"/>
        </w:rPr>
        <w:t>(2019).</w:t>
      </w:r>
    </w:p>
    <w:p>
      <w:pPr>
        <w:pStyle w:val="5"/>
        <w:spacing w:before="2" w:line="252" w:lineRule="exact"/>
        <w:ind w:left="120"/>
      </w:pPr>
      <w:r>
        <w:rPr>
          <w:vertAlign w:val="superscript"/>
        </w:rPr>
        <w:t>29</w:t>
      </w:r>
      <w:r>
        <w:rPr>
          <w:spacing w:val="-2"/>
        </w:rPr>
        <w:t xml:space="preserve"> </w:t>
      </w:r>
      <w:r>
        <w:rPr>
          <w:color w:val="212121"/>
        </w:rPr>
        <w:t>Khiaonarong</w:t>
      </w:r>
      <w:r>
        <w:rPr>
          <w:color w:val="212121"/>
          <w:spacing w:val="-4"/>
        </w:rPr>
        <w:t xml:space="preserve"> </w:t>
      </w:r>
      <w:r>
        <w:rPr>
          <w:color w:val="212121"/>
        </w:rPr>
        <w:t>and</w:t>
      </w:r>
      <w:r>
        <w:rPr>
          <w:color w:val="212121"/>
          <w:spacing w:val="-2"/>
        </w:rPr>
        <w:t xml:space="preserve"> </w:t>
      </w:r>
      <w:r>
        <w:rPr>
          <w:color w:val="212121"/>
        </w:rPr>
        <w:t>Goh</w:t>
      </w:r>
      <w:r>
        <w:rPr>
          <w:color w:val="212121"/>
          <w:spacing w:val="-4"/>
        </w:rPr>
        <w:t xml:space="preserve"> </w:t>
      </w:r>
      <w:r>
        <w:rPr>
          <w:color w:val="212121"/>
          <w:spacing w:val="-2"/>
        </w:rPr>
        <w:t>(2020).</w:t>
      </w:r>
    </w:p>
    <w:p>
      <w:pPr>
        <w:pStyle w:val="5"/>
        <w:spacing w:line="252" w:lineRule="exact"/>
        <w:ind w:left="120"/>
      </w:pPr>
      <w:r>
        <w:rPr>
          <w:vertAlign w:val="superscript"/>
        </w:rPr>
        <w:t>30</w:t>
      </w:r>
      <w:r>
        <w:rPr>
          <w:spacing w:val="-2"/>
        </w:rPr>
        <w:t xml:space="preserve"> </w:t>
      </w:r>
      <w:r>
        <w:t>World</w:t>
      </w:r>
      <w:r>
        <w:rPr>
          <w:spacing w:val="-2"/>
        </w:rPr>
        <w:t xml:space="preserve"> </w:t>
      </w:r>
      <w:r>
        <w:t>Bank</w:t>
      </w:r>
      <w:r>
        <w:rPr>
          <w:spacing w:val="-4"/>
        </w:rPr>
        <w:t xml:space="preserve"> </w:t>
      </w:r>
      <w:r>
        <w:rPr>
          <w:spacing w:val="-2"/>
        </w:rPr>
        <w:t>(2020b).</w:t>
      </w:r>
    </w:p>
    <w:p>
      <w:pPr>
        <w:pStyle w:val="5"/>
        <w:spacing w:line="252" w:lineRule="exact"/>
        <w:ind w:left="120"/>
      </w:pPr>
      <w:r>
        <w:rPr>
          <w:vertAlign w:val="superscript"/>
        </w:rPr>
        <w:t>31</w:t>
      </w:r>
      <w:r>
        <w:rPr>
          <w:spacing w:val="-3"/>
        </w:rPr>
        <w:t xml:space="preserve"> </w:t>
      </w:r>
      <w:r>
        <w:t>OCC</w:t>
      </w:r>
      <w:r>
        <w:rPr>
          <w:spacing w:val="-4"/>
        </w:rPr>
        <w:t xml:space="preserve"> </w:t>
      </w:r>
      <w:r>
        <w:rPr>
          <w:spacing w:val="-2"/>
        </w:rPr>
        <w:t>(2021).</w:t>
      </w:r>
    </w:p>
    <w:p>
      <w:pPr>
        <w:pStyle w:val="5"/>
        <w:spacing w:before="2"/>
        <w:ind w:left="120"/>
      </w:pPr>
      <w:r>
        <w:rPr>
          <w:vertAlign w:val="superscript"/>
        </w:rPr>
        <w:t>32</w:t>
      </w:r>
      <w:r>
        <w:rPr>
          <w:spacing w:val="-2"/>
        </w:rPr>
        <w:t xml:space="preserve"> </w:t>
      </w:r>
      <w:r>
        <w:t>World</w:t>
      </w:r>
      <w:r>
        <w:rPr>
          <w:spacing w:val="-2"/>
        </w:rPr>
        <w:t xml:space="preserve"> </w:t>
      </w:r>
      <w:r>
        <w:t>Bank</w:t>
      </w:r>
      <w:r>
        <w:rPr>
          <w:spacing w:val="-4"/>
        </w:rPr>
        <w:t xml:space="preserve"> </w:t>
      </w:r>
      <w:r>
        <w:rPr>
          <w:spacing w:val="-2"/>
        </w:rPr>
        <w:t>(2016).</w:t>
      </w:r>
    </w:p>
    <w:p>
      <w:pPr>
        <w:sectPr>
          <w:pgSz w:w="12240" w:h="15840"/>
          <w:pgMar w:top="1500" w:right="1300" w:bottom="280" w:left="1320" w:header="720" w:footer="720" w:gutter="0"/>
          <w:cols w:space="720" w:num="1"/>
        </w:sectPr>
      </w:pPr>
    </w:p>
    <w:p>
      <w:pPr>
        <w:pStyle w:val="5"/>
        <w:spacing w:before="2"/>
        <w:rPr>
          <w:sz w:val="8"/>
        </w:rPr>
      </w:pPr>
    </w:p>
    <w:p>
      <w:pPr>
        <w:pStyle w:val="5"/>
        <w:spacing w:line="20" w:lineRule="exact"/>
        <w:ind w:left="120"/>
        <w:rPr>
          <w:sz w:val="2"/>
        </w:rPr>
      </w:pPr>
      <w:r>
        <w:rPr>
          <w:sz w:val="2"/>
        </w:rPr>
        <mc:AlternateContent>
          <mc:Choice Requires="wpg">
            <w:drawing>
              <wp:inline distT="0" distB="0" distL="114300" distR="114300">
                <wp:extent cx="5944870" cy="9525"/>
                <wp:effectExtent l="0" t="0" r="0" b="0"/>
                <wp:docPr id="6" name="组合 6"/>
                <wp:cNvGraphicFramePr/>
                <a:graphic xmlns:a="http://schemas.openxmlformats.org/drawingml/2006/main">
                  <a:graphicData uri="http://schemas.microsoft.com/office/word/2010/wordprocessingGroup">
                    <wpg:wgp>
                      <wpg:cNvGrpSpPr/>
                      <wpg:grpSpPr>
                        <a:xfrm>
                          <a:off x="0" y="0"/>
                          <a:ext cx="5944870" cy="9525"/>
                          <a:chOff x="0" y="0"/>
                          <a:chExt cx="9362" cy="15"/>
                        </a:xfrm>
                      </wpg:grpSpPr>
                      <wps:wsp>
                        <wps:cNvPr id="5" name="矩形 5"/>
                        <wps:cNvSpPr/>
                        <wps:spPr>
                          <a:xfrm>
                            <a:off x="0" y="0"/>
                            <a:ext cx="9362"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468.1pt;" coordsize="9362,15" o:gfxdata="UEsDBAoAAAAAAIdO4kAAAAAAAAAAAAAAAAAEAAAAZHJzL1BLAwQUAAAACACHTuJAxqRI29QAAAAD&#10;AQAADwAAAGRycy9kb3ducmV2LnhtbE2PQUvDQBCF74L/YRnBm92kpcXGbIoU9VQEW0F6m2anSWh2&#10;NmS3SfvvHb3o5cHwHu99k68urlUD9aHxbCCdJKCIS28brgx87l4fHkGFiGyx9UwGrhRgVdze5JhZ&#10;P/IHDdtYKSnhkKGBOsYu0zqUNTkME98Ri3f0vcMoZ19p2+Mo5a7V0yRZaIcNy0KNHa1rKk/bszPw&#10;NuL4PEtfhs3puL7ud/P3r01KxtzfpckTqEiX+BeGH3xBh0KYDv7MNqjWgDwSf1W85WwxBXWQ0Bx0&#10;kev/7MU3UEsDBBQAAAAIAIdO4kD1QV2cBwIAAH4EAAAOAAAAZHJzL2Uyb0RvYy54bWyllM2O0zAQ&#10;x+9IvIPlO01btmUbNd0DZXtBsNLCA7iOk1jyl8Zu0945cOQNkLjxDGgfZ8VrMHbSLHSFtIIcEn/M&#10;/D3/n6ddXh20InsBXlpT0MloTIkw3JbS1AX9+OH6xSUlPjBTMmWNKOhReHq1ev5s2bpcTG1jVSmA&#10;oIjxeesK2oTg8izzvBGa+ZF1wuBmZUGzgFOosxJYi+paZdPxeJ61FkoHlgvvcXXdbdJeEZ4iaKtK&#10;crG2fKeFCZ0qCMUCWvKNdJ6uUrVVJXh4X1VeBKIKik5DeuMhON7Gd7ZasrwG5hrJ+xLYU0o486SZ&#10;NHjoILVmgZEdyEdSWnKw3lZhxK3OOiOJCLqYjM/YbMDuXPJS523tBuh4UWfU/1mWv9vfAJFlQeeU&#10;GKbxwn/++HT/5TOZRzatq3MM2YC7dTfQL9TdLNo9VKDjF42QQ6J6HKiKQyAcF2eLi4vLVwic495i&#10;Np110HmDN/MoiTdv+rTFy/m0y5mkjOx0WhaLGmpoHbahf2Dj/4/NbcOcSMh9NN6zmQ1svn6/v/tG&#10;UkHxZAwZwPjcI6OnUvmrPZY78GEjrCZxUFDAJk69xfZvfcA7QBKnkHiat0qW11KpNIF6+1oB2bPY&#10;8OmJuDHljzBlYrCxMa3bjitI9mQijra2PCKAnQNZN1jIJCn1wFN0asuk3v+EYt//Pk9RD38bq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GpEjb1AAAAAMBAAAPAAAAAAAAAAEAIAAAACIAAABkcnMv&#10;ZG93bnJldi54bWxQSwECFAAUAAAACACHTuJA9UFdnAcCAAB+BAAADgAAAAAAAAABACAAAAAjAQAA&#10;ZHJzL2Uyb0RvYy54bWxQSwUGAAAAAAYABgBZAQAAnAUAAAAA&#10;">
                <o:lock v:ext="edit" aspectratio="f"/>
                <v:rect id="_x0000_s1026" o:spid="_x0000_s1026" o:spt="1" style="position:absolute;left:0;top:0;height:15;width:9362;" fillcolor="#000000" filled="t" stroked="f" coordsize="21600,21600" o:gfxdata="UEsDBAoAAAAAAIdO4kAAAAAAAAAAAAAAAAAEAAAAZHJzL1BLAwQUAAAACACHTuJAPBQSkLwAAADa&#10;AAAADwAAAGRycy9kb3ducmV2LnhtbEWPT2sCMRTE7wW/Q3iCt5ootehqFBSEXgS1PejtuXnuLm5e&#10;1iT+/fSmUOhxmJnfMJPZ3dbiSj5UjjX0ugoEce5MxYWGn+/l+xBEiMgGa8ek4UEBZtPW2wQz4268&#10;oes2FiJBOGSooYyxyaQMeUkWQ9c1xMk7Om8xJukLaTzeEtzWsq/Up7RYcVoosaFFSflpe7Ea5qPh&#10;/Lz+4NVzc9jTfnc4Dfpead1p99QYRKR7/A//tb+MhgH8Xkk3QE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wUEpC8AAAA&#10;2gAAAA8AAAAAAAAAAQAgAAAAIgAAAGRycy9kb3ducmV2LnhtbFBLAQIUABQAAAAIAIdO4kAzLwWe&#10;OwAAADkAAAAQAAAAAAAAAAEAIAAAAAsBAABkcnMvc2hhcGV4bWwueG1sUEsFBgAAAAAGAAYAWwEA&#10;ALUDAAAAAA==&#10;">
                  <v:fill on="t" focussize="0,0"/>
                  <v:stroke on="f"/>
                  <v:imagedata o:title=""/>
                  <o:lock v:ext="edit" aspectratio="f"/>
                </v:rect>
                <w10:wrap type="none"/>
                <w10:anchorlock/>
              </v:group>
            </w:pict>
          </mc:Fallback>
        </mc:AlternateContent>
      </w:r>
    </w:p>
    <w:p>
      <w:pPr>
        <w:pStyle w:val="5"/>
        <w:spacing w:before="94" w:line="252" w:lineRule="exact"/>
        <w:ind w:left="120"/>
        <w:jc w:val="both"/>
      </w:pPr>
      <w:r>
        <w:rPr>
          <w:vertAlign w:val="superscript"/>
        </w:rPr>
        <w:t>33</w:t>
      </w:r>
      <w:r>
        <w:rPr>
          <w:spacing w:val="-2"/>
        </w:rPr>
        <w:t xml:space="preserve"> </w:t>
      </w:r>
      <w:r>
        <w:t>World</w:t>
      </w:r>
      <w:r>
        <w:rPr>
          <w:spacing w:val="-2"/>
        </w:rPr>
        <w:t xml:space="preserve"> </w:t>
      </w:r>
      <w:r>
        <w:t>Bank</w:t>
      </w:r>
      <w:r>
        <w:rPr>
          <w:spacing w:val="-4"/>
        </w:rPr>
        <w:t xml:space="preserve"> </w:t>
      </w:r>
      <w:r>
        <w:t>Group</w:t>
      </w:r>
      <w:r>
        <w:rPr>
          <w:spacing w:val="-5"/>
        </w:rPr>
        <w:t xml:space="preserve"> </w:t>
      </w:r>
      <w:r>
        <w:rPr>
          <w:spacing w:val="-2"/>
        </w:rPr>
        <w:t>(2017).</w:t>
      </w:r>
    </w:p>
    <w:p>
      <w:pPr>
        <w:pStyle w:val="5"/>
        <w:spacing w:line="252" w:lineRule="exact"/>
        <w:ind w:left="120"/>
        <w:jc w:val="both"/>
      </w:pPr>
      <w:r>
        <w:rPr>
          <w:vertAlign w:val="superscript"/>
        </w:rPr>
        <w:t>34</w:t>
      </w:r>
      <w:r>
        <w:rPr>
          <w:spacing w:val="-4"/>
        </w:rPr>
        <w:t xml:space="preserve"> </w:t>
      </w:r>
      <w:r>
        <w:t>European</w:t>
      </w:r>
      <w:r>
        <w:rPr>
          <w:spacing w:val="-4"/>
        </w:rPr>
        <w:t xml:space="preserve"> </w:t>
      </w:r>
      <w:r>
        <w:t>Parliament,</w:t>
      </w:r>
      <w:r>
        <w:rPr>
          <w:spacing w:val="-4"/>
        </w:rPr>
        <w:t xml:space="preserve"> </w:t>
      </w:r>
      <w:r>
        <w:t>EU</w:t>
      </w:r>
      <w:r>
        <w:rPr>
          <w:spacing w:val="-8"/>
        </w:rPr>
        <w:t xml:space="preserve"> </w:t>
      </w:r>
      <w:r>
        <w:t>Second</w:t>
      </w:r>
      <w:r>
        <w:rPr>
          <w:spacing w:val="-4"/>
        </w:rPr>
        <w:t xml:space="preserve"> </w:t>
      </w:r>
      <w:r>
        <w:t>Payment</w:t>
      </w:r>
      <w:r>
        <w:rPr>
          <w:spacing w:val="-3"/>
        </w:rPr>
        <w:t xml:space="preserve"> </w:t>
      </w:r>
      <w:r>
        <w:t>Services</w:t>
      </w:r>
      <w:r>
        <w:rPr>
          <w:spacing w:val="-5"/>
        </w:rPr>
        <w:t xml:space="preserve"> </w:t>
      </w:r>
      <w:r>
        <w:t>Directive</w:t>
      </w:r>
      <w:r>
        <w:rPr>
          <w:spacing w:val="-4"/>
        </w:rPr>
        <w:t xml:space="preserve"> </w:t>
      </w:r>
      <w:r>
        <w:rPr>
          <w:spacing w:val="-2"/>
        </w:rPr>
        <w:t>2015/2366.</w:t>
      </w:r>
    </w:p>
    <w:p>
      <w:pPr>
        <w:pStyle w:val="5"/>
        <w:spacing w:before="1"/>
        <w:ind w:left="120" w:right="7412"/>
        <w:jc w:val="both"/>
      </w:pPr>
      <w:r>
        <w:rPr>
          <w:vertAlign w:val="superscript"/>
        </w:rPr>
        <w:t>35</w:t>
      </w:r>
      <w:r>
        <w:rPr>
          <w:spacing w:val="-12"/>
        </w:rPr>
        <w:t xml:space="preserve"> </w:t>
      </w:r>
      <w:r>
        <w:t>World</w:t>
      </w:r>
      <w:r>
        <w:rPr>
          <w:spacing w:val="-12"/>
        </w:rPr>
        <w:t xml:space="preserve"> </w:t>
      </w:r>
      <w:r>
        <w:t>Bank</w:t>
      </w:r>
      <w:r>
        <w:rPr>
          <w:spacing w:val="-13"/>
        </w:rPr>
        <w:t xml:space="preserve"> </w:t>
      </w:r>
      <w:r>
        <w:t xml:space="preserve">(2019b). </w:t>
      </w:r>
      <w:r>
        <w:rPr>
          <w:vertAlign w:val="superscript"/>
        </w:rPr>
        <w:t>36</w:t>
      </w:r>
      <w:r>
        <w:rPr>
          <w:spacing w:val="-12"/>
        </w:rPr>
        <w:t xml:space="preserve"> </w:t>
      </w:r>
      <w:r>
        <w:t>World</w:t>
      </w:r>
      <w:r>
        <w:rPr>
          <w:spacing w:val="-12"/>
        </w:rPr>
        <w:t xml:space="preserve"> </w:t>
      </w:r>
      <w:r>
        <w:t>Bank</w:t>
      </w:r>
      <w:r>
        <w:rPr>
          <w:spacing w:val="-13"/>
        </w:rPr>
        <w:t xml:space="preserve"> </w:t>
      </w:r>
      <w:r>
        <w:t xml:space="preserve">(2020b). </w:t>
      </w:r>
      <w:r>
        <w:rPr>
          <w:vertAlign w:val="superscript"/>
        </w:rPr>
        <w:t>37</w:t>
      </w:r>
      <w:r>
        <w:t xml:space="preserve"> World Bank (2016).</w:t>
      </w:r>
    </w:p>
    <w:p>
      <w:pPr>
        <w:pStyle w:val="5"/>
        <w:spacing w:line="252" w:lineRule="exact"/>
        <w:ind w:left="120"/>
      </w:pPr>
      <w:r>
        <w:rPr>
          <w:vertAlign w:val="superscript"/>
        </w:rPr>
        <w:t>38</w:t>
      </w:r>
      <w:r>
        <w:rPr>
          <w:spacing w:val="-2"/>
        </w:rPr>
        <w:t xml:space="preserve"> </w:t>
      </w:r>
      <w:r>
        <w:t>World</w:t>
      </w:r>
      <w:r>
        <w:rPr>
          <w:spacing w:val="-2"/>
        </w:rPr>
        <w:t xml:space="preserve"> </w:t>
      </w:r>
      <w:r>
        <w:t>Bank</w:t>
      </w:r>
      <w:r>
        <w:rPr>
          <w:spacing w:val="-4"/>
        </w:rPr>
        <w:t xml:space="preserve"> </w:t>
      </w:r>
      <w:r>
        <w:t>Group</w:t>
      </w:r>
      <w:r>
        <w:rPr>
          <w:spacing w:val="-5"/>
        </w:rPr>
        <w:t xml:space="preserve"> </w:t>
      </w:r>
      <w:r>
        <w:rPr>
          <w:spacing w:val="-2"/>
        </w:rPr>
        <w:t>(2017).</w:t>
      </w:r>
    </w:p>
    <w:p>
      <w:pPr>
        <w:pStyle w:val="5"/>
        <w:ind w:left="120"/>
      </w:pPr>
      <w:r>
        <w:rPr>
          <w:vertAlign w:val="superscript"/>
        </w:rPr>
        <w:t>39</w:t>
      </w:r>
      <w:r>
        <w:rPr>
          <w:spacing w:val="-16"/>
        </w:rPr>
        <w:t xml:space="preserve"> </w:t>
      </w:r>
      <w:r>
        <w:t>World</w:t>
      </w:r>
      <w:r>
        <w:rPr>
          <w:spacing w:val="-15"/>
        </w:rPr>
        <w:t xml:space="preserve"> </w:t>
      </w:r>
      <w:r>
        <w:t>Bank.</w:t>
      </w:r>
      <w:r>
        <w:rPr>
          <w:spacing w:val="-14"/>
        </w:rPr>
        <w:t xml:space="preserve"> </w:t>
      </w:r>
      <w:r>
        <w:t>2020b.</w:t>
      </w:r>
      <w:r>
        <w:rPr>
          <w:spacing w:val="-15"/>
        </w:rPr>
        <w:t xml:space="preserve"> </w:t>
      </w:r>
      <w:r>
        <w:t>Payment</w:t>
      </w:r>
      <w:r>
        <w:rPr>
          <w:spacing w:val="-14"/>
        </w:rPr>
        <w:t xml:space="preserve"> </w:t>
      </w:r>
      <w:r>
        <w:t>Aspects</w:t>
      </w:r>
      <w:r>
        <w:rPr>
          <w:spacing w:val="-14"/>
        </w:rPr>
        <w:t xml:space="preserve"> </w:t>
      </w:r>
      <w:r>
        <w:t>of</w:t>
      </w:r>
      <w:r>
        <w:rPr>
          <w:spacing w:val="-13"/>
        </w:rPr>
        <w:t xml:space="preserve"> </w:t>
      </w:r>
      <w:r>
        <w:t>Financial</w:t>
      </w:r>
      <w:r>
        <w:rPr>
          <w:spacing w:val="-14"/>
        </w:rPr>
        <w:t xml:space="preserve"> </w:t>
      </w:r>
      <w:r>
        <w:t>Inclusion</w:t>
      </w:r>
      <w:r>
        <w:rPr>
          <w:spacing w:val="-15"/>
        </w:rPr>
        <w:t xml:space="preserve"> </w:t>
      </w:r>
      <w:r>
        <w:t>in</w:t>
      </w:r>
      <w:r>
        <w:rPr>
          <w:spacing w:val="-15"/>
        </w:rPr>
        <w:t xml:space="preserve"> </w:t>
      </w:r>
      <w:r>
        <w:t>the</w:t>
      </w:r>
      <w:r>
        <w:rPr>
          <w:spacing w:val="-14"/>
        </w:rPr>
        <w:t xml:space="preserve"> </w:t>
      </w:r>
      <w:r>
        <w:t>Fintech</w:t>
      </w:r>
      <w:r>
        <w:rPr>
          <w:spacing w:val="-15"/>
        </w:rPr>
        <w:t xml:space="preserve"> </w:t>
      </w:r>
      <w:r>
        <w:t>Era.</w:t>
      </w:r>
      <w:r>
        <w:rPr>
          <w:spacing w:val="-14"/>
        </w:rPr>
        <w:t xml:space="preserve"> </w:t>
      </w:r>
      <w:r>
        <w:t>Washington,</w:t>
      </w:r>
      <w:r>
        <w:rPr>
          <w:spacing w:val="-15"/>
        </w:rPr>
        <w:t xml:space="preserve"> </w:t>
      </w:r>
      <w:r>
        <w:t>D.C.,</w:t>
      </w:r>
      <w:r>
        <w:rPr>
          <w:spacing w:val="-13"/>
        </w:rPr>
        <w:t xml:space="preserve"> </w:t>
      </w:r>
      <w:r>
        <w:t>World Bank Group.</w:t>
      </w:r>
    </w:p>
    <w:p>
      <w:pPr>
        <w:pStyle w:val="5"/>
        <w:ind w:left="120"/>
      </w:pPr>
      <w:r>
        <w:rPr>
          <w:vertAlign w:val="superscript"/>
        </w:rPr>
        <w:t>40</w:t>
      </w:r>
      <w:r>
        <w:rPr>
          <w:spacing w:val="-7"/>
        </w:rPr>
        <w:t xml:space="preserve"> </w:t>
      </w:r>
      <w:r>
        <w:t>World</w:t>
      </w:r>
      <w:r>
        <w:rPr>
          <w:spacing w:val="-4"/>
        </w:rPr>
        <w:t xml:space="preserve"> </w:t>
      </w:r>
      <w:r>
        <w:t>Bank.</w:t>
      </w:r>
      <w:r>
        <w:rPr>
          <w:spacing w:val="-3"/>
        </w:rPr>
        <w:t xml:space="preserve"> </w:t>
      </w:r>
      <w:r>
        <w:t>2016.</w:t>
      </w:r>
      <w:r>
        <w:rPr>
          <w:spacing w:val="-4"/>
        </w:rPr>
        <w:t xml:space="preserve"> </w:t>
      </w:r>
      <w:r>
        <w:t>Payment</w:t>
      </w:r>
      <w:r>
        <w:rPr>
          <w:spacing w:val="-3"/>
        </w:rPr>
        <w:t xml:space="preserve"> </w:t>
      </w:r>
      <w:r>
        <w:t>Aspects</w:t>
      </w:r>
      <w:r>
        <w:rPr>
          <w:spacing w:val="-4"/>
        </w:rPr>
        <w:t xml:space="preserve"> </w:t>
      </w:r>
      <w:r>
        <w:t>of</w:t>
      </w:r>
      <w:r>
        <w:rPr>
          <w:spacing w:val="-3"/>
        </w:rPr>
        <w:t xml:space="preserve"> </w:t>
      </w:r>
      <w:r>
        <w:t>Financial</w:t>
      </w:r>
      <w:r>
        <w:rPr>
          <w:spacing w:val="-2"/>
        </w:rPr>
        <w:t xml:space="preserve"> </w:t>
      </w:r>
      <w:r>
        <w:t>Inclusion.</w:t>
      </w:r>
      <w:r>
        <w:rPr>
          <w:spacing w:val="-15"/>
        </w:rPr>
        <w:t xml:space="preserve"> </w:t>
      </w:r>
      <w:r>
        <w:t>Washington,</w:t>
      </w:r>
      <w:r>
        <w:rPr>
          <w:spacing w:val="-4"/>
        </w:rPr>
        <w:t xml:space="preserve"> </w:t>
      </w:r>
      <w:r>
        <w:t>D.C.,</w:t>
      </w:r>
      <w:r>
        <w:rPr>
          <w:spacing w:val="-7"/>
        </w:rPr>
        <w:t xml:space="preserve"> </w:t>
      </w:r>
      <w:r>
        <w:t>World</w:t>
      </w:r>
      <w:r>
        <w:rPr>
          <w:spacing w:val="-4"/>
        </w:rPr>
        <w:t xml:space="preserve"> </w:t>
      </w:r>
      <w:r>
        <w:t>Bank</w:t>
      </w:r>
      <w:r>
        <w:rPr>
          <w:spacing w:val="-3"/>
        </w:rPr>
        <w:t xml:space="preserve"> </w:t>
      </w:r>
      <w:r>
        <w:rPr>
          <w:spacing w:val="-2"/>
        </w:rPr>
        <w:t>Group.</w:t>
      </w:r>
    </w:p>
    <w:p>
      <w:pPr>
        <w:pStyle w:val="5"/>
        <w:spacing w:before="1"/>
        <w:ind w:left="120"/>
      </w:pPr>
      <w:r>
        <w:rPr>
          <w:vertAlign w:val="superscript"/>
        </w:rPr>
        <w:t>41</w:t>
      </w:r>
      <w:r>
        <w:rPr>
          <w:spacing w:val="-3"/>
        </w:rPr>
        <w:t xml:space="preserve"> </w:t>
      </w:r>
      <w:r>
        <w:t>World</w:t>
      </w:r>
      <w:r>
        <w:rPr>
          <w:spacing w:val="-3"/>
        </w:rPr>
        <w:t xml:space="preserve"> </w:t>
      </w:r>
      <w:r>
        <w:t>Bank</w:t>
      </w:r>
      <w:r>
        <w:rPr>
          <w:spacing w:val="-3"/>
        </w:rPr>
        <w:t xml:space="preserve"> </w:t>
      </w:r>
      <w:r>
        <w:t>Group.</w:t>
      </w:r>
      <w:r>
        <w:rPr>
          <w:spacing w:val="-3"/>
        </w:rPr>
        <w:t xml:space="preserve"> </w:t>
      </w:r>
      <w:r>
        <w:t>2017.</w:t>
      </w:r>
      <w:r>
        <w:rPr>
          <w:spacing w:val="-6"/>
        </w:rPr>
        <w:t xml:space="preserve"> </w:t>
      </w:r>
      <w:r>
        <w:t>Good</w:t>
      </w:r>
      <w:r>
        <w:rPr>
          <w:spacing w:val="-3"/>
        </w:rPr>
        <w:t xml:space="preserve"> </w:t>
      </w:r>
      <w:r>
        <w:t>Practices</w:t>
      </w:r>
      <w:r>
        <w:rPr>
          <w:spacing w:val="-3"/>
        </w:rPr>
        <w:t xml:space="preserve"> </w:t>
      </w:r>
      <w:r>
        <w:t>for</w:t>
      </w:r>
      <w:r>
        <w:rPr>
          <w:spacing w:val="-1"/>
        </w:rPr>
        <w:t xml:space="preserve"> </w:t>
      </w:r>
      <w:r>
        <w:t>Financial</w:t>
      </w:r>
      <w:r>
        <w:rPr>
          <w:spacing w:val="-2"/>
        </w:rPr>
        <w:t xml:space="preserve"> </w:t>
      </w:r>
      <w:r>
        <w:t>Consumer</w:t>
      </w:r>
      <w:r>
        <w:rPr>
          <w:spacing w:val="-4"/>
        </w:rPr>
        <w:t xml:space="preserve"> </w:t>
      </w:r>
      <w:r>
        <w:t>Protection,</w:t>
      </w:r>
      <w:r>
        <w:rPr>
          <w:spacing w:val="-6"/>
        </w:rPr>
        <w:t xml:space="preserve"> </w:t>
      </w:r>
      <w:r>
        <w:t>Washington,</w:t>
      </w:r>
      <w:r>
        <w:rPr>
          <w:spacing w:val="-3"/>
        </w:rPr>
        <w:t xml:space="preserve"> </w:t>
      </w:r>
      <w:r>
        <w:t>D.C.,</w:t>
      </w:r>
      <w:r>
        <w:rPr>
          <w:spacing w:val="-6"/>
        </w:rPr>
        <w:t xml:space="preserve"> </w:t>
      </w:r>
      <w:r>
        <w:t xml:space="preserve">World </w:t>
      </w:r>
      <w:r>
        <w:rPr>
          <w:spacing w:val="-2"/>
        </w:rPr>
        <w:t>Bank.</w:t>
      </w:r>
    </w:p>
    <w:p>
      <w:pPr>
        <w:pStyle w:val="5"/>
        <w:spacing w:line="252" w:lineRule="exact"/>
        <w:ind w:left="120"/>
      </w:pPr>
      <w:r>
        <w:rPr>
          <w:vertAlign w:val="superscript"/>
        </w:rPr>
        <w:t>42</w:t>
      </w:r>
      <w:r>
        <w:rPr>
          <w:spacing w:val="-2"/>
        </w:rPr>
        <w:t xml:space="preserve"> </w:t>
      </w:r>
      <w:r>
        <w:t>Boar</w:t>
      </w:r>
      <w:r>
        <w:rPr>
          <w:spacing w:val="-1"/>
        </w:rPr>
        <w:t xml:space="preserve"> </w:t>
      </w:r>
      <w:r>
        <w:t>et</w:t>
      </w:r>
      <w:r>
        <w:rPr>
          <w:spacing w:val="-1"/>
        </w:rPr>
        <w:t xml:space="preserve"> </w:t>
      </w:r>
      <w:r>
        <w:t>al</w:t>
      </w:r>
      <w:r>
        <w:rPr>
          <w:spacing w:val="-1"/>
        </w:rPr>
        <w:t xml:space="preserve"> </w:t>
      </w:r>
      <w:r>
        <w:rPr>
          <w:spacing w:val="-2"/>
        </w:rPr>
        <w:t>(2021).</w:t>
      </w:r>
    </w:p>
    <w:p>
      <w:pPr>
        <w:pStyle w:val="5"/>
        <w:spacing w:before="2" w:line="252" w:lineRule="exact"/>
        <w:ind w:left="120"/>
      </w:pPr>
      <w:r>
        <w:rPr>
          <w:vertAlign w:val="superscript"/>
        </w:rPr>
        <w:t>43</w:t>
      </w:r>
      <w:r>
        <w:rPr>
          <w:spacing w:val="-3"/>
        </w:rPr>
        <w:t xml:space="preserve"> </w:t>
      </w:r>
      <w:r>
        <w:rPr>
          <w:color w:val="333333"/>
        </w:rPr>
        <w:t>Resendiz</w:t>
      </w:r>
      <w:r>
        <w:rPr>
          <w:color w:val="333333"/>
          <w:spacing w:val="-5"/>
        </w:rPr>
        <w:t xml:space="preserve"> </w:t>
      </w:r>
      <w:r>
        <w:rPr>
          <w:color w:val="333333"/>
          <w:spacing w:val="-2"/>
        </w:rPr>
        <w:t>(2018).</w:t>
      </w:r>
    </w:p>
    <w:p>
      <w:pPr>
        <w:pStyle w:val="5"/>
        <w:ind w:left="120" w:right="7407"/>
      </w:pPr>
      <w:r>
        <w:rPr>
          <w:vertAlign w:val="superscript"/>
        </w:rPr>
        <w:t>44</w:t>
      </w:r>
      <w:r>
        <w:rPr>
          <w:spacing w:val="-12"/>
        </w:rPr>
        <w:t xml:space="preserve"> </w:t>
      </w:r>
      <w:r>
        <w:t>World</w:t>
      </w:r>
      <w:r>
        <w:rPr>
          <w:spacing w:val="-12"/>
        </w:rPr>
        <w:t xml:space="preserve"> </w:t>
      </w:r>
      <w:r>
        <w:t>Bank</w:t>
      </w:r>
      <w:r>
        <w:rPr>
          <w:spacing w:val="-13"/>
        </w:rPr>
        <w:t xml:space="preserve"> </w:t>
      </w:r>
      <w:r>
        <w:t xml:space="preserve">(2020b). </w:t>
      </w:r>
      <w:r>
        <w:rPr>
          <w:vertAlign w:val="superscript"/>
        </w:rPr>
        <w:t>45</w:t>
      </w:r>
      <w:r>
        <w:t xml:space="preserve"> World Bank (2016). </w:t>
      </w:r>
      <w:r>
        <w:rPr>
          <w:vertAlign w:val="superscript"/>
        </w:rPr>
        <w:t>46</w:t>
      </w:r>
      <w:r>
        <w:rPr>
          <w:spacing w:val="-8"/>
        </w:rPr>
        <w:t xml:space="preserve"> </w:t>
      </w:r>
      <w:r>
        <w:t>World</w:t>
      </w:r>
      <w:r>
        <w:rPr>
          <w:spacing w:val="-8"/>
        </w:rPr>
        <w:t xml:space="preserve"> </w:t>
      </w:r>
      <w:r>
        <w:t>Bank</w:t>
      </w:r>
      <w:r>
        <w:rPr>
          <w:spacing w:val="-9"/>
        </w:rPr>
        <w:t xml:space="preserve"> </w:t>
      </w:r>
      <w:r>
        <w:t xml:space="preserve">(2021a). </w:t>
      </w:r>
      <w:r>
        <w:rPr>
          <w:vertAlign w:val="superscript"/>
        </w:rPr>
        <w:t>47</w:t>
      </w:r>
      <w:r>
        <w:t xml:space="preserve"> IFC (2020).</w:t>
      </w:r>
    </w:p>
    <w:p>
      <w:pPr>
        <w:pStyle w:val="5"/>
        <w:spacing w:line="252" w:lineRule="exact"/>
        <w:ind w:left="120"/>
      </w:pPr>
      <w:r>
        <w:rPr>
          <w:vertAlign w:val="superscript"/>
        </w:rPr>
        <w:t>48</w:t>
      </w:r>
      <w:r>
        <w:rPr>
          <w:spacing w:val="-2"/>
        </w:rPr>
        <w:t xml:space="preserve"> </w:t>
      </w:r>
      <w:r>
        <w:t>Coelho</w:t>
      </w:r>
      <w:r>
        <w:rPr>
          <w:spacing w:val="-4"/>
        </w:rPr>
        <w:t xml:space="preserve"> </w:t>
      </w:r>
      <w:r>
        <w:t>and</w:t>
      </w:r>
      <w:r>
        <w:rPr>
          <w:spacing w:val="-1"/>
        </w:rPr>
        <w:t xml:space="preserve"> </w:t>
      </w:r>
      <w:r>
        <w:t>Restoy</w:t>
      </w:r>
      <w:r>
        <w:rPr>
          <w:spacing w:val="-4"/>
        </w:rPr>
        <w:t xml:space="preserve"> </w:t>
      </w:r>
      <w:r>
        <w:rPr>
          <w:spacing w:val="-2"/>
        </w:rPr>
        <w:t>(2022).</w:t>
      </w:r>
    </w:p>
    <w:p>
      <w:pPr>
        <w:pStyle w:val="5"/>
        <w:spacing w:line="252" w:lineRule="exact"/>
        <w:ind w:left="120"/>
      </w:pPr>
      <w:r>
        <w:rPr>
          <w:vertAlign w:val="superscript"/>
        </w:rPr>
        <w:t>49</w:t>
      </w:r>
      <w:r>
        <w:rPr>
          <w:spacing w:val="-4"/>
        </w:rPr>
        <w:t xml:space="preserve"> </w:t>
      </w:r>
      <w:r>
        <w:t>Nicholls</w:t>
      </w:r>
      <w:r>
        <w:rPr>
          <w:spacing w:val="-5"/>
        </w:rPr>
        <w:t xml:space="preserve"> </w:t>
      </w:r>
      <w:r>
        <w:rPr>
          <w:spacing w:val="-2"/>
        </w:rPr>
        <w:t>(2019).</w:t>
      </w:r>
    </w:p>
    <w:p>
      <w:pPr>
        <w:pStyle w:val="5"/>
        <w:spacing w:before="2" w:line="252" w:lineRule="exact"/>
        <w:ind w:left="120"/>
      </w:pPr>
      <w:r>
        <w:rPr>
          <w:vertAlign w:val="superscript"/>
        </w:rPr>
        <w:t>50</w:t>
      </w:r>
      <w:r>
        <w:rPr>
          <w:spacing w:val="-3"/>
        </w:rPr>
        <w:t xml:space="preserve"> </w:t>
      </w:r>
      <w:r>
        <w:t>TCFD</w:t>
      </w:r>
      <w:r>
        <w:rPr>
          <w:spacing w:val="-4"/>
        </w:rPr>
        <w:t xml:space="preserve"> </w:t>
      </w:r>
      <w:r>
        <w:rPr>
          <w:spacing w:val="-2"/>
        </w:rPr>
        <w:t>(2021).</w:t>
      </w:r>
    </w:p>
    <w:p>
      <w:pPr>
        <w:pStyle w:val="5"/>
        <w:spacing w:line="252" w:lineRule="exact"/>
        <w:ind w:left="120"/>
      </w:pPr>
      <w:r>
        <w:rPr>
          <w:vertAlign w:val="superscript"/>
        </w:rPr>
        <w:t>51</w:t>
      </w:r>
      <w:r>
        <w:rPr>
          <w:spacing w:val="-3"/>
        </w:rPr>
        <w:t xml:space="preserve"> </w:t>
      </w:r>
      <w:r>
        <w:t>ICMA</w:t>
      </w:r>
      <w:r>
        <w:rPr>
          <w:spacing w:val="-3"/>
        </w:rPr>
        <w:t xml:space="preserve"> </w:t>
      </w:r>
      <w:r>
        <w:rPr>
          <w:spacing w:val="-2"/>
        </w:rPr>
        <w:t>(2021).</w:t>
      </w:r>
    </w:p>
    <w:p>
      <w:pPr>
        <w:pStyle w:val="5"/>
        <w:spacing w:line="252" w:lineRule="exact"/>
        <w:ind w:left="120"/>
      </w:pPr>
      <w:r>
        <w:rPr>
          <w:vertAlign w:val="superscript"/>
        </w:rPr>
        <w:t>52</w:t>
      </w:r>
      <w:r>
        <w:rPr>
          <w:spacing w:val="-2"/>
        </w:rPr>
        <w:t xml:space="preserve"> </w:t>
      </w:r>
      <w:r>
        <w:t>World</w:t>
      </w:r>
      <w:r>
        <w:rPr>
          <w:spacing w:val="-2"/>
        </w:rPr>
        <w:t xml:space="preserve"> </w:t>
      </w:r>
      <w:r>
        <w:t>Bank</w:t>
      </w:r>
      <w:r>
        <w:rPr>
          <w:spacing w:val="-4"/>
        </w:rPr>
        <w:t xml:space="preserve"> </w:t>
      </w:r>
      <w:r>
        <w:rPr>
          <w:spacing w:val="-2"/>
        </w:rPr>
        <w:t>(2021a).</w:t>
      </w:r>
    </w:p>
    <w:p>
      <w:pPr>
        <w:pStyle w:val="5"/>
        <w:spacing w:before="1" w:line="253" w:lineRule="exact"/>
        <w:ind w:left="120"/>
      </w:pPr>
      <w:r>
        <w:rPr>
          <w:vertAlign w:val="superscript"/>
        </w:rPr>
        <w:t>53</w:t>
      </w:r>
      <w:r>
        <w:rPr>
          <w:spacing w:val="-3"/>
        </w:rPr>
        <w:t xml:space="preserve"> </w:t>
      </w:r>
      <w:r>
        <w:t>IFC</w:t>
      </w:r>
      <w:r>
        <w:rPr>
          <w:spacing w:val="-4"/>
        </w:rPr>
        <w:t xml:space="preserve"> </w:t>
      </w:r>
      <w:r>
        <w:rPr>
          <w:spacing w:val="-2"/>
        </w:rPr>
        <w:t>(2020).</w:t>
      </w:r>
    </w:p>
    <w:p>
      <w:pPr>
        <w:pStyle w:val="5"/>
        <w:spacing w:line="253" w:lineRule="exact"/>
        <w:ind w:left="120"/>
      </w:pPr>
      <w:r>
        <w:rPr>
          <w:vertAlign w:val="superscript"/>
        </w:rPr>
        <w:t>54</w:t>
      </w:r>
      <w:r>
        <w:rPr>
          <w:spacing w:val="-4"/>
        </w:rPr>
        <w:t xml:space="preserve"> </w:t>
      </w:r>
      <w:r>
        <w:t>Loan</w:t>
      </w:r>
      <w:r>
        <w:rPr>
          <w:spacing w:val="-3"/>
        </w:rPr>
        <w:t xml:space="preserve"> </w:t>
      </w:r>
      <w:r>
        <w:t>Market</w:t>
      </w:r>
      <w:r>
        <w:rPr>
          <w:spacing w:val="-3"/>
        </w:rPr>
        <w:t xml:space="preserve"> </w:t>
      </w:r>
      <w:r>
        <w:t>Association</w:t>
      </w:r>
      <w:r>
        <w:rPr>
          <w:spacing w:val="-6"/>
        </w:rPr>
        <w:t xml:space="preserve"> </w:t>
      </w:r>
      <w:r>
        <w:t>(2021).</w:t>
      </w:r>
      <w:r>
        <w:rPr>
          <w:spacing w:val="-3"/>
        </w:rPr>
        <w:t xml:space="preserve"> </w:t>
      </w:r>
      <w:r>
        <w:t>Green</w:t>
      </w:r>
      <w:r>
        <w:rPr>
          <w:spacing w:val="-4"/>
        </w:rPr>
        <w:t xml:space="preserve"> </w:t>
      </w:r>
      <w:r>
        <w:t>Loan</w:t>
      </w:r>
      <w:r>
        <w:rPr>
          <w:spacing w:val="-3"/>
        </w:rPr>
        <w:t xml:space="preserve"> </w:t>
      </w:r>
      <w:r>
        <w:rPr>
          <w:spacing w:val="-2"/>
        </w:rPr>
        <w:t>Principles.</w:t>
      </w:r>
    </w:p>
    <w:p>
      <w:pPr>
        <w:pStyle w:val="5"/>
        <w:spacing w:before="1" w:line="252" w:lineRule="exact"/>
        <w:ind w:left="120"/>
      </w:pPr>
      <w:r>
        <w:rPr>
          <w:vertAlign w:val="superscript"/>
        </w:rPr>
        <w:t>55</w:t>
      </w:r>
      <w:r>
        <w:rPr>
          <w:spacing w:val="-2"/>
        </w:rPr>
        <w:t xml:space="preserve"> </w:t>
      </w:r>
      <w:r>
        <w:t>De</w:t>
      </w:r>
      <w:r>
        <w:rPr>
          <w:spacing w:val="-2"/>
        </w:rPr>
        <w:t xml:space="preserve"> </w:t>
      </w:r>
      <w:r>
        <w:t>Silva</w:t>
      </w:r>
      <w:r>
        <w:rPr>
          <w:spacing w:val="-2"/>
        </w:rPr>
        <w:t xml:space="preserve"> </w:t>
      </w:r>
      <w:r>
        <w:t>Lokuwaduge</w:t>
      </w:r>
      <w:r>
        <w:rPr>
          <w:spacing w:val="49"/>
        </w:rPr>
        <w:t xml:space="preserve"> </w:t>
      </w:r>
      <w:r>
        <w:t>and</w:t>
      </w:r>
      <w:r>
        <w:rPr>
          <w:spacing w:val="-4"/>
        </w:rPr>
        <w:t xml:space="preserve"> </w:t>
      </w:r>
      <w:r>
        <w:t>De</w:t>
      </w:r>
      <w:r>
        <w:rPr>
          <w:spacing w:val="-1"/>
        </w:rPr>
        <w:t xml:space="preserve"> </w:t>
      </w:r>
      <w:r>
        <w:t>Silva</w:t>
      </w:r>
      <w:r>
        <w:rPr>
          <w:spacing w:val="-2"/>
        </w:rPr>
        <w:t xml:space="preserve"> (2022).</w:t>
      </w:r>
    </w:p>
    <w:p>
      <w:pPr>
        <w:pStyle w:val="5"/>
        <w:spacing w:line="252" w:lineRule="exact"/>
        <w:ind w:left="120"/>
      </w:pPr>
      <w:r>
        <w:rPr>
          <w:vertAlign w:val="superscript"/>
        </w:rPr>
        <w:t>56</w:t>
      </w:r>
      <w:r>
        <w:rPr>
          <w:spacing w:val="-2"/>
        </w:rPr>
        <w:t xml:space="preserve"> </w:t>
      </w:r>
      <w:r>
        <w:t>World</w:t>
      </w:r>
      <w:r>
        <w:rPr>
          <w:spacing w:val="-2"/>
        </w:rPr>
        <w:t xml:space="preserve"> </w:t>
      </w:r>
      <w:r>
        <w:t>Bank</w:t>
      </w:r>
      <w:r>
        <w:rPr>
          <w:spacing w:val="-4"/>
        </w:rPr>
        <w:t xml:space="preserve"> </w:t>
      </w:r>
      <w:r>
        <w:rPr>
          <w:spacing w:val="-2"/>
        </w:rPr>
        <w:t>(2021a).</w:t>
      </w:r>
    </w:p>
    <w:p>
      <w:pPr>
        <w:pStyle w:val="5"/>
        <w:spacing w:line="252" w:lineRule="exact"/>
        <w:ind w:left="120"/>
      </w:pPr>
      <w:r>
        <w:rPr>
          <w:vertAlign w:val="superscript"/>
        </w:rPr>
        <w:t>57</w:t>
      </w:r>
      <w:r>
        <w:rPr>
          <w:spacing w:val="-3"/>
        </w:rPr>
        <w:t xml:space="preserve"> </w:t>
      </w:r>
      <w:r>
        <w:t>IFC</w:t>
      </w:r>
      <w:r>
        <w:rPr>
          <w:spacing w:val="-4"/>
        </w:rPr>
        <w:t xml:space="preserve"> </w:t>
      </w:r>
      <w:r>
        <w:rPr>
          <w:spacing w:val="-2"/>
        </w:rPr>
        <w:t>(2020).</w:t>
      </w:r>
    </w:p>
    <w:p>
      <w:pPr>
        <w:pStyle w:val="5"/>
        <w:spacing w:before="2"/>
        <w:ind w:left="120" w:right="138"/>
        <w:jc w:val="both"/>
      </w:pPr>
      <w:r>
        <w:rPr>
          <w:vertAlign w:val="superscript"/>
        </w:rPr>
        <w:t>58</w:t>
      </w:r>
      <w:r>
        <w:rPr>
          <w:spacing w:val="-8"/>
        </w:rPr>
        <w:t xml:space="preserve"> </w:t>
      </w:r>
      <w:r>
        <w:t>Credit</w:t>
      </w:r>
      <w:r>
        <w:rPr>
          <w:spacing w:val="-7"/>
        </w:rPr>
        <w:t xml:space="preserve"> </w:t>
      </w:r>
      <w:r>
        <w:t>bureaus</w:t>
      </w:r>
      <w:r>
        <w:rPr>
          <w:spacing w:val="-7"/>
        </w:rPr>
        <w:t xml:space="preserve"> </w:t>
      </w:r>
      <w:r>
        <w:t>and</w:t>
      </w:r>
      <w:r>
        <w:rPr>
          <w:spacing w:val="-9"/>
        </w:rPr>
        <w:t xml:space="preserve"> </w:t>
      </w:r>
      <w:r>
        <w:t>registries</w:t>
      </w:r>
      <w:r>
        <w:rPr>
          <w:spacing w:val="-7"/>
        </w:rPr>
        <w:t xml:space="preserve"> </w:t>
      </w:r>
      <w:r>
        <w:t>differ</w:t>
      </w:r>
      <w:r>
        <w:rPr>
          <w:spacing w:val="-8"/>
        </w:rPr>
        <w:t xml:space="preserve"> </w:t>
      </w:r>
      <w:r>
        <w:t>in</w:t>
      </w:r>
      <w:r>
        <w:rPr>
          <w:spacing w:val="-8"/>
        </w:rPr>
        <w:t xml:space="preserve"> </w:t>
      </w:r>
      <w:r>
        <w:t>terms</w:t>
      </w:r>
      <w:r>
        <w:rPr>
          <w:spacing w:val="-7"/>
        </w:rPr>
        <w:t xml:space="preserve"> </w:t>
      </w:r>
      <w:r>
        <w:t>of</w:t>
      </w:r>
      <w:r>
        <w:rPr>
          <w:spacing w:val="-7"/>
        </w:rPr>
        <w:t xml:space="preserve"> </w:t>
      </w:r>
      <w:r>
        <w:t>their</w:t>
      </w:r>
      <w:r>
        <w:rPr>
          <w:spacing w:val="-7"/>
        </w:rPr>
        <w:t xml:space="preserve"> </w:t>
      </w:r>
      <w:r>
        <w:t>ownership,</w:t>
      </w:r>
      <w:r>
        <w:rPr>
          <w:spacing w:val="-8"/>
        </w:rPr>
        <w:t xml:space="preserve"> </w:t>
      </w:r>
      <w:r>
        <w:t>with</w:t>
      </w:r>
      <w:r>
        <w:rPr>
          <w:spacing w:val="-8"/>
        </w:rPr>
        <w:t xml:space="preserve"> </w:t>
      </w:r>
      <w:r>
        <w:t>the</w:t>
      </w:r>
      <w:r>
        <w:rPr>
          <w:spacing w:val="-8"/>
        </w:rPr>
        <w:t xml:space="preserve"> </w:t>
      </w:r>
      <w:r>
        <w:t>former</w:t>
      </w:r>
      <w:r>
        <w:rPr>
          <w:spacing w:val="-8"/>
        </w:rPr>
        <w:t xml:space="preserve"> </w:t>
      </w:r>
      <w:r>
        <w:t>generally</w:t>
      </w:r>
      <w:r>
        <w:rPr>
          <w:spacing w:val="-8"/>
        </w:rPr>
        <w:t xml:space="preserve"> </w:t>
      </w:r>
      <w:r>
        <w:t>being</w:t>
      </w:r>
      <w:r>
        <w:rPr>
          <w:spacing w:val="-8"/>
        </w:rPr>
        <w:t xml:space="preserve"> </w:t>
      </w:r>
      <w:r>
        <w:t>privately owned companies and the latter established by the government in the majority of cases, usually under the management of the central bank or the banking supervision authority. Regardless of the ownership structure, as credit reporting service providers, both types of organizations can serve the same role by providing information on borrower’s histories that assist creditors in their lending decisions.</w:t>
      </w:r>
    </w:p>
    <w:p>
      <w:pPr>
        <w:pStyle w:val="5"/>
        <w:spacing w:line="252" w:lineRule="exact"/>
        <w:ind w:left="120"/>
      </w:pPr>
      <w:r>
        <w:rPr>
          <w:vertAlign w:val="superscript"/>
        </w:rPr>
        <w:t>59</w:t>
      </w:r>
      <w:r>
        <w:rPr>
          <w:spacing w:val="-2"/>
        </w:rPr>
        <w:t xml:space="preserve"> </w:t>
      </w:r>
      <w:r>
        <w:t>World</w:t>
      </w:r>
      <w:r>
        <w:rPr>
          <w:spacing w:val="-2"/>
        </w:rPr>
        <w:t xml:space="preserve"> </w:t>
      </w:r>
      <w:r>
        <w:t>Bank</w:t>
      </w:r>
      <w:r>
        <w:rPr>
          <w:spacing w:val="-4"/>
        </w:rPr>
        <w:t xml:space="preserve"> </w:t>
      </w:r>
      <w:r>
        <w:t>Group</w:t>
      </w:r>
      <w:r>
        <w:rPr>
          <w:spacing w:val="-5"/>
        </w:rPr>
        <w:t xml:space="preserve"> </w:t>
      </w:r>
      <w:r>
        <w:rPr>
          <w:spacing w:val="-2"/>
        </w:rPr>
        <w:t>(2019).</w:t>
      </w:r>
    </w:p>
    <w:p>
      <w:pPr>
        <w:pStyle w:val="5"/>
        <w:spacing w:line="252" w:lineRule="exact"/>
        <w:ind w:left="120"/>
      </w:pPr>
      <w:r>
        <w:rPr>
          <w:vertAlign w:val="superscript"/>
        </w:rPr>
        <w:t>60</w:t>
      </w:r>
      <w:r>
        <w:rPr>
          <w:spacing w:val="-2"/>
        </w:rPr>
        <w:t xml:space="preserve"> </w:t>
      </w:r>
      <w:r>
        <w:t>World</w:t>
      </w:r>
      <w:r>
        <w:rPr>
          <w:spacing w:val="-2"/>
        </w:rPr>
        <w:t xml:space="preserve"> </w:t>
      </w:r>
      <w:r>
        <w:t>Bank</w:t>
      </w:r>
      <w:r>
        <w:rPr>
          <w:spacing w:val="-4"/>
        </w:rPr>
        <w:t xml:space="preserve"> </w:t>
      </w:r>
      <w:r>
        <w:t>Group</w:t>
      </w:r>
      <w:r>
        <w:rPr>
          <w:spacing w:val="-5"/>
        </w:rPr>
        <w:t xml:space="preserve"> </w:t>
      </w:r>
      <w:r>
        <w:rPr>
          <w:spacing w:val="-2"/>
        </w:rPr>
        <w:t>(2011).</w:t>
      </w:r>
    </w:p>
    <w:p>
      <w:pPr>
        <w:pStyle w:val="5"/>
        <w:spacing w:before="2" w:line="252" w:lineRule="exact"/>
        <w:ind w:left="120"/>
      </w:pPr>
      <w:r>
        <w:rPr>
          <w:vertAlign w:val="superscript"/>
        </w:rPr>
        <w:t>61</w:t>
      </w:r>
      <w:r>
        <w:rPr>
          <w:spacing w:val="-4"/>
        </w:rPr>
        <w:t xml:space="preserve"> </w:t>
      </w:r>
      <w:r>
        <w:t>Giannetti</w:t>
      </w:r>
      <w:r>
        <w:rPr>
          <w:spacing w:val="-3"/>
        </w:rPr>
        <w:t xml:space="preserve"> </w:t>
      </w:r>
      <w:r>
        <w:t>and</w:t>
      </w:r>
      <w:r>
        <w:rPr>
          <w:spacing w:val="-4"/>
        </w:rPr>
        <w:t xml:space="preserve"> </w:t>
      </w:r>
      <w:r>
        <w:t>Jentzsch</w:t>
      </w:r>
      <w:r>
        <w:rPr>
          <w:spacing w:val="-6"/>
        </w:rPr>
        <w:t xml:space="preserve"> </w:t>
      </w:r>
      <w:r>
        <w:rPr>
          <w:spacing w:val="-2"/>
        </w:rPr>
        <w:t>(2013).</w:t>
      </w:r>
    </w:p>
    <w:p>
      <w:pPr>
        <w:pStyle w:val="5"/>
        <w:spacing w:line="252" w:lineRule="exact"/>
        <w:ind w:left="120"/>
      </w:pPr>
      <w:r>
        <w:rPr>
          <w:vertAlign w:val="superscript"/>
        </w:rPr>
        <w:t>62</w:t>
      </w:r>
      <w:r>
        <w:rPr>
          <w:spacing w:val="-3"/>
        </w:rPr>
        <w:t xml:space="preserve"> </w:t>
      </w:r>
      <w:r>
        <w:t>Alvarez</w:t>
      </w:r>
      <w:r>
        <w:rPr>
          <w:spacing w:val="-2"/>
        </w:rPr>
        <w:t xml:space="preserve"> </w:t>
      </w:r>
      <w:r>
        <w:t>de</w:t>
      </w:r>
      <w:r>
        <w:rPr>
          <w:spacing w:val="-3"/>
        </w:rPr>
        <w:t xml:space="preserve"> </w:t>
      </w:r>
      <w:r>
        <w:t>la</w:t>
      </w:r>
      <w:r>
        <w:rPr>
          <w:spacing w:val="-4"/>
        </w:rPr>
        <w:t xml:space="preserve"> </w:t>
      </w:r>
      <w:r>
        <w:t>Campa</w:t>
      </w:r>
      <w:r>
        <w:rPr>
          <w:spacing w:val="-2"/>
        </w:rPr>
        <w:t xml:space="preserve"> (2011).</w:t>
      </w:r>
    </w:p>
    <w:p>
      <w:pPr>
        <w:pStyle w:val="5"/>
        <w:spacing w:before="1" w:line="252" w:lineRule="exact"/>
        <w:ind w:left="120"/>
      </w:pPr>
      <w:r>
        <w:rPr>
          <w:vertAlign w:val="superscript"/>
        </w:rPr>
        <w:t>63</w:t>
      </w:r>
      <w:r>
        <w:rPr>
          <w:spacing w:val="-7"/>
        </w:rPr>
        <w:t xml:space="preserve"> </w:t>
      </w:r>
      <w:r>
        <w:t>UNCITRAL</w:t>
      </w:r>
      <w:r>
        <w:rPr>
          <w:spacing w:val="-7"/>
        </w:rPr>
        <w:t xml:space="preserve"> </w:t>
      </w:r>
      <w:r>
        <w:rPr>
          <w:spacing w:val="-2"/>
        </w:rPr>
        <w:t>(2019).</w:t>
      </w:r>
    </w:p>
    <w:p>
      <w:pPr>
        <w:pStyle w:val="5"/>
        <w:spacing w:line="252" w:lineRule="exact"/>
        <w:ind w:left="120"/>
      </w:pPr>
      <w:r>
        <w:rPr>
          <w:vertAlign w:val="superscript"/>
        </w:rPr>
        <w:t>64</w:t>
      </w:r>
      <w:r>
        <w:rPr>
          <w:spacing w:val="-7"/>
        </w:rPr>
        <w:t xml:space="preserve"> </w:t>
      </w:r>
      <w:r>
        <w:t>UNCITRAL</w:t>
      </w:r>
      <w:r>
        <w:rPr>
          <w:spacing w:val="-7"/>
        </w:rPr>
        <w:t xml:space="preserve"> </w:t>
      </w:r>
      <w:r>
        <w:rPr>
          <w:spacing w:val="-2"/>
        </w:rPr>
        <w:t>(2014).</w:t>
      </w:r>
    </w:p>
    <w:p>
      <w:pPr>
        <w:pStyle w:val="5"/>
        <w:spacing w:line="252" w:lineRule="exact"/>
        <w:ind w:left="120"/>
      </w:pPr>
      <w:r>
        <w:rPr>
          <w:vertAlign w:val="superscript"/>
        </w:rPr>
        <w:t>65</w:t>
      </w:r>
      <w:r>
        <w:rPr>
          <w:spacing w:val="-7"/>
        </w:rPr>
        <w:t xml:space="preserve"> </w:t>
      </w:r>
      <w:r>
        <w:t>UNCITRAL</w:t>
      </w:r>
      <w:r>
        <w:rPr>
          <w:spacing w:val="-7"/>
        </w:rPr>
        <w:t xml:space="preserve"> </w:t>
      </w:r>
      <w:r>
        <w:rPr>
          <w:spacing w:val="-2"/>
        </w:rPr>
        <w:t>(2010).</w:t>
      </w:r>
    </w:p>
    <w:p>
      <w:pPr>
        <w:pStyle w:val="5"/>
        <w:spacing w:before="2" w:line="252" w:lineRule="exact"/>
        <w:ind w:left="120"/>
      </w:pPr>
      <w:r>
        <w:rPr>
          <w:vertAlign w:val="superscript"/>
        </w:rPr>
        <w:t>66</w:t>
      </w:r>
      <w:r>
        <w:rPr>
          <w:spacing w:val="-4"/>
        </w:rPr>
        <w:t xml:space="preserve"> </w:t>
      </w:r>
      <w:r>
        <w:t>Loan</w:t>
      </w:r>
      <w:r>
        <w:rPr>
          <w:spacing w:val="-3"/>
        </w:rPr>
        <w:t xml:space="preserve"> </w:t>
      </w:r>
      <w:r>
        <w:t>Market</w:t>
      </w:r>
      <w:r>
        <w:rPr>
          <w:spacing w:val="-3"/>
        </w:rPr>
        <w:t xml:space="preserve"> </w:t>
      </w:r>
      <w:r>
        <w:t>Association</w:t>
      </w:r>
      <w:r>
        <w:rPr>
          <w:spacing w:val="-6"/>
        </w:rPr>
        <w:t xml:space="preserve"> </w:t>
      </w:r>
      <w:r>
        <w:t>(2021).</w:t>
      </w:r>
      <w:r>
        <w:rPr>
          <w:spacing w:val="-1"/>
        </w:rPr>
        <w:t xml:space="preserve"> </w:t>
      </w:r>
      <w:r>
        <w:t>Green</w:t>
      </w:r>
      <w:r>
        <w:rPr>
          <w:spacing w:val="-4"/>
        </w:rPr>
        <w:t xml:space="preserve"> </w:t>
      </w:r>
      <w:r>
        <w:t>Loan</w:t>
      </w:r>
      <w:r>
        <w:rPr>
          <w:spacing w:val="-3"/>
        </w:rPr>
        <w:t xml:space="preserve"> </w:t>
      </w:r>
      <w:r>
        <w:rPr>
          <w:spacing w:val="-2"/>
        </w:rPr>
        <w:t>Principles.</w:t>
      </w:r>
    </w:p>
    <w:p>
      <w:pPr>
        <w:pStyle w:val="5"/>
        <w:spacing w:line="252" w:lineRule="exact"/>
        <w:ind w:left="120"/>
      </w:pPr>
      <w:r>
        <w:rPr>
          <w:vertAlign w:val="superscript"/>
        </w:rPr>
        <w:t>67</w:t>
      </w:r>
      <w:r>
        <w:rPr>
          <w:spacing w:val="-2"/>
        </w:rPr>
        <w:t xml:space="preserve"> </w:t>
      </w:r>
      <w:r>
        <w:t>World</w:t>
      </w:r>
      <w:r>
        <w:rPr>
          <w:spacing w:val="-2"/>
        </w:rPr>
        <w:t xml:space="preserve"> </w:t>
      </w:r>
      <w:r>
        <w:t>Bank</w:t>
      </w:r>
      <w:r>
        <w:rPr>
          <w:spacing w:val="-4"/>
        </w:rPr>
        <w:t xml:space="preserve"> </w:t>
      </w:r>
      <w:r>
        <w:rPr>
          <w:spacing w:val="-2"/>
        </w:rPr>
        <w:t>(2021a).</w:t>
      </w:r>
    </w:p>
    <w:p>
      <w:pPr>
        <w:pStyle w:val="5"/>
        <w:spacing w:before="1" w:line="252" w:lineRule="exact"/>
        <w:ind w:left="120"/>
      </w:pPr>
      <w:r>
        <w:rPr>
          <w:vertAlign w:val="superscript"/>
        </w:rPr>
        <w:t>68</w:t>
      </w:r>
      <w:r>
        <w:rPr>
          <w:spacing w:val="-3"/>
        </w:rPr>
        <w:t xml:space="preserve"> </w:t>
      </w:r>
      <w:r>
        <w:t>IFC</w:t>
      </w:r>
      <w:r>
        <w:rPr>
          <w:spacing w:val="-4"/>
        </w:rPr>
        <w:t xml:space="preserve"> </w:t>
      </w:r>
      <w:r>
        <w:rPr>
          <w:spacing w:val="-2"/>
        </w:rPr>
        <w:t>(2020).</w:t>
      </w:r>
    </w:p>
    <w:p>
      <w:pPr>
        <w:pStyle w:val="5"/>
        <w:spacing w:line="252" w:lineRule="exact"/>
        <w:ind w:left="120"/>
      </w:pPr>
      <w:r>
        <w:rPr>
          <w:vertAlign w:val="superscript"/>
        </w:rPr>
        <w:t>69</w:t>
      </w:r>
      <w:r>
        <w:rPr>
          <w:spacing w:val="-2"/>
        </w:rPr>
        <w:t xml:space="preserve"> </w:t>
      </w:r>
      <w:r>
        <w:t>FMO</w:t>
      </w:r>
      <w:r>
        <w:rPr>
          <w:spacing w:val="-2"/>
        </w:rPr>
        <w:t xml:space="preserve"> </w:t>
      </w:r>
      <w:r>
        <w:t>and</w:t>
      </w:r>
      <w:r>
        <w:rPr>
          <w:spacing w:val="-1"/>
        </w:rPr>
        <w:t xml:space="preserve"> </w:t>
      </w:r>
      <w:r>
        <w:t>IFC</w:t>
      </w:r>
      <w:r>
        <w:rPr>
          <w:spacing w:val="-3"/>
        </w:rPr>
        <w:t xml:space="preserve"> </w:t>
      </w:r>
      <w:r>
        <w:rPr>
          <w:spacing w:val="-2"/>
        </w:rPr>
        <w:t>(2020).</w:t>
      </w:r>
    </w:p>
    <w:p>
      <w:pPr>
        <w:pStyle w:val="5"/>
        <w:spacing w:line="252" w:lineRule="exact"/>
        <w:ind w:left="120"/>
      </w:pPr>
      <w:r>
        <w:rPr>
          <w:vertAlign w:val="superscript"/>
        </w:rPr>
        <w:t>70</w:t>
      </w:r>
      <w:r>
        <w:rPr>
          <w:spacing w:val="-3"/>
        </w:rPr>
        <w:t xml:space="preserve"> </w:t>
      </w:r>
      <w:r>
        <w:t>Campos</w:t>
      </w:r>
      <w:r>
        <w:rPr>
          <w:spacing w:val="-2"/>
        </w:rPr>
        <w:t xml:space="preserve"> </w:t>
      </w:r>
      <w:r>
        <w:t>et</w:t>
      </w:r>
      <w:r>
        <w:rPr>
          <w:spacing w:val="-2"/>
        </w:rPr>
        <w:t xml:space="preserve"> </w:t>
      </w:r>
      <w:r>
        <w:t>al.</w:t>
      </w:r>
      <w:r>
        <w:rPr>
          <w:spacing w:val="-2"/>
        </w:rPr>
        <w:t xml:space="preserve"> (2018).</w:t>
      </w:r>
    </w:p>
    <w:p>
      <w:pPr>
        <w:pStyle w:val="5"/>
        <w:spacing w:before="2" w:line="252" w:lineRule="exact"/>
        <w:ind w:left="120"/>
      </w:pPr>
      <w:r>
        <w:rPr>
          <w:vertAlign w:val="superscript"/>
        </w:rPr>
        <w:t>71</w:t>
      </w:r>
      <w:r>
        <w:rPr>
          <w:spacing w:val="-4"/>
        </w:rPr>
        <w:t xml:space="preserve"> </w:t>
      </w:r>
      <w:r>
        <w:t>Cucagna,</w:t>
      </w:r>
      <w:r>
        <w:rPr>
          <w:spacing w:val="-6"/>
        </w:rPr>
        <w:t xml:space="preserve"> </w:t>
      </w:r>
      <w:r>
        <w:t>Iacovone,</w:t>
      </w:r>
      <w:r>
        <w:rPr>
          <w:spacing w:val="-4"/>
        </w:rPr>
        <w:t xml:space="preserve"> </w:t>
      </w:r>
      <w:r>
        <w:t>and</w:t>
      </w:r>
      <w:r>
        <w:rPr>
          <w:spacing w:val="-4"/>
        </w:rPr>
        <w:t xml:space="preserve"> </w:t>
      </w:r>
      <w:r>
        <w:t>Rubiano-Matulevich</w:t>
      </w:r>
      <w:r>
        <w:rPr>
          <w:spacing w:val="-5"/>
        </w:rPr>
        <w:t xml:space="preserve"> </w:t>
      </w:r>
      <w:r>
        <w:rPr>
          <w:spacing w:val="-2"/>
        </w:rPr>
        <w:t>(2020).</w:t>
      </w:r>
    </w:p>
    <w:p>
      <w:pPr>
        <w:pStyle w:val="5"/>
        <w:spacing w:line="252" w:lineRule="exact"/>
        <w:ind w:left="120"/>
      </w:pPr>
      <w:r>
        <w:rPr>
          <w:vertAlign w:val="superscript"/>
        </w:rPr>
        <w:t>72</w:t>
      </w:r>
      <w:r>
        <w:rPr>
          <w:spacing w:val="-3"/>
        </w:rPr>
        <w:t xml:space="preserve"> </w:t>
      </w:r>
      <w:r>
        <w:t>Brock</w:t>
      </w:r>
      <w:r>
        <w:rPr>
          <w:spacing w:val="-2"/>
        </w:rPr>
        <w:t xml:space="preserve"> </w:t>
      </w:r>
      <w:r>
        <w:t>and</w:t>
      </w:r>
      <w:r>
        <w:rPr>
          <w:spacing w:val="-3"/>
        </w:rPr>
        <w:t xml:space="preserve"> </w:t>
      </w:r>
      <w:r>
        <w:t>Haas</w:t>
      </w:r>
      <w:r>
        <w:rPr>
          <w:spacing w:val="-2"/>
        </w:rPr>
        <w:t xml:space="preserve"> (2023).</w:t>
      </w:r>
    </w:p>
    <w:p>
      <w:pPr>
        <w:pStyle w:val="5"/>
        <w:spacing w:before="1" w:line="252" w:lineRule="exact"/>
        <w:ind w:left="120"/>
      </w:pPr>
      <w:r>
        <w:rPr>
          <w:vertAlign w:val="superscript"/>
        </w:rPr>
        <w:t>73</w:t>
      </w:r>
      <w:r>
        <w:rPr>
          <w:spacing w:val="-3"/>
        </w:rPr>
        <w:t xml:space="preserve"> </w:t>
      </w:r>
      <w:r>
        <w:t>IFC</w:t>
      </w:r>
      <w:r>
        <w:rPr>
          <w:spacing w:val="-4"/>
        </w:rPr>
        <w:t xml:space="preserve"> </w:t>
      </w:r>
      <w:r>
        <w:rPr>
          <w:spacing w:val="-2"/>
        </w:rPr>
        <w:t>(2017).</w:t>
      </w:r>
    </w:p>
    <w:p>
      <w:pPr>
        <w:pStyle w:val="5"/>
        <w:spacing w:line="252" w:lineRule="exact"/>
        <w:ind w:left="120"/>
      </w:pPr>
      <w:r>
        <w:rPr>
          <w:vertAlign w:val="superscript"/>
        </w:rPr>
        <w:t>74</w:t>
      </w:r>
      <w:r>
        <w:rPr>
          <w:spacing w:val="-2"/>
        </w:rPr>
        <w:t xml:space="preserve"> </w:t>
      </w:r>
      <w:r>
        <w:t>Saparito,</w:t>
      </w:r>
      <w:r>
        <w:rPr>
          <w:spacing w:val="-2"/>
        </w:rPr>
        <w:t xml:space="preserve"> </w:t>
      </w:r>
      <w:r>
        <w:t>Elam,</w:t>
      </w:r>
      <w:r>
        <w:rPr>
          <w:spacing w:val="-5"/>
        </w:rPr>
        <w:t xml:space="preserve"> </w:t>
      </w:r>
      <w:r>
        <w:t>and</w:t>
      </w:r>
      <w:r>
        <w:rPr>
          <w:spacing w:val="-2"/>
        </w:rPr>
        <w:t xml:space="preserve"> </w:t>
      </w:r>
      <w:r>
        <w:t>Brush</w:t>
      </w:r>
      <w:r>
        <w:rPr>
          <w:spacing w:val="-4"/>
        </w:rPr>
        <w:t xml:space="preserve"> </w:t>
      </w:r>
      <w:r>
        <w:rPr>
          <w:spacing w:val="-2"/>
        </w:rPr>
        <w:t>(2013).</w:t>
      </w:r>
    </w:p>
    <w:p>
      <w:pPr>
        <w:pStyle w:val="5"/>
        <w:spacing w:line="252" w:lineRule="exact"/>
        <w:ind w:left="120"/>
      </w:pPr>
      <w:r>
        <w:rPr>
          <w:vertAlign w:val="superscript"/>
        </w:rPr>
        <w:t>75</w:t>
      </w:r>
      <w:r>
        <w:rPr>
          <w:spacing w:val="-5"/>
        </w:rPr>
        <w:t xml:space="preserve"> </w:t>
      </w:r>
      <w:r>
        <w:t>Beck,</w:t>
      </w:r>
      <w:r>
        <w:rPr>
          <w:spacing w:val="-4"/>
        </w:rPr>
        <w:t xml:space="preserve"> </w:t>
      </w:r>
      <w:r>
        <w:t>Demirguc-Kunt,</w:t>
      </w:r>
      <w:r>
        <w:rPr>
          <w:spacing w:val="-4"/>
        </w:rPr>
        <w:t xml:space="preserve"> </w:t>
      </w:r>
      <w:r>
        <w:t>and</w:t>
      </w:r>
      <w:r>
        <w:rPr>
          <w:spacing w:val="-6"/>
        </w:rPr>
        <w:t xml:space="preserve"> </w:t>
      </w:r>
      <w:r>
        <w:t>Maksimovic</w:t>
      </w:r>
      <w:r>
        <w:rPr>
          <w:spacing w:val="-4"/>
        </w:rPr>
        <w:t xml:space="preserve"> </w:t>
      </w:r>
      <w:r>
        <w:rPr>
          <w:spacing w:val="-2"/>
        </w:rPr>
        <w:t>(2005).</w:t>
      </w:r>
    </w:p>
    <w:p>
      <w:pPr>
        <w:pStyle w:val="5"/>
        <w:spacing w:before="2" w:line="252" w:lineRule="exact"/>
        <w:ind w:left="120"/>
      </w:pPr>
      <w:r>
        <w:rPr>
          <w:vertAlign w:val="superscript"/>
        </w:rPr>
        <w:t>76</w:t>
      </w:r>
      <w:r>
        <w:rPr>
          <w:spacing w:val="-3"/>
        </w:rPr>
        <w:t xml:space="preserve"> </w:t>
      </w:r>
      <w:r>
        <w:t>UNCITRAL</w:t>
      </w:r>
      <w:r>
        <w:rPr>
          <w:spacing w:val="-3"/>
        </w:rPr>
        <w:t xml:space="preserve"> </w:t>
      </w:r>
      <w:r>
        <w:t>(2014,</w:t>
      </w:r>
      <w:r>
        <w:rPr>
          <w:spacing w:val="-3"/>
        </w:rPr>
        <w:t xml:space="preserve"> </w:t>
      </w:r>
      <w:r>
        <w:t>2019,</w:t>
      </w:r>
      <w:r>
        <w:rPr>
          <w:spacing w:val="-5"/>
        </w:rPr>
        <w:t xml:space="preserve"> </w:t>
      </w:r>
      <w:r>
        <w:t>2020)</w:t>
      </w:r>
      <w:r>
        <w:rPr>
          <w:rFonts w:hint="eastAsia" w:eastAsia="宋体"/>
          <w:lang w:eastAsia="zh-CN"/>
        </w:rPr>
        <w:t>；</w:t>
      </w:r>
      <w:r>
        <w:rPr>
          <w:spacing w:val="-2"/>
        </w:rPr>
        <w:t xml:space="preserve"> </w:t>
      </w:r>
      <w:r>
        <w:t>World</w:t>
      </w:r>
      <w:r>
        <w:rPr>
          <w:spacing w:val="-3"/>
        </w:rPr>
        <w:t xml:space="preserve"> </w:t>
      </w:r>
      <w:r>
        <w:t>Bank</w:t>
      </w:r>
      <w:r>
        <w:rPr>
          <w:spacing w:val="-3"/>
        </w:rPr>
        <w:t xml:space="preserve"> </w:t>
      </w:r>
      <w:r>
        <w:t>Group</w:t>
      </w:r>
      <w:r>
        <w:rPr>
          <w:spacing w:val="-6"/>
        </w:rPr>
        <w:t xml:space="preserve"> </w:t>
      </w:r>
      <w:r>
        <w:rPr>
          <w:spacing w:val="-2"/>
        </w:rPr>
        <w:t>(2011).</w:t>
      </w:r>
    </w:p>
    <w:p>
      <w:pPr>
        <w:pStyle w:val="5"/>
        <w:spacing w:line="252" w:lineRule="exact"/>
        <w:ind w:left="120"/>
      </w:pPr>
      <w:r>
        <w:rPr>
          <w:vertAlign w:val="superscript"/>
        </w:rPr>
        <w:t>77</w:t>
      </w:r>
      <w:r>
        <w:rPr>
          <w:spacing w:val="-4"/>
        </w:rPr>
        <w:t xml:space="preserve"> </w:t>
      </w:r>
      <w:r>
        <w:t>Demirgüç-Kunt,</w:t>
      </w:r>
      <w:r>
        <w:rPr>
          <w:spacing w:val="-4"/>
        </w:rPr>
        <w:t xml:space="preserve"> </w:t>
      </w:r>
      <w:r>
        <w:t>Beck,</w:t>
      </w:r>
      <w:r>
        <w:rPr>
          <w:spacing w:val="-4"/>
        </w:rPr>
        <w:t xml:space="preserve"> </w:t>
      </w:r>
      <w:r>
        <w:t>and</w:t>
      </w:r>
      <w:r>
        <w:rPr>
          <w:spacing w:val="-6"/>
        </w:rPr>
        <w:t xml:space="preserve"> </w:t>
      </w:r>
      <w:r>
        <w:t>Honohan</w:t>
      </w:r>
      <w:r>
        <w:rPr>
          <w:spacing w:val="-5"/>
        </w:rPr>
        <w:t xml:space="preserve"> </w:t>
      </w:r>
      <w:r>
        <w:rPr>
          <w:spacing w:val="-2"/>
        </w:rPr>
        <w:t>(2008).</w:t>
      </w:r>
    </w:p>
    <w:p>
      <w:pPr>
        <w:spacing w:line="252" w:lineRule="exact"/>
        <w:sectPr>
          <w:pgSz w:w="12240" w:h="15840"/>
          <w:pgMar w:top="1500" w:right="1300" w:bottom="280" w:left="1320" w:header="720" w:footer="720" w:gutter="0"/>
          <w:cols w:space="720" w:num="1"/>
        </w:sectPr>
      </w:pPr>
    </w:p>
    <w:p>
      <w:pPr>
        <w:pStyle w:val="5"/>
        <w:spacing w:before="2"/>
        <w:rPr>
          <w:sz w:val="8"/>
        </w:rPr>
      </w:pPr>
    </w:p>
    <w:p>
      <w:pPr>
        <w:pStyle w:val="5"/>
        <w:spacing w:line="20" w:lineRule="exact"/>
        <w:ind w:left="120"/>
        <w:rPr>
          <w:sz w:val="2"/>
        </w:rPr>
      </w:pPr>
      <w:r>
        <w:rPr>
          <w:sz w:val="2"/>
        </w:rPr>
        <mc:AlternateContent>
          <mc:Choice Requires="wpg">
            <w:drawing>
              <wp:inline distT="0" distB="0" distL="114300" distR="114300">
                <wp:extent cx="5944870" cy="9525"/>
                <wp:effectExtent l="0" t="0" r="0" b="0"/>
                <wp:docPr id="8" name="组合 8"/>
                <wp:cNvGraphicFramePr/>
                <a:graphic xmlns:a="http://schemas.openxmlformats.org/drawingml/2006/main">
                  <a:graphicData uri="http://schemas.microsoft.com/office/word/2010/wordprocessingGroup">
                    <wpg:wgp>
                      <wpg:cNvGrpSpPr/>
                      <wpg:grpSpPr>
                        <a:xfrm>
                          <a:off x="0" y="0"/>
                          <a:ext cx="5944870" cy="9525"/>
                          <a:chOff x="0" y="0"/>
                          <a:chExt cx="9362" cy="15"/>
                        </a:xfrm>
                      </wpg:grpSpPr>
                      <wps:wsp>
                        <wps:cNvPr id="7" name="矩形 7"/>
                        <wps:cNvSpPr/>
                        <wps:spPr>
                          <a:xfrm>
                            <a:off x="0" y="0"/>
                            <a:ext cx="9362"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468.1pt;" coordsize="9362,15" o:gfxdata="UEsDBAoAAAAAAIdO4kAAAAAAAAAAAAAAAAAEAAAAZHJzL1BLAwQUAAAACACHTuJAxqRI29QAAAAD&#10;AQAADwAAAGRycy9kb3ducmV2LnhtbE2PQUvDQBCF74L/YRnBm92kpcXGbIoU9VQEW0F6m2anSWh2&#10;NmS3SfvvHb3o5cHwHu99k68urlUD9aHxbCCdJKCIS28brgx87l4fHkGFiGyx9UwGrhRgVdze5JhZ&#10;P/IHDdtYKSnhkKGBOsYu0zqUNTkME98Ri3f0vcMoZ19p2+Mo5a7V0yRZaIcNy0KNHa1rKk/bszPw&#10;NuL4PEtfhs3puL7ud/P3r01KxtzfpckTqEiX+BeGH3xBh0KYDv7MNqjWgDwSf1W85WwxBXWQ0Bx0&#10;kev/7MU3UEsDBBQAAAAIAIdO4kBZVWrBBwIAAH4EAAAOAAAAZHJzL2Uyb0RvYy54bWyllM2O0zAQ&#10;x+9IvIPlO01btts2aroHyvaCYKWFB3AdJ7HkL43dpr1z4MgbIHHjGRCPs+I1GDtpF7pCqiCHxB8z&#10;f8//52kXN3utyE6Al9YUdDQYUiIMt6U0dUE/vL99MaPEB2ZKpqwRBT0IT2+Wz58tWpeLsW2sKgUQ&#10;FDE+b11BmxBcnmWeN0IzP7BOGNysLGgWcAp1VgJrUV2rbDwcXmethdKB5cJ7XF11m7RXhEsEbVVJ&#10;LlaWb7UwoVMFoVhAS76RztNlqraqBA/vqsqLQFRB0WlIbzwEx5v4zpYLltfAXCN5XwK7pIQzT5pJ&#10;g4eepFYsMLIF+URKSw7W2yoMuNVZZyQRQRej4RmbNditS17qvK3dCTpe1Bn1f5blb3d3QGRZULx2&#10;wzRe+M/vHx8+fyKzyKZ1dY4ha3D37g76hbqbRbv7CnT8ohGyT1QPJ6piHwjHxcn86mo2ReAc9+aT&#10;8aSDzhu8mSdJvHndp81fXo+7nFHKyI6nZbGoUw2twzb0j2z8/7G5b5gTCbmPxns20xObL98efnwl&#10;045NCjmB8blHRpdS+as9ljvwYS2sJnFQUMAmTr3Fdm98wDtAEseQeJq3Spa3Uqk0gXrzSgHZsdjw&#10;6Ym1YsofYcrEYGNjWrcdV5Ds0UQcbWx5QABbB7JusJBRUuqBp+jUlkm9/wnFvv99nqIe/zaW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GpEjb1AAAAAMBAAAPAAAAAAAAAAEAIAAAACIAAABkcnMv&#10;ZG93bnJldi54bWxQSwECFAAUAAAACACHTuJAWVVqwQcCAAB+BAAADgAAAAAAAAABACAAAAAjAQAA&#10;ZHJzL2Uyb0RvYy54bWxQSwUGAAAAAAYABgBZAQAAnAUAAAAA&#10;">
                <o:lock v:ext="edit" aspectratio="f"/>
                <v:rect id="_x0000_s1026" o:spid="_x0000_s1026" o:spt="1" style="position:absolute;left:0;top:0;height:15;width:9362;" fillcolor="#000000" filled="t" stroked="f" coordsize="21600,21600" o:gfxdata="UEsDBAoAAAAAAIdO4kAAAAAAAAAAAAAAAAAEAAAAZHJzL1BLAwQUAAAACACHTuJAo4opfL4AAADa&#10;AAAADwAAAGRycy9kb3ducmV2LnhtbEWPT2sCMRTE70K/Q3iF3mqitFXXjYKFQi8F/x309tw8d5fd&#10;vGyTVK2fvikIHoeZ+Q2Tzy+2FSfyoXasYdBXIIgLZ2ouNWw3H89jECEiG2wdk4ZfCjCfPfRyzIw7&#10;84pO61iKBOGQoYYqxi6TMhQVWQx91xEn7+i8xZikL6XxeE5w28qhUm/SYs1pocKO3isqmvWP1bCY&#10;jBffyxf+uq4Oe9rvDs3r0Cutnx4Hagoi0iXew7f2p9Ewgv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4opfL4A&#10;AADaAAAADwAAAAAAAAABACAAAAAiAAAAZHJzL2Rvd25yZXYueG1sUEsBAhQAFAAAAAgAh07iQDMv&#10;BZ47AAAAOQAAABAAAAAAAAAAAQAgAAAADQEAAGRycy9zaGFwZXhtbC54bWxQSwUGAAAAAAYABgBb&#10;AQAAtwMAAAAA&#10;">
                  <v:fill on="t" focussize="0,0"/>
                  <v:stroke on="f"/>
                  <v:imagedata o:title=""/>
                  <o:lock v:ext="edit" aspectratio="f"/>
                </v:rect>
                <w10:wrap type="none"/>
                <w10:anchorlock/>
              </v:group>
            </w:pict>
          </mc:Fallback>
        </mc:AlternateContent>
      </w:r>
    </w:p>
    <w:p>
      <w:pPr>
        <w:pStyle w:val="5"/>
        <w:spacing w:before="94" w:line="252" w:lineRule="exact"/>
        <w:ind w:left="120"/>
      </w:pPr>
      <w:r>
        <w:rPr>
          <w:vertAlign w:val="superscript"/>
        </w:rPr>
        <w:t>78</w:t>
      </w:r>
      <w:r>
        <w:rPr>
          <w:spacing w:val="-4"/>
        </w:rPr>
        <w:t xml:space="preserve"> </w:t>
      </w:r>
      <w:r>
        <w:t>Beck,</w:t>
      </w:r>
      <w:r>
        <w:rPr>
          <w:spacing w:val="-3"/>
        </w:rPr>
        <w:t xml:space="preserve"> </w:t>
      </w:r>
      <w:r>
        <w:t>Demirgüç-Kunt,</w:t>
      </w:r>
      <w:r>
        <w:rPr>
          <w:spacing w:val="-4"/>
        </w:rPr>
        <w:t xml:space="preserve"> </w:t>
      </w:r>
      <w:r>
        <w:t>and</w:t>
      </w:r>
      <w:r>
        <w:rPr>
          <w:spacing w:val="-5"/>
        </w:rPr>
        <w:t xml:space="preserve"> </w:t>
      </w:r>
      <w:r>
        <w:t>Honohan</w:t>
      </w:r>
      <w:r>
        <w:rPr>
          <w:spacing w:val="-5"/>
        </w:rPr>
        <w:t xml:space="preserve"> </w:t>
      </w:r>
      <w:r>
        <w:rPr>
          <w:spacing w:val="-2"/>
        </w:rPr>
        <w:t>(2009).</w:t>
      </w:r>
    </w:p>
    <w:p>
      <w:pPr>
        <w:pStyle w:val="5"/>
        <w:spacing w:line="252" w:lineRule="exact"/>
        <w:ind w:left="120"/>
      </w:pPr>
      <w:r>
        <w:rPr>
          <w:vertAlign w:val="superscript"/>
        </w:rPr>
        <w:t>79</w:t>
      </w:r>
      <w:r>
        <w:rPr>
          <w:spacing w:val="-2"/>
        </w:rPr>
        <w:t xml:space="preserve"> </w:t>
      </w:r>
      <w:r>
        <w:t>World</w:t>
      </w:r>
      <w:r>
        <w:rPr>
          <w:spacing w:val="-2"/>
        </w:rPr>
        <w:t xml:space="preserve"> </w:t>
      </w:r>
      <w:r>
        <w:t>Bank</w:t>
      </w:r>
      <w:r>
        <w:rPr>
          <w:spacing w:val="-4"/>
        </w:rPr>
        <w:t xml:space="preserve"> </w:t>
      </w:r>
      <w:r>
        <w:rPr>
          <w:spacing w:val="-2"/>
        </w:rPr>
        <w:t>(2014).</w:t>
      </w:r>
    </w:p>
    <w:p>
      <w:pPr>
        <w:pStyle w:val="5"/>
        <w:spacing w:before="1" w:line="252" w:lineRule="exact"/>
        <w:ind w:left="120"/>
      </w:pPr>
      <w:r>
        <w:rPr>
          <w:vertAlign w:val="superscript"/>
        </w:rPr>
        <w:t>80</w:t>
      </w:r>
      <w:r>
        <w:rPr>
          <w:spacing w:val="-2"/>
        </w:rPr>
        <w:t xml:space="preserve"> </w:t>
      </w:r>
      <w:r>
        <w:t>World</w:t>
      </w:r>
      <w:r>
        <w:rPr>
          <w:spacing w:val="-2"/>
        </w:rPr>
        <w:t xml:space="preserve"> </w:t>
      </w:r>
      <w:r>
        <w:t>Bank</w:t>
      </w:r>
      <w:r>
        <w:rPr>
          <w:spacing w:val="-4"/>
        </w:rPr>
        <w:t xml:space="preserve"> </w:t>
      </w:r>
      <w:r>
        <w:rPr>
          <w:spacing w:val="-2"/>
        </w:rPr>
        <w:t>(2021b).</w:t>
      </w:r>
    </w:p>
    <w:p>
      <w:pPr>
        <w:pStyle w:val="5"/>
        <w:spacing w:line="252" w:lineRule="exact"/>
        <w:ind w:left="120"/>
      </w:pPr>
      <w:r>
        <w:rPr>
          <w:vertAlign w:val="superscript"/>
        </w:rPr>
        <w:t>81</w:t>
      </w:r>
      <w:r>
        <w:rPr>
          <w:spacing w:val="-3"/>
        </w:rPr>
        <w:t xml:space="preserve"> </w:t>
      </w:r>
      <w:r>
        <w:t>World</w:t>
      </w:r>
      <w:r>
        <w:rPr>
          <w:spacing w:val="-2"/>
        </w:rPr>
        <w:t xml:space="preserve"> </w:t>
      </w:r>
      <w:r>
        <w:t>Bank</w:t>
      </w:r>
      <w:r>
        <w:rPr>
          <w:spacing w:val="-5"/>
        </w:rPr>
        <w:t xml:space="preserve"> </w:t>
      </w:r>
      <w:r>
        <w:t>Group</w:t>
      </w:r>
      <w:r>
        <w:rPr>
          <w:spacing w:val="-5"/>
        </w:rPr>
        <w:t xml:space="preserve"> </w:t>
      </w:r>
      <w:r>
        <w:t>and</w:t>
      </w:r>
      <w:r>
        <w:rPr>
          <w:spacing w:val="-4"/>
        </w:rPr>
        <w:t xml:space="preserve"> </w:t>
      </w:r>
      <w:r>
        <w:t>World</w:t>
      </w:r>
      <w:r>
        <w:rPr>
          <w:spacing w:val="-3"/>
        </w:rPr>
        <w:t xml:space="preserve"> </w:t>
      </w:r>
      <w:r>
        <w:t>Economic</w:t>
      </w:r>
      <w:r>
        <w:rPr>
          <w:spacing w:val="-2"/>
        </w:rPr>
        <w:t xml:space="preserve"> </w:t>
      </w:r>
      <w:r>
        <w:t>Forum</w:t>
      </w:r>
      <w:r>
        <w:rPr>
          <w:spacing w:val="-4"/>
        </w:rPr>
        <w:t xml:space="preserve"> </w:t>
      </w:r>
      <w:r>
        <w:rPr>
          <w:spacing w:val="-2"/>
        </w:rPr>
        <w:t>(2016).</w:t>
      </w:r>
    </w:p>
    <w:p>
      <w:pPr>
        <w:pStyle w:val="5"/>
        <w:spacing w:before="1"/>
        <w:ind w:left="120"/>
        <w:rPr>
          <w:lang w:eastAsia="zh-CN"/>
        </w:rPr>
        <w:sectPr>
          <w:pgSz w:w="12240" w:h="15840"/>
          <w:pgMar w:top="1500" w:right="1300" w:bottom="280" w:left="1320" w:header="720" w:footer="720" w:gutter="0"/>
          <w:cols w:space="720" w:num="1"/>
        </w:sectPr>
      </w:pPr>
      <w:r>
        <w:rPr>
          <w:vertAlign w:val="superscript"/>
          <w:lang w:eastAsia="zh-CN"/>
        </w:rPr>
        <w:t>82</w:t>
      </w:r>
      <w:r>
        <w:rPr>
          <w:spacing w:val="-4"/>
          <w:lang w:eastAsia="zh-CN"/>
        </w:rPr>
        <w:t xml:space="preserve"> </w:t>
      </w:r>
      <w:r>
        <w:rPr>
          <w:lang w:eastAsia="zh-CN"/>
        </w:rPr>
        <w:t>Pazarbasioglu</w:t>
      </w:r>
      <w:r>
        <w:rPr>
          <w:spacing w:val="-3"/>
          <w:lang w:eastAsia="zh-CN"/>
        </w:rPr>
        <w:t xml:space="preserve"> </w:t>
      </w:r>
      <w:r>
        <w:rPr>
          <w:lang w:eastAsia="zh-CN"/>
        </w:rPr>
        <w:t>et</w:t>
      </w:r>
      <w:r>
        <w:rPr>
          <w:spacing w:val="-3"/>
          <w:lang w:eastAsia="zh-CN"/>
        </w:rPr>
        <w:t xml:space="preserve"> </w:t>
      </w:r>
      <w:r>
        <w:rPr>
          <w:lang w:eastAsia="zh-CN"/>
        </w:rPr>
        <w:t>al.</w:t>
      </w:r>
      <w:r>
        <w:rPr>
          <w:spacing w:val="-3"/>
          <w:lang w:eastAsia="zh-CN"/>
        </w:rPr>
        <w:t xml:space="preserve"> </w:t>
      </w:r>
      <w:r>
        <w:rPr>
          <w:spacing w:val="-2"/>
          <w:lang w:eastAsia="zh-CN"/>
        </w:rPr>
        <w:t>(2020).</w:t>
      </w:r>
    </w:p>
    <w:p>
      <w:pPr>
        <w:pStyle w:val="5"/>
        <w:rPr>
          <w:sz w:val="26"/>
          <w:lang w:eastAsia="zh-CN"/>
        </w:rPr>
      </w:pPr>
    </w:p>
    <w:p>
      <w:pPr>
        <w:pStyle w:val="3"/>
        <w:spacing w:before="0" w:after="240" w:afterLines="100" w:line="400" w:lineRule="exact"/>
        <w:jc w:val="center"/>
        <w:rPr>
          <w:rFonts w:ascii="Times New Roman" w:hAnsi="Times New Roman" w:eastAsia="宋体"/>
          <w:sz w:val="28"/>
          <w:szCs w:val="28"/>
          <w:lang w:eastAsia="zh-CN"/>
        </w:rPr>
      </w:pPr>
      <w:r>
        <w:rPr>
          <w:rFonts w:ascii="Times New Roman" w:hAnsi="Times New Roman" w:eastAsia="宋体"/>
          <w:sz w:val="28"/>
          <w:szCs w:val="28"/>
          <w:lang w:eastAsia="zh-CN"/>
        </w:rPr>
        <w:t>附件A.</w:t>
      </w:r>
      <w:r>
        <w:rPr>
          <w:rFonts w:hint="eastAsia" w:ascii="Times New Roman" w:hAnsi="Times New Roman" w:eastAsia="宋体"/>
          <w:sz w:val="28"/>
          <w:szCs w:val="28"/>
          <w:lang w:eastAsia="zh-CN"/>
        </w:rPr>
        <w:t xml:space="preserve"> </w:t>
      </w:r>
      <w:r>
        <w:rPr>
          <w:rFonts w:ascii="Times New Roman" w:hAnsi="Times New Roman" w:eastAsia="宋体"/>
          <w:sz w:val="28"/>
          <w:szCs w:val="28"/>
          <w:lang w:eastAsia="zh-CN"/>
        </w:rPr>
        <w:t>金融服务-计分表</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本文件概述了金融服务主题的评分方法。对于每个指标，分配了企业灵活</w:t>
      </w:r>
      <w:r>
        <w:rPr>
          <w:rFonts w:hint="eastAsia" w:eastAsia="宋体"/>
          <w:sz w:val="28"/>
          <w:szCs w:val="28"/>
          <w:lang w:eastAsia="zh-CN"/>
        </w:rPr>
        <w:t>度得分</w:t>
      </w:r>
      <w:r>
        <w:rPr>
          <w:rFonts w:eastAsia="宋体"/>
          <w:sz w:val="28"/>
          <w:szCs w:val="28"/>
          <w:lang w:eastAsia="zh-CN"/>
        </w:rPr>
        <w:t>(FFP)和/或社会效益得分(SBP)，并对每个此类指标的详细评分进行了</w:t>
      </w:r>
      <w:r>
        <w:rPr>
          <w:rFonts w:hint="eastAsia" w:eastAsia="宋体"/>
          <w:sz w:val="28"/>
          <w:szCs w:val="28"/>
          <w:lang w:eastAsia="zh-CN"/>
        </w:rPr>
        <w:t>说明</w:t>
      </w:r>
      <w:r>
        <w:rPr>
          <w:rFonts w:eastAsia="宋体"/>
          <w:sz w:val="28"/>
          <w:szCs w:val="28"/>
          <w:lang w:eastAsia="zh-CN"/>
        </w:rPr>
        <w:t>，并对相关背景文献进行了</w:t>
      </w:r>
      <w:r>
        <w:rPr>
          <w:rFonts w:hint="eastAsia" w:eastAsia="宋体"/>
          <w:sz w:val="28"/>
          <w:szCs w:val="28"/>
          <w:lang w:eastAsia="zh-CN"/>
        </w:rPr>
        <w:t>阐释</w:t>
      </w:r>
      <w:r>
        <w:rPr>
          <w:rFonts w:eastAsia="宋体"/>
          <w:sz w:val="28"/>
          <w:szCs w:val="28"/>
          <w:lang w:eastAsia="zh-CN"/>
        </w:rPr>
        <w:t>。</w:t>
      </w:r>
    </w:p>
    <w:p>
      <w:pPr>
        <w:pStyle w:val="5"/>
        <w:spacing w:before="5"/>
        <w:rPr>
          <w:sz w:val="23"/>
          <w:lang w:eastAsia="zh-CN"/>
        </w:rPr>
      </w:pPr>
    </w:p>
    <w:tbl>
      <w:tblPr>
        <w:tblStyle w:val="8"/>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33"/>
        <w:gridCol w:w="846"/>
        <w:gridCol w:w="843"/>
        <w:gridCol w:w="908"/>
        <w:gridCol w:w="1050"/>
        <w:gridCol w:w="40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12957" w:type="dxa"/>
            <w:gridSpan w:val="6"/>
            <w:shd w:val="clear" w:color="auto" w:fill="0F6EC5"/>
            <w:vAlign w:val="center"/>
          </w:tcPr>
          <w:p>
            <w:pPr>
              <w:pStyle w:val="12"/>
              <w:spacing w:before="58"/>
              <w:jc w:val="both"/>
              <w:rPr>
                <w:rFonts w:eastAsia="宋体"/>
                <w:b/>
                <w:sz w:val="21"/>
                <w:szCs w:val="21"/>
                <w:lang w:eastAsia="zh-CN"/>
              </w:rPr>
            </w:pPr>
            <w:r>
              <w:rPr>
                <w:rFonts w:eastAsia="宋体"/>
                <w:b/>
                <w:color w:val="FFFFFF"/>
                <w:sz w:val="21"/>
                <w:szCs w:val="21"/>
                <w:lang w:eastAsia="zh-CN"/>
              </w:rPr>
              <w:t>维度I</w:t>
            </w:r>
            <w:r>
              <w:rPr>
                <w:rFonts w:hint="eastAsia" w:ascii="Songti SC Bold" w:hAnsi="Songti SC Bold" w:eastAsia="Songti SC Bold" w:cs="Songti SC Bold"/>
                <w:b/>
                <w:color w:val="FFFFFF" w:themeColor="background1"/>
                <w:sz w:val="24"/>
                <w:lang w:eastAsia="zh-CN"/>
                <w14:textFill>
                  <w14:solidFill>
                    <w14:schemeClr w14:val="bg1"/>
                  </w14:solidFill>
                </w14:textFill>
              </w:rPr>
              <w:t>-</w:t>
            </w:r>
            <w:r>
              <w:rPr>
                <w:rFonts w:eastAsia="宋体"/>
                <w:b/>
                <w:color w:val="FFFFFF"/>
                <w:sz w:val="21"/>
                <w:szCs w:val="21"/>
                <w:lang w:eastAsia="zh-CN"/>
              </w:rPr>
              <w:t>监管框架:商业贷款、担保交易、电子支付和绿色金融的监管质量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CCD4EA"/>
            <w:vAlign w:val="center"/>
          </w:tcPr>
          <w:p>
            <w:pPr>
              <w:pStyle w:val="12"/>
              <w:spacing w:before="101"/>
              <w:jc w:val="both"/>
              <w:rPr>
                <w:rFonts w:eastAsia="宋体"/>
                <w:b/>
                <w:sz w:val="21"/>
                <w:szCs w:val="21"/>
                <w:lang w:eastAsia="zh-CN"/>
              </w:rPr>
            </w:pPr>
            <w:r>
              <w:rPr>
                <w:rFonts w:eastAsia="宋体"/>
                <w:b/>
                <w:sz w:val="21"/>
                <w:szCs w:val="21"/>
                <w:lang w:eastAsia="zh-CN"/>
              </w:rPr>
              <w:t>1.1商业贷款的良好监管实践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12957" w:type="dxa"/>
            <w:gridSpan w:val="6"/>
            <w:shd w:val="clear" w:color="auto" w:fill="E7EBF5"/>
            <w:vAlign w:val="center"/>
          </w:tcPr>
          <w:p>
            <w:pPr>
              <w:pStyle w:val="12"/>
              <w:spacing w:before="103"/>
              <w:ind w:left="467"/>
              <w:jc w:val="both"/>
              <w:rPr>
                <w:rFonts w:eastAsia="宋体"/>
                <w:b/>
                <w:sz w:val="21"/>
                <w:szCs w:val="21"/>
                <w:lang w:eastAsia="zh-CN"/>
              </w:rPr>
            </w:pPr>
            <w:r>
              <w:rPr>
                <w:rFonts w:eastAsia="宋体"/>
                <w:b/>
                <w:sz w:val="21"/>
                <w:szCs w:val="21"/>
                <w:lang w:eastAsia="zh-CN"/>
              </w:rPr>
              <w:t>1.1.1. 进行客户尽职调查(CDD)和记录保存的要求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233" w:type="dxa"/>
            <w:vAlign w:val="center"/>
          </w:tcPr>
          <w:p>
            <w:pPr>
              <w:pStyle w:val="12"/>
              <w:spacing w:before="113"/>
              <w:rPr>
                <w:rFonts w:eastAsia="宋体"/>
                <w:b/>
                <w:sz w:val="21"/>
                <w:szCs w:val="21"/>
              </w:rPr>
            </w:pPr>
            <w:r>
              <w:rPr>
                <w:rFonts w:eastAsia="宋体"/>
                <w:b/>
                <w:spacing w:val="-2"/>
                <w:sz w:val="21"/>
                <w:szCs w:val="21"/>
              </w:rPr>
              <w:t>指标</w:t>
            </w:r>
          </w:p>
        </w:tc>
        <w:tc>
          <w:tcPr>
            <w:tcW w:w="846" w:type="dxa"/>
            <w:vAlign w:val="center"/>
          </w:tcPr>
          <w:p>
            <w:pPr>
              <w:pStyle w:val="12"/>
              <w:spacing w:before="113"/>
              <w:ind w:left="0" w:right="97"/>
              <w:jc w:val="center"/>
              <w:rPr>
                <w:rFonts w:eastAsia="宋体"/>
                <w:b/>
                <w:sz w:val="21"/>
                <w:szCs w:val="21"/>
              </w:rPr>
            </w:pPr>
            <w:r>
              <w:rPr>
                <w:rFonts w:hint="eastAsia" w:eastAsia="宋体"/>
                <w:b/>
                <w:spacing w:val="-5"/>
                <w:sz w:val="21"/>
                <w:szCs w:val="21"/>
                <w:lang w:eastAsia="zh-CN"/>
              </w:rPr>
              <w:t>企业灵活度得分</w:t>
            </w:r>
          </w:p>
        </w:tc>
        <w:tc>
          <w:tcPr>
            <w:tcW w:w="843" w:type="dxa"/>
            <w:vAlign w:val="center"/>
          </w:tcPr>
          <w:p>
            <w:pPr>
              <w:pStyle w:val="12"/>
              <w:spacing w:before="113"/>
              <w:ind w:left="0" w:right="98"/>
              <w:jc w:val="center"/>
              <w:rPr>
                <w:rFonts w:eastAsia="宋体"/>
                <w:b/>
                <w:sz w:val="21"/>
                <w:szCs w:val="21"/>
              </w:rPr>
            </w:pPr>
            <w:r>
              <w:rPr>
                <w:rFonts w:hint="eastAsia" w:eastAsia="宋体"/>
                <w:b/>
                <w:spacing w:val="-5"/>
                <w:sz w:val="21"/>
                <w:szCs w:val="21"/>
                <w:lang w:eastAsia="zh-CN"/>
              </w:rPr>
              <w:t>社会效益得分</w:t>
            </w:r>
          </w:p>
        </w:tc>
        <w:tc>
          <w:tcPr>
            <w:tcW w:w="908" w:type="dxa"/>
            <w:vAlign w:val="center"/>
          </w:tcPr>
          <w:p>
            <w:pPr>
              <w:pStyle w:val="12"/>
              <w:spacing w:line="228" w:lineRule="exact"/>
              <w:ind w:left="271" w:right="94" w:firstLine="67"/>
              <w:jc w:val="center"/>
              <w:rPr>
                <w:rFonts w:eastAsia="宋体"/>
                <w:b/>
                <w:sz w:val="21"/>
                <w:szCs w:val="21"/>
                <w:lang w:eastAsia="zh-CN"/>
              </w:rPr>
            </w:pPr>
            <w:r>
              <w:rPr>
                <w:rFonts w:eastAsia="宋体"/>
                <w:b/>
                <w:sz w:val="21"/>
                <w:szCs w:val="21"/>
                <w:lang w:eastAsia="zh-CN"/>
              </w:rPr>
              <w:t>总分</w:t>
            </w:r>
          </w:p>
        </w:tc>
        <w:tc>
          <w:tcPr>
            <w:tcW w:w="1050" w:type="dxa"/>
            <w:vAlign w:val="center"/>
          </w:tcPr>
          <w:p>
            <w:pPr>
              <w:pStyle w:val="12"/>
              <w:spacing w:line="229" w:lineRule="exact"/>
              <w:ind w:left="0" w:right="102"/>
              <w:jc w:val="center"/>
              <w:rPr>
                <w:rFonts w:eastAsia="宋体"/>
                <w:b/>
                <w:sz w:val="21"/>
                <w:szCs w:val="21"/>
                <w:lang w:eastAsia="zh-CN"/>
              </w:rPr>
            </w:pPr>
            <w:r>
              <w:rPr>
                <w:rFonts w:eastAsia="宋体"/>
                <w:b/>
                <w:sz w:val="21"/>
                <w:szCs w:val="21"/>
                <w:lang w:eastAsia="zh-CN"/>
              </w:rPr>
              <w:t>调整</w:t>
            </w:r>
            <w:r>
              <w:rPr>
                <w:rFonts w:hint="eastAsia" w:eastAsia="宋体"/>
                <w:b/>
                <w:sz w:val="21"/>
                <w:szCs w:val="21"/>
                <w:lang w:eastAsia="zh-CN"/>
              </w:rPr>
              <w:t>后得分</w:t>
            </w:r>
          </w:p>
        </w:tc>
        <w:tc>
          <w:tcPr>
            <w:tcW w:w="4077" w:type="dxa"/>
            <w:vAlign w:val="center"/>
          </w:tcPr>
          <w:p>
            <w:pPr>
              <w:pStyle w:val="12"/>
              <w:spacing w:before="113"/>
              <w:ind w:left="103"/>
              <w:jc w:val="center"/>
              <w:rPr>
                <w:rFonts w:eastAsia="宋体"/>
                <w:b/>
                <w:sz w:val="21"/>
                <w:szCs w:val="21"/>
                <w:lang w:eastAsia="zh-CN"/>
              </w:rPr>
            </w:pPr>
            <w:r>
              <w:rPr>
                <w:rFonts w:hint="eastAsia" w:eastAsia="宋体"/>
                <w:b/>
                <w:sz w:val="21"/>
                <w:szCs w:val="21"/>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233" w:type="dxa"/>
            <w:vAlign w:val="center"/>
          </w:tcPr>
          <w:p>
            <w:pPr>
              <w:pStyle w:val="12"/>
              <w:ind w:right="154"/>
              <w:jc w:val="both"/>
              <w:rPr>
                <w:rFonts w:eastAsia="宋体"/>
                <w:sz w:val="21"/>
                <w:szCs w:val="21"/>
                <w:lang w:eastAsia="zh-CN"/>
              </w:rPr>
            </w:pPr>
            <w:r>
              <w:rPr>
                <w:rFonts w:eastAsia="宋体"/>
                <w:sz w:val="21"/>
                <w:szCs w:val="21"/>
                <w:lang w:eastAsia="zh-CN"/>
              </w:rPr>
              <w:t>要求进行CDD，并核实企业和所有者身份(包括要求核实公司身份、直接所有权和结构、</w:t>
            </w:r>
            <w:bookmarkStart w:id="13" w:name="OLE_LINK12"/>
            <w:r>
              <w:rPr>
                <w:rFonts w:eastAsia="宋体"/>
                <w:sz w:val="21"/>
                <w:szCs w:val="21"/>
                <w:lang w:eastAsia="zh-CN"/>
              </w:rPr>
              <w:t>实益所有权</w:t>
            </w:r>
            <w:bookmarkEnd w:id="13"/>
            <w:r>
              <w:rPr>
                <w:rFonts w:eastAsia="宋体"/>
                <w:sz w:val="21"/>
                <w:szCs w:val="21"/>
                <w:lang w:eastAsia="zh-CN"/>
              </w:rPr>
              <w:t>、贷款用途、客户地理位置等)</w:t>
            </w:r>
          </w:p>
        </w:tc>
        <w:tc>
          <w:tcPr>
            <w:tcW w:w="846" w:type="dxa"/>
            <w:vAlign w:val="center"/>
          </w:tcPr>
          <w:p>
            <w:pPr>
              <w:pStyle w:val="12"/>
              <w:ind w:left="0" w:right="96"/>
              <w:jc w:val="center"/>
              <w:rPr>
                <w:rFonts w:eastAsia="宋体"/>
                <w:sz w:val="21"/>
                <w:szCs w:val="21"/>
                <w:lang w:eastAsia="zh-CN"/>
              </w:rPr>
            </w:pPr>
            <w:r>
              <w:rPr>
                <w:rFonts w:eastAsia="宋体"/>
                <w:spacing w:val="-4"/>
                <w:sz w:val="21"/>
                <w:szCs w:val="21"/>
                <w:lang w:eastAsia="zh-CN"/>
              </w:rPr>
              <w:t>不适用</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1</w:t>
            </w:r>
          </w:p>
        </w:tc>
        <w:tc>
          <w:tcPr>
            <w:tcW w:w="1050" w:type="dxa"/>
            <w:vAlign w:val="center"/>
          </w:tcPr>
          <w:p>
            <w:pPr>
              <w:pStyle w:val="12"/>
              <w:ind w:left="0" w:right="101"/>
              <w:jc w:val="center"/>
              <w:rPr>
                <w:rFonts w:eastAsia="宋体"/>
                <w:sz w:val="21"/>
                <w:szCs w:val="21"/>
              </w:rPr>
            </w:pPr>
            <w:r>
              <w:rPr>
                <w:rFonts w:eastAsia="宋体"/>
                <w:spacing w:val="-4"/>
                <w:sz w:val="21"/>
                <w:szCs w:val="21"/>
              </w:rPr>
              <w:t>1.92</w:t>
            </w:r>
          </w:p>
        </w:tc>
        <w:tc>
          <w:tcPr>
            <w:tcW w:w="4077" w:type="dxa"/>
            <w:vAlign w:val="center"/>
          </w:tcPr>
          <w:p>
            <w:pPr>
              <w:pStyle w:val="12"/>
              <w:ind w:left="103" w:right="149"/>
              <w:jc w:val="both"/>
              <w:rPr>
                <w:rFonts w:eastAsia="宋体"/>
                <w:sz w:val="21"/>
                <w:szCs w:val="21"/>
              </w:rPr>
            </w:pPr>
            <w:r>
              <w:rPr>
                <w:rFonts w:hint="eastAsia" w:eastAsia="宋体"/>
                <w:sz w:val="21"/>
                <w:szCs w:val="21"/>
              </w:rPr>
              <w:t xml:space="preserve">BCBS (2014); European Supervisory </w:t>
            </w:r>
          </w:p>
          <w:p>
            <w:pPr>
              <w:pStyle w:val="12"/>
              <w:ind w:left="103" w:right="149"/>
              <w:jc w:val="both"/>
              <w:rPr>
                <w:rFonts w:eastAsia="宋体"/>
                <w:sz w:val="21"/>
                <w:szCs w:val="21"/>
              </w:rPr>
            </w:pPr>
            <w:r>
              <w:rPr>
                <w:rFonts w:hint="eastAsia" w:eastAsia="宋体"/>
                <w:sz w:val="21"/>
                <w:szCs w:val="21"/>
              </w:rPr>
              <w:t>Authorities (2013); FATF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233" w:type="dxa"/>
            <w:vAlign w:val="center"/>
          </w:tcPr>
          <w:p>
            <w:pPr>
              <w:pStyle w:val="12"/>
              <w:ind w:right="154"/>
              <w:jc w:val="both"/>
              <w:rPr>
                <w:rFonts w:eastAsia="宋体"/>
                <w:sz w:val="21"/>
                <w:szCs w:val="21"/>
                <w:lang w:eastAsia="zh-CN"/>
              </w:rPr>
            </w:pPr>
            <w:r>
              <w:rPr>
                <w:rFonts w:eastAsia="宋体"/>
                <w:sz w:val="21"/>
                <w:szCs w:val="21"/>
                <w:lang w:eastAsia="zh-CN"/>
              </w:rPr>
              <w:t>现有客户的CDD和记录保存(包括现有客户对CDD的依赖，由其他机构承担的CDD，维护CDD信息5年，并保持CDD信息的最新高风险的客户)</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right="149"/>
              <w:jc w:val="both"/>
              <w:rPr>
                <w:rFonts w:eastAsia="宋体"/>
                <w:sz w:val="21"/>
                <w:szCs w:val="21"/>
              </w:rPr>
            </w:pPr>
            <w:r>
              <w:rPr>
                <w:rFonts w:hint="eastAsia" w:eastAsia="宋体"/>
                <w:sz w:val="21"/>
                <w:szCs w:val="21"/>
              </w:rPr>
              <w:t xml:space="preserve">BCBS (2014); European Supervisory </w:t>
            </w:r>
          </w:p>
          <w:p>
            <w:pPr>
              <w:pStyle w:val="12"/>
              <w:ind w:left="103" w:right="149"/>
              <w:jc w:val="both"/>
              <w:rPr>
                <w:rFonts w:eastAsia="宋体"/>
                <w:sz w:val="21"/>
                <w:szCs w:val="21"/>
              </w:rPr>
            </w:pPr>
            <w:r>
              <w:rPr>
                <w:rFonts w:hint="eastAsia" w:eastAsia="宋体"/>
                <w:sz w:val="21"/>
                <w:szCs w:val="21"/>
              </w:rPr>
              <w:t>Authorities (2013); FATF (2014,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子类别1.1.1的总分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1</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2</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3.</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5.77</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E7EBF5"/>
            <w:vAlign w:val="center"/>
          </w:tcPr>
          <w:p>
            <w:pPr>
              <w:pStyle w:val="12"/>
              <w:spacing w:before="101"/>
              <w:ind w:left="467"/>
              <w:jc w:val="both"/>
              <w:rPr>
                <w:rFonts w:eastAsia="宋体"/>
                <w:b/>
                <w:sz w:val="21"/>
                <w:szCs w:val="21"/>
                <w:lang w:eastAsia="zh-CN"/>
              </w:rPr>
            </w:pPr>
            <w:r>
              <w:rPr>
                <w:rFonts w:eastAsia="宋体"/>
                <w:b/>
                <w:sz w:val="21"/>
                <w:szCs w:val="21"/>
                <w:lang w:eastAsia="zh-CN"/>
              </w:rPr>
              <w:t>1.1.2. 基于风险的方法和风险因素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33" w:type="dxa"/>
            <w:vAlign w:val="center"/>
          </w:tcPr>
          <w:p>
            <w:pPr>
              <w:pStyle w:val="12"/>
              <w:spacing w:line="230" w:lineRule="atLeast"/>
              <w:jc w:val="both"/>
              <w:rPr>
                <w:rFonts w:eastAsia="宋体"/>
                <w:sz w:val="21"/>
                <w:szCs w:val="21"/>
                <w:lang w:eastAsia="zh-CN"/>
              </w:rPr>
            </w:pPr>
            <w:r>
              <w:rPr>
                <w:rFonts w:eastAsia="宋体"/>
                <w:sz w:val="21"/>
                <w:szCs w:val="21"/>
                <w:lang w:eastAsia="zh-CN"/>
              </w:rPr>
              <w:t>基于风险的方法的可用性(包括AML/CFT审查的基于风险的方法)。</w:t>
            </w:r>
          </w:p>
        </w:tc>
        <w:tc>
          <w:tcPr>
            <w:tcW w:w="846" w:type="dxa"/>
            <w:vAlign w:val="center"/>
          </w:tcPr>
          <w:p>
            <w:pPr>
              <w:pStyle w:val="12"/>
              <w:ind w:left="0" w:right="96"/>
              <w:jc w:val="center"/>
              <w:rPr>
                <w:rFonts w:eastAsia="宋体"/>
                <w:sz w:val="21"/>
                <w:szCs w:val="21"/>
                <w:lang w:eastAsia="zh-CN"/>
              </w:rPr>
            </w:pPr>
            <w:r>
              <w:rPr>
                <w:rFonts w:eastAsia="宋体"/>
                <w:spacing w:val="-4"/>
                <w:sz w:val="21"/>
                <w:szCs w:val="21"/>
                <w:lang w:eastAsia="zh-CN"/>
              </w:rPr>
              <w:t>不适用</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1</w:t>
            </w:r>
          </w:p>
        </w:tc>
        <w:tc>
          <w:tcPr>
            <w:tcW w:w="1050" w:type="dxa"/>
            <w:vAlign w:val="center"/>
          </w:tcPr>
          <w:p>
            <w:pPr>
              <w:pStyle w:val="12"/>
              <w:ind w:left="0" w:right="101"/>
              <w:jc w:val="center"/>
              <w:rPr>
                <w:rFonts w:eastAsia="宋体"/>
                <w:sz w:val="21"/>
                <w:szCs w:val="21"/>
              </w:rPr>
            </w:pPr>
            <w:r>
              <w:rPr>
                <w:rFonts w:eastAsia="宋体"/>
                <w:spacing w:val="-4"/>
                <w:sz w:val="21"/>
                <w:szCs w:val="21"/>
              </w:rPr>
              <w:t>1.92</w:t>
            </w:r>
          </w:p>
        </w:tc>
        <w:tc>
          <w:tcPr>
            <w:tcW w:w="4077" w:type="dxa"/>
            <w:vAlign w:val="center"/>
          </w:tcPr>
          <w:p>
            <w:pPr>
              <w:pStyle w:val="12"/>
              <w:spacing w:line="230" w:lineRule="atLeast"/>
              <w:ind w:left="103" w:right="149"/>
              <w:jc w:val="both"/>
              <w:rPr>
                <w:rFonts w:eastAsia="宋体"/>
                <w:sz w:val="21"/>
                <w:szCs w:val="21"/>
              </w:rPr>
            </w:pPr>
            <w:r>
              <w:rPr>
                <w:rFonts w:hint="eastAsia" w:eastAsia="宋体"/>
                <w:sz w:val="21"/>
                <w:szCs w:val="21"/>
              </w:rPr>
              <w:t xml:space="preserve">BCBS (2014); European Supervisory </w:t>
            </w:r>
          </w:p>
          <w:p>
            <w:pPr>
              <w:pStyle w:val="12"/>
              <w:spacing w:line="230" w:lineRule="atLeast"/>
              <w:ind w:left="103" w:right="149"/>
              <w:jc w:val="both"/>
              <w:rPr>
                <w:rFonts w:eastAsia="宋体"/>
                <w:sz w:val="21"/>
                <w:szCs w:val="21"/>
              </w:rPr>
            </w:pPr>
            <w:r>
              <w:rPr>
                <w:rFonts w:hint="eastAsia" w:eastAsia="宋体"/>
                <w:sz w:val="21"/>
                <w:szCs w:val="21"/>
              </w:rPr>
              <w:t>Authorities (2013); FATF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0" w:hRule="atLeast"/>
        </w:trPr>
        <w:tc>
          <w:tcPr>
            <w:tcW w:w="5233" w:type="dxa"/>
            <w:vAlign w:val="center"/>
          </w:tcPr>
          <w:p>
            <w:pPr>
              <w:pStyle w:val="12"/>
              <w:spacing w:before="1"/>
              <w:ind w:right="104"/>
              <w:jc w:val="both"/>
              <w:rPr>
                <w:rFonts w:eastAsia="宋体"/>
                <w:sz w:val="21"/>
                <w:szCs w:val="21"/>
                <w:lang w:eastAsia="zh-CN"/>
              </w:rPr>
            </w:pPr>
            <w:r>
              <w:rPr>
                <w:rFonts w:eastAsia="宋体"/>
                <w:sz w:val="21"/>
                <w:szCs w:val="21"/>
                <w:lang w:eastAsia="zh-CN"/>
              </w:rPr>
              <w:t>风险因素(包括与客户相关的风险因素，例如，受益所有人、所有权结构、参与国际结构、代名股东或不记名形式的股份、在异常情况下开展的业务关系、现金密集型业务、高风险地理位置)和与客户相关的风险因素</w:t>
            </w:r>
          </w:p>
          <w:p>
            <w:pPr>
              <w:pStyle w:val="12"/>
              <w:spacing w:line="230" w:lineRule="exact"/>
              <w:ind w:right="154"/>
              <w:jc w:val="both"/>
              <w:rPr>
                <w:rFonts w:eastAsia="宋体"/>
                <w:sz w:val="21"/>
                <w:szCs w:val="21"/>
                <w:lang w:eastAsia="zh-CN"/>
              </w:rPr>
            </w:pPr>
            <w:r>
              <w:rPr>
                <w:rFonts w:eastAsia="宋体"/>
                <w:sz w:val="21"/>
                <w:szCs w:val="21"/>
                <w:lang w:eastAsia="zh-CN"/>
              </w:rPr>
              <w:t>产品、服务、交付渠道(例如，私人银行、匿名交易、来历不明的款项，非面对面关系和交易，高风险地理位置经营)</w:t>
            </w:r>
          </w:p>
        </w:tc>
        <w:tc>
          <w:tcPr>
            <w:tcW w:w="846" w:type="dxa"/>
            <w:vAlign w:val="center"/>
          </w:tcPr>
          <w:p>
            <w:pPr>
              <w:pStyle w:val="12"/>
              <w:spacing w:before="1"/>
              <w:ind w:left="0" w:right="96"/>
              <w:jc w:val="center"/>
              <w:rPr>
                <w:rFonts w:eastAsia="宋体"/>
                <w:sz w:val="21"/>
                <w:szCs w:val="21"/>
                <w:lang w:eastAsia="zh-CN"/>
              </w:rPr>
            </w:pPr>
            <w:r>
              <w:rPr>
                <w:rFonts w:eastAsia="宋体"/>
                <w:spacing w:val="-4"/>
                <w:sz w:val="21"/>
                <w:szCs w:val="21"/>
                <w:lang w:eastAsia="zh-CN"/>
              </w:rPr>
              <w:t>不适用</w:t>
            </w:r>
          </w:p>
        </w:tc>
        <w:tc>
          <w:tcPr>
            <w:tcW w:w="843" w:type="dxa"/>
            <w:vAlign w:val="center"/>
          </w:tcPr>
          <w:p>
            <w:pPr>
              <w:pStyle w:val="12"/>
              <w:spacing w:before="1"/>
              <w:ind w:left="0" w:right="96"/>
              <w:jc w:val="center"/>
              <w:rPr>
                <w:rFonts w:eastAsia="宋体"/>
                <w:sz w:val="21"/>
                <w:szCs w:val="21"/>
              </w:rPr>
            </w:pPr>
            <w:r>
              <w:rPr>
                <w:rFonts w:eastAsia="宋体"/>
                <w:w w:val="99"/>
                <w:sz w:val="21"/>
                <w:szCs w:val="21"/>
              </w:rPr>
              <w:t>1</w:t>
            </w:r>
          </w:p>
        </w:tc>
        <w:tc>
          <w:tcPr>
            <w:tcW w:w="908" w:type="dxa"/>
            <w:vAlign w:val="center"/>
          </w:tcPr>
          <w:p>
            <w:pPr>
              <w:pStyle w:val="12"/>
              <w:spacing w:before="1"/>
              <w:ind w:left="0" w:right="102"/>
              <w:jc w:val="center"/>
              <w:rPr>
                <w:rFonts w:eastAsia="宋体"/>
                <w:sz w:val="21"/>
                <w:szCs w:val="21"/>
              </w:rPr>
            </w:pPr>
            <w:r>
              <w:rPr>
                <w:rFonts w:eastAsia="宋体"/>
                <w:w w:val="99"/>
                <w:sz w:val="21"/>
                <w:szCs w:val="21"/>
              </w:rPr>
              <w:t>1</w:t>
            </w:r>
          </w:p>
        </w:tc>
        <w:tc>
          <w:tcPr>
            <w:tcW w:w="1050" w:type="dxa"/>
            <w:vAlign w:val="center"/>
          </w:tcPr>
          <w:p>
            <w:pPr>
              <w:pStyle w:val="12"/>
              <w:spacing w:before="1"/>
              <w:ind w:left="0" w:right="101"/>
              <w:jc w:val="center"/>
              <w:rPr>
                <w:rFonts w:eastAsia="宋体"/>
                <w:sz w:val="21"/>
                <w:szCs w:val="21"/>
              </w:rPr>
            </w:pPr>
            <w:r>
              <w:rPr>
                <w:rFonts w:eastAsia="宋体"/>
                <w:spacing w:val="-4"/>
                <w:sz w:val="21"/>
                <w:szCs w:val="21"/>
              </w:rPr>
              <w:t>1.92</w:t>
            </w:r>
          </w:p>
        </w:tc>
        <w:tc>
          <w:tcPr>
            <w:tcW w:w="4077" w:type="dxa"/>
            <w:vAlign w:val="center"/>
          </w:tcPr>
          <w:p>
            <w:pPr>
              <w:pStyle w:val="12"/>
              <w:spacing w:before="1"/>
              <w:ind w:left="103" w:right="149"/>
              <w:jc w:val="both"/>
              <w:rPr>
                <w:rFonts w:eastAsia="宋体"/>
                <w:sz w:val="21"/>
                <w:szCs w:val="21"/>
                <w:lang w:eastAsia="zh-CN"/>
              </w:rPr>
            </w:pPr>
            <w:r>
              <w:rPr>
                <w:rFonts w:hint="eastAsia" w:eastAsia="宋体"/>
                <w:sz w:val="21"/>
                <w:szCs w:val="21"/>
                <w:lang w:eastAsia="zh-CN"/>
              </w:rPr>
              <w:t xml:space="preserve">BCBS (2014); European Supervisory </w:t>
            </w:r>
          </w:p>
          <w:p>
            <w:pPr>
              <w:pStyle w:val="12"/>
              <w:spacing w:before="1"/>
              <w:ind w:left="103" w:right="149"/>
              <w:jc w:val="both"/>
              <w:rPr>
                <w:rFonts w:eastAsia="宋体"/>
                <w:sz w:val="21"/>
                <w:szCs w:val="21"/>
                <w:lang w:eastAsia="zh-CN"/>
              </w:rPr>
            </w:pPr>
            <w:r>
              <w:rPr>
                <w:rFonts w:hint="eastAsia" w:eastAsia="宋体"/>
                <w:sz w:val="21"/>
                <w:szCs w:val="21"/>
                <w:lang w:eastAsia="zh-CN"/>
              </w:rPr>
              <w:t>Authorities (2013)</w:t>
            </w:r>
          </w:p>
        </w:tc>
      </w:tr>
    </w:tbl>
    <w:p>
      <w:pPr>
        <w:rPr>
          <w:rFonts w:eastAsia="宋体"/>
          <w:sz w:val="20"/>
          <w:lang w:eastAsia="zh-CN"/>
        </w:rPr>
        <w:sectPr>
          <w:pgSz w:w="15840" w:h="12240" w:orient="landscape"/>
          <w:pgMar w:top="1140" w:right="1040" w:bottom="280" w:left="1340" w:header="720" w:footer="720" w:gutter="0"/>
          <w:cols w:space="720" w:num="1"/>
        </w:sectPr>
      </w:pPr>
    </w:p>
    <w:p>
      <w:pPr>
        <w:pStyle w:val="5"/>
        <w:spacing w:before="1"/>
        <w:rPr>
          <w:rFonts w:eastAsia="宋体"/>
          <w:sz w:val="26"/>
          <w:lang w:eastAsia="zh-CN"/>
        </w:rPr>
      </w:pPr>
    </w:p>
    <w:tbl>
      <w:tblPr>
        <w:tblStyle w:val="8"/>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33"/>
        <w:gridCol w:w="846"/>
        <w:gridCol w:w="843"/>
        <w:gridCol w:w="908"/>
        <w:gridCol w:w="1050"/>
        <w:gridCol w:w="40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子类别1.1.2的总分</w:t>
            </w:r>
          </w:p>
        </w:tc>
        <w:tc>
          <w:tcPr>
            <w:tcW w:w="846" w:type="dxa"/>
            <w:shd w:val="clear" w:color="auto" w:fill="FFC000"/>
            <w:vAlign w:val="center"/>
          </w:tcPr>
          <w:p>
            <w:pPr>
              <w:pStyle w:val="12"/>
              <w:ind w:left="0" w:right="96"/>
              <w:jc w:val="center"/>
              <w:rPr>
                <w:rFonts w:eastAsia="宋体"/>
                <w:sz w:val="21"/>
                <w:szCs w:val="21"/>
                <w:lang w:eastAsia="zh-CN"/>
              </w:rPr>
            </w:pPr>
            <w:r>
              <w:rPr>
                <w:rFonts w:eastAsia="宋体"/>
                <w:spacing w:val="-4"/>
                <w:sz w:val="21"/>
                <w:szCs w:val="21"/>
                <w:lang w:eastAsia="zh-CN"/>
              </w:rPr>
              <w:t>不适用</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2</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2</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3.85</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E7EBF5"/>
            <w:vAlign w:val="center"/>
          </w:tcPr>
          <w:p>
            <w:pPr>
              <w:pStyle w:val="12"/>
              <w:spacing w:before="101"/>
              <w:ind w:left="467"/>
              <w:jc w:val="both"/>
              <w:rPr>
                <w:rFonts w:eastAsia="宋体"/>
                <w:b/>
                <w:sz w:val="21"/>
                <w:szCs w:val="21"/>
                <w:lang w:eastAsia="zh-CN"/>
              </w:rPr>
            </w:pPr>
            <w:r>
              <w:rPr>
                <w:rFonts w:eastAsia="宋体"/>
                <w:b/>
                <w:sz w:val="21"/>
                <w:szCs w:val="21"/>
                <w:lang w:eastAsia="zh-CN"/>
              </w:rPr>
              <w:t>1.1.3. 加强和简化CDD措施的可用性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33" w:type="dxa"/>
            <w:vAlign w:val="center"/>
          </w:tcPr>
          <w:p>
            <w:pPr>
              <w:pStyle w:val="12"/>
              <w:spacing w:line="230" w:lineRule="atLeast"/>
              <w:ind w:right="154"/>
              <w:jc w:val="both"/>
              <w:rPr>
                <w:rFonts w:eastAsia="宋体"/>
                <w:sz w:val="21"/>
                <w:szCs w:val="21"/>
                <w:lang w:eastAsia="zh-CN"/>
              </w:rPr>
            </w:pPr>
            <w:r>
              <w:rPr>
                <w:rFonts w:eastAsia="宋体"/>
                <w:sz w:val="21"/>
                <w:szCs w:val="21"/>
                <w:lang w:eastAsia="zh-CN"/>
              </w:rPr>
              <w:t>简化的CDD(包括为低风险客户提供简化的AML/CFT审查，以及提供关于低风险的监管指导)</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right="149"/>
              <w:jc w:val="both"/>
              <w:rPr>
                <w:rFonts w:eastAsia="宋体"/>
                <w:sz w:val="21"/>
                <w:szCs w:val="21"/>
              </w:rPr>
            </w:pPr>
            <w:r>
              <w:rPr>
                <w:rFonts w:hint="eastAsia" w:eastAsia="宋体"/>
                <w:sz w:val="21"/>
                <w:szCs w:val="21"/>
              </w:rPr>
              <w:t xml:space="preserve">BCBS (2014); European Supervisory </w:t>
            </w:r>
          </w:p>
          <w:p>
            <w:pPr>
              <w:pStyle w:val="12"/>
              <w:ind w:left="103" w:right="149"/>
              <w:jc w:val="both"/>
              <w:rPr>
                <w:rFonts w:eastAsia="宋体"/>
                <w:sz w:val="21"/>
                <w:szCs w:val="21"/>
              </w:rPr>
            </w:pPr>
            <w:r>
              <w:rPr>
                <w:rFonts w:hint="eastAsia" w:eastAsia="宋体"/>
                <w:sz w:val="21"/>
                <w:szCs w:val="21"/>
              </w:rPr>
              <w:t>Authorities (2013); FATF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5233" w:type="dxa"/>
            <w:vAlign w:val="center"/>
          </w:tcPr>
          <w:p>
            <w:pPr>
              <w:pStyle w:val="12"/>
              <w:jc w:val="both"/>
              <w:rPr>
                <w:rFonts w:eastAsia="宋体"/>
                <w:sz w:val="21"/>
                <w:szCs w:val="21"/>
                <w:lang w:eastAsia="zh-CN"/>
              </w:rPr>
            </w:pPr>
            <w:r>
              <w:rPr>
                <w:rFonts w:eastAsia="宋体"/>
                <w:sz w:val="21"/>
                <w:szCs w:val="21"/>
                <w:lang w:eastAsia="zh-CN"/>
              </w:rPr>
              <w:t>加强的CDD(包括针对高风险客户加强型AML/CFT审查和提供适用于高风险的监管指导)</w:t>
            </w:r>
          </w:p>
        </w:tc>
        <w:tc>
          <w:tcPr>
            <w:tcW w:w="846" w:type="dxa"/>
            <w:vAlign w:val="center"/>
          </w:tcPr>
          <w:p>
            <w:pPr>
              <w:pStyle w:val="12"/>
              <w:ind w:left="0" w:right="96"/>
              <w:jc w:val="center"/>
              <w:rPr>
                <w:rFonts w:eastAsia="宋体"/>
                <w:sz w:val="21"/>
                <w:szCs w:val="21"/>
                <w:lang w:eastAsia="zh-CN"/>
              </w:rPr>
            </w:pPr>
            <w:r>
              <w:rPr>
                <w:rFonts w:eastAsia="宋体"/>
                <w:spacing w:val="-4"/>
                <w:sz w:val="21"/>
                <w:szCs w:val="21"/>
                <w:lang w:eastAsia="zh-CN"/>
              </w:rPr>
              <w:t>不适用</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1</w:t>
            </w:r>
          </w:p>
        </w:tc>
        <w:tc>
          <w:tcPr>
            <w:tcW w:w="1050" w:type="dxa"/>
            <w:vAlign w:val="center"/>
          </w:tcPr>
          <w:p>
            <w:pPr>
              <w:pStyle w:val="12"/>
              <w:ind w:left="0" w:right="101"/>
              <w:jc w:val="center"/>
              <w:rPr>
                <w:rFonts w:eastAsia="宋体"/>
                <w:sz w:val="21"/>
                <w:szCs w:val="21"/>
              </w:rPr>
            </w:pPr>
            <w:r>
              <w:rPr>
                <w:rFonts w:eastAsia="宋体"/>
                <w:spacing w:val="-4"/>
                <w:sz w:val="21"/>
                <w:szCs w:val="21"/>
              </w:rPr>
              <w:t>1.92</w:t>
            </w:r>
          </w:p>
        </w:tc>
        <w:tc>
          <w:tcPr>
            <w:tcW w:w="4077" w:type="dxa"/>
            <w:vAlign w:val="center"/>
          </w:tcPr>
          <w:p>
            <w:pPr>
              <w:pStyle w:val="12"/>
              <w:ind w:left="103" w:right="149"/>
              <w:jc w:val="both"/>
              <w:rPr>
                <w:rFonts w:eastAsia="宋体"/>
                <w:sz w:val="21"/>
                <w:szCs w:val="21"/>
              </w:rPr>
            </w:pPr>
            <w:r>
              <w:rPr>
                <w:rFonts w:hint="eastAsia" w:eastAsia="宋体"/>
                <w:sz w:val="21"/>
                <w:szCs w:val="21"/>
              </w:rPr>
              <w:t xml:space="preserve">BCBS (2014); European Supervisory </w:t>
            </w:r>
          </w:p>
          <w:p>
            <w:pPr>
              <w:pStyle w:val="12"/>
              <w:ind w:left="103" w:right="149"/>
              <w:jc w:val="both"/>
              <w:rPr>
                <w:rFonts w:eastAsia="宋体"/>
                <w:sz w:val="21"/>
                <w:szCs w:val="21"/>
              </w:rPr>
            </w:pPr>
            <w:r>
              <w:rPr>
                <w:rFonts w:hint="eastAsia" w:eastAsia="宋体"/>
                <w:sz w:val="21"/>
                <w:szCs w:val="21"/>
              </w:rPr>
              <w:t>Authorities (2013); FATF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子类别1.1.3的总分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1</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2</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3.</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5.77</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233" w:type="dxa"/>
            <w:shd w:val="clear" w:color="auto" w:fill="FFC000"/>
            <w:vAlign w:val="center"/>
          </w:tcPr>
          <w:p>
            <w:pPr>
              <w:pStyle w:val="12"/>
              <w:jc w:val="both"/>
              <w:rPr>
                <w:rFonts w:eastAsia="宋体"/>
                <w:b/>
                <w:sz w:val="21"/>
                <w:szCs w:val="21"/>
              </w:rPr>
            </w:pPr>
            <w:r>
              <w:rPr>
                <w:rFonts w:eastAsia="宋体"/>
                <w:b/>
                <w:sz w:val="21"/>
                <w:szCs w:val="21"/>
              </w:rPr>
              <w:t>1.1类总分</w:t>
            </w:r>
          </w:p>
        </w:tc>
        <w:tc>
          <w:tcPr>
            <w:tcW w:w="846" w:type="dxa"/>
            <w:shd w:val="clear" w:color="auto" w:fill="FFC000"/>
            <w:vAlign w:val="center"/>
          </w:tcPr>
          <w:p>
            <w:pPr>
              <w:pStyle w:val="12"/>
              <w:ind w:left="0" w:right="99"/>
              <w:jc w:val="center"/>
              <w:rPr>
                <w:rFonts w:eastAsia="宋体"/>
                <w:b/>
                <w:sz w:val="21"/>
                <w:szCs w:val="21"/>
              </w:rPr>
            </w:pPr>
            <w:r>
              <w:rPr>
                <w:rFonts w:eastAsia="宋体"/>
                <w:b/>
                <w:w w:val="99"/>
                <w:sz w:val="21"/>
                <w:szCs w:val="21"/>
              </w:rPr>
              <w:t>2</w:t>
            </w:r>
          </w:p>
        </w:tc>
        <w:tc>
          <w:tcPr>
            <w:tcW w:w="843" w:type="dxa"/>
            <w:shd w:val="clear" w:color="auto" w:fill="FFC000"/>
            <w:vAlign w:val="center"/>
          </w:tcPr>
          <w:p>
            <w:pPr>
              <w:pStyle w:val="12"/>
              <w:ind w:left="0" w:right="96"/>
              <w:jc w:val="center"/>
              <w:rPr>
                <w:rFonts w:eastAsia="宋体"/>
                <w:b/>
                <w:sz w:val="21"/>
                <w:szCs w:val="21"/>
              </w:rPr>
            </w:pPr>
            <w:r>
              <w:rPr>
                <w:rFonts w:eastAsia="宋体"/>
                <w:b/>
                <w:w w:val="99"/>
                <w:sz w:val="21"/>
                <w:szCs w:val="21"/>
              </w:rPr>
              <w:t>6</w:t>
            </w:r>
          </w:p>
        </w:tc>
        <w:tc>
          <w:tcPr>
            <w:tcW w:w="908" w:type="dxa"/>
            <w:shd w:val="clear" w:color="auto" w:fill="FFC000"/>
            <w:vAlign w:val="center"/>
          </w:tcPr>
          <w:p>
            <w:pPr>
              <w:pStyle w:val="12"/>
              <w:ind w:left="0" w:right="102"/>
              <w:jc w:val="center"/>
              <w:rPr>
                <w:rFonts w:eastAsia="宋体"/>
                <w:b/>
                <w:sz w:val="21"/>
                <w:szCs w:val="21"/>
              </w:rPr>
            </w:pPr>
            <w:r>
              <w:rPr>
                <w:rFonts w:eastAsia="宋体"/>
                <w:b/>
                <w:w w:val="99"/>
                <w:sz w:val="21"/>
                <w:szCs w:val="21"/>
              </w:rPr>
              <w:t>8</w:t>
            </w:r>
          </w:p>
        </w:tc>
        <w:tc>
          <w:tcPr>
            <w:tcW w:w="1050" w:type="dxa"/>
            <w:shd w:val="clear" w:color="auto" w:fill="FFC000"/>
            <w:vAlign w:val="center"/>
          </w:tcPr>
          <w:p>
            <w:pPr>
              <w:pStyle w:val="12"/>
              <w:ind w:left="0" w:right="102"/>
              <w:jc w:val="center"/>
              <w:rPr>
                <w:rFonts w:eastAsia="宋体"/>
                <w:b/>
                <w:sz w:val="21"/>
                <w:szCs w:val="21"/>
              </w:rPr>
            </w:pPr>
            <w:r>
              <w:rPr>
                <w:rFonts w:eastAsia="宋体"/>
                <w:b/>
                <w:spacing w:val="-2"/>
                <w:sz w:val="21"/>
                <w:szCs w:val="21"/>
              </w:rPr>
              <w:t>15.38</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CCD4EA"/>
            <w:vAlign w:val="center"/>
          </w:tcPr>
          <w:p>
            <w:pPr>
              <w:pStyle w:val="12"/>
              <w:spacing w:before="101"/>
              <w:jc w:val="both"/>
              <w:rPr>
                <w:rFonts w:eastAsia="宋体"/>
                <w:b/>
                <w:sz w:val="21"/>
                <w:szCs w:val="21"/>
                <w:lang w:eastAsia="zh-CN"/>
              </w:rPr>
            </w:pPr>
            <w:r>
              <w:rPr>
                <w:rFonts w:eastAsia="宋体"/>
                <w:b/>
                <w:sz w:val="21"/>
                <w:szCs w:val="21"/>
                <w:lang w:eastAsia="zh-CN"/>
              </w:rPr>
              <w:t>1.2有担保交易的良好监管措施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E7EBF5"/>
            <w:vAlign w:val="center"/>
          </w:tcPr>
          <w:p>
            <w:pPr>
              <w:pStyle w:val="12"/>
              <w:spacing w:before="101"/>
              <w:ind w:left="439"/>
              <w:jc w:val="both"/>
              <w:rPr>
                <w:rFonts w:eastAsia="宋体"/>
                <w:b/>
                <w:sz w:val="21"/>
                <w:szCs w:val="21"/>
                <w:lang w:eastAsia="zh-CN"/>
              </w:rPr>
            </w:pPr>
            <w:r>
              <w:rPr>
                <w:rFonts w:eastAsia="宋体"/>
                <w:b/>
                <w:sz w:val="21"/>
                <w:szCs w:val="21"/>
                <w:lang w:eastAsia="zh-CN"/>
              </w:rPr>
              <w:t>1.2.1担保交易的统一法律框架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5233" w:type="dxa"/>
            <w:vAlign w:val="center"/>
          </w:tcPr>
          <w:p>
            <w:pPr>
              <w:pStyle w:val="12"/>
              <w:jc w:val="both"/>
              <w:rPr>
                <w:rFonts w:eastAsia="宋体"/>
                <w:sz w:val="21"/>
                <w:szCs w:val="21"/>
                <w:lang w:eastAsia="zh-CN"/>
              </w:rPr>
            </w:pPr>
            <w:r>
              <w:rPr>
                <w:rFonts w:eastAsia="宋体"/>
                <w:sz w:val="21"/>
                <w:szCs w:val="21"/>
                <w:lang w:eastAsia="zh-CN"/>
              </w:rPr>
              <w:t>担保交易的统一法律框架</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lang w:eastAsia="zh-CN"/>
              </w:rPr>
            </w:pPr>
            <w:r>
              <w:rPr>
                <w:rFonts w:hint="eastAsia" w:eastAsia="宋体"/>
                <w:sz w:val="21"/>
                <w:szCs w:val="21"/>
                <w:lang w:eastAsia="zh-CN"/>
              </w:rPr>
              <w:t>UNCITRAL (2010,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子类别1.2.1的总分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1</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1</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2</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3.85</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E7EBF5"/>
            <w:vAlign w:val="center"/>
          </w:tcPr>
          <w:p>
            <w:pPr>
              <w:pStyle w:val="12"/>
              <w:spacing w:before="101"/>
              <w:ind w:left="439"/>
              <w:jc w:val="both"/>
              <w:rPr>
                <w:rFonts w:eastAsia="宋体"/>
                <w:b/>
                <w:sz w:val="21"/>
                <w:szCs w:val="21"/>
                <w:lang w:eastAsia="zh-CN"/>
              </w:rPr>
            </w:pPr>
            <w:r>
              <w:rPr>
                <w:rFonts w:eastAsia="宋体"/>
                <w:b/>
                <w:sz w:val="21"/>
                <w:szCs w:val="21"/>
                <w:lang w:eastAsia="zh-CN"/>
              </w:rPr>
              <w:t>1.2.2可担保的动产、债务和义务的类型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vAlign w:val="center"/>
          </w:tcPr>
          <w:p>
            <w:pPr>
              <w:pStyle w:val="12"/>
              <w:jc w:val="both"/>
              <w:rPr>
                <w:rFonts w:eastAsia="宋体"/>
                <w:sz w:val="21"/>
                <w:szCs w:val="21"/>
                <w:lang w:eastAsia="zh-CN"/>
              </w:rPr>
            </w:pPr>
            <w:r>
              <w:rPr>
                <w:rFonts w:eastAsia="宋体"/>
                <w:sz w:val="21"/>
                <w:szCs w:val="21"/>
                <w:lang w:eastAsia="zh-CN"/>
              </w:rPr>
              <w:t>单一类别动产的担保权益</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lang w:eastAsia="zh-CN"/>
              </w:rPr>
            </w:pPr>
            <w:r>
              <w:rPr>
                <w:rFonts w:hint="eastAsia" w:eastAsia="宋体"/>
                <w:sz w:val="21"/>
                <w:szCs w:val="21"/>
                <w:lang w:eastAsia="zh-CN"/>
              </w:rPr>
              <w:t>UNCITRAL (2010,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vAlign w:val="center"/>
          </w:tcPr>
          <w:p>
            <w:pPr>
              <w:pStyle w:val="12"/>
              <w:jc w:val="both"/>
              <w:rPr>
                <w:rFonts w:eastAsia="宋体"/>
                <w:sz w:val="21"/>
                <w:szCs w:val="21"/>
                <w:lang w:eastAsia="zh-CN"/>
              </w:rPr>
            </w:pPr>
            <w:r>
              <w:rPr>
                <w:rFonts w:eastAsia="宋体"/>
                <w:sz w:val="21"/>
                <w:szCs w:val="21"/>
                <w:lang w:eastAsia="zh-CN"/>
              </w:rPr>
              <w:t>动产合并类别的担保权益</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lang w:eastAsia="zh-CN"/>
              </w:rPr>
            </w:pPr>
            <w:r>
              <w:rPr>
                <w:rFonts w:hint="eastAsia" w:eastAsia="宋体"/>
                <w:sz w:val="21"/>
                <w:szCs w:val="21"/>
                <w:lang w:eastAsia="zh-CN"/>
              </w:rPr>
              <w:t>UNCITRAL (2010,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vAlign w:val="center"/>
          </w:tcPr>
          <w:p>
            <w:pPr>
              <w:pStyle w:val="12"/>
              <w:jc w:val="both"/>
              <w:rPr>
                <w:rFonts w:eastAsia="宋体"/>
                <w:sz w:val="21"/>
                <w:szCs w:val="21"/>
              </w:rPr>
            </w:pPr>
            <w:r>
              <w:rPr>
                <w:rFonts w:eastAsia="宋体"/>
                <w:sz w:val="21"/>
                <w:szCs w:val="21"/>
              </w:rPr>
              <w:t>未来资产的担保权益</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lang w:eastAsia="zh-CN"/>
              </w:rPr>
            </w:pPr>
            <w:r>
              <w:rPr>
                <w:rFonts w:hint="eastAsia" w:eastAsia="宋体"/>
                <w:sz w:val="21"/>
                <w:szCs w:val="21"/>
                <w:lang w:eastAsia="zh-CN"/>
              </w:rPr>
              <w:t>UNCITRAL (2010,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233" w:type="dxa"/>
            <w:vAlign w:val="center"/>
          </w:tcPr>
          <w:p>
            <w:pPr>
              <w:pStyle w:val="12"/>
              <w:spacing w:line="229" w:lineRule="exact"/>
              <w:jc w:val="both"/>
              <w:rPr>
                <w:rFonts w:eastAsia="宋体"/>
                <w:sz w:val="21"/>
                <w:szCs w:val="21"/>
              </w:rPr>
            </w:pPr>
            <w:r>
              <w:rPr>
                <w:rFonts w:eastAsia="宋体"/>
                <w:sz w:val="21"/>
                <w:szCs w:val="21"/>
              </w:rPr>
              <w:t>债务和义务</w:t>
            </w:r>
          </w:p>
        </w:tc>
        <w:tc>
          <w:tcPr>
            <w:tcW w:w="846" w:type="dxa"/>
            <w:vAlign w:val="center"/>
          </w:tcPr>
          <w:p>
            <w:pPr>
              <w:pStyle w:val="12"/>
              <w:spacing w:line="229" w:lineRule="exact"/>
              <w:ind w:left="0" w:right="99"/>
              <w:jc w:val="center"/>
              <w:rPr>
                <w:rFonts w:eastAsia="宋体"/>
                <w:sz w:val="21"/>
                <w:szCs w:val="21"/>
              </w:rPr>
            </w:pPr>
            <w:r>
              <w:rPr>
                <w:rFonts w:eastAsia="宋体"/>
                <w:w w:val="99"/>
                <w:sz w:val="21"/>
                <w:szCs w:val="21"/>
              </w:rPr>
              <w:t>1</w:t>
            </w:r>
          </w:p>
        </w:tc>
        <w:tc>
          <w:tcPr>
            <w:tcW w:w="843" w:type="dxa"/>
            <w:vAlign w:val="center"/>
          </w:tcPr>
          <w:p>
            <w:pPr>
              <w:pStyle w:val="12"/>
              <w:spacing w:line="229" w:lineRule="exact"/>
              <w:ind w:left="0" w:right="96"/>
              <w:jc w:val="center"/>
              <w:rPr>
                <w:rFonts w:eastAsia="宋体"/>
                <w:sz w:val="21"/>
                <w:szCs w:val="21"/>
              </w:rPr>
            </w:pPr>
            <w:r>
              <w:rPr>
                <w:rFonts w:eastAsia="宋体"/>
                <w:w w:val="99"/>
                <w:sz w:val="21"/>
                <w:szCs w:val="21"/>
              </w:rPr>
              <w:t>1</w:t>
            </w:r>
          </w:p>
        </w:tc>
        <w:tc>
          <w:tcPr>
            <w:tcW w:w="908" w:type="dxa"/>
            <w:vAlign w:val="center"/>
          </w:tcPr>
          <w:p>
            <w:pPr>
              <w:pStyle w:val="12"/>
              <w:spacing w:line="229" w:lineRule="exact"/>
              <w:ind w:left="0" w:right="102"/>
              <w:jc w:val="center"/>
              <w:rPr>
                <w:rFonts w:eastAsia="宋体"/>
                <w:sz w:val="21"/>
                <w:szCs w:val="21"/>
              </w:rPr>
            </w:pPr>
            <w:r>
              <w:rPr>
                <w:rFonts w:eastAsia="宋体"/>
                <w:w w:val="99"/>
                <w:sz w:val="21"/>
                <w:szCs w:val="21"/>
              </w:rPr>
              <w:t>2</w:t>
            </w:r>
          </w:p>
        </w:tc>
        <w:tc>
          <w:tcPr>
            <w:tcW w:w="1050" w:type="dxa"/>
            <w:vAlign w:val="center"/>
          </w:tcPr>
          <w:p>
            <w:pPr>
              <w:pStyle w:val="12"/>
              <w:spacing w:line="229" w:lineRule="exact"/>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子类别1.2.2的总分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4</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4</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8</w:t>
            </w:r>
          </w:p>
        </w:tc>
        <w:tc>
          <w:tcPr>
            <w:tcW w:w="1050" w:type="dxa"/>
            <w:shd w:val="clear" w:color="auto" w:fill="FFC000"/>
            <w:vAlign w:val="center"/>
          </w:tcPr>
          <w:p>
            <w:pPr>
              <w:pStyle w:val="12"/>
              <w:ind w:left="0" w:right="102"/>
              <w:jc w:val="center"/>
              <w:rPr>
                <w:rFonts w:eastAsia="宋体"/>
                <w:sz w:val="21"/>
                <w:szCs w:val="21"/>
              </w:rPr>
            </w:pPr>
            <w:r>
              <w:rPr>
                <w:rFonts w:eastAsia="宋体"/>
                <w:spacing w:val="-2"/>
                <w:sz w:val="21"/>
                <w:szCs w:val="21"/>
              </w:rPr>
              <w:t>15.38</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57" w:type="dxa"/>
            <w:gridSpan w:val="6"/>
            <w:shd w:val="clear" w:color="auto" w:fill="E7EBF5"/>
            <w:vAlign w:val="center"/>
          </w:tcPr>
          <w:p>
            <w:pPr>
              <w:pStyle w:val="12"/>
              <w:spacing w:before="101"/>
              <w:ind w:left="439"/>
              <w:jc w:val="center"/>
              <w:rPr>
                <w:rFonts w:eastAsia="宋体"/>
                <w:b/>
                <w:sz w:val="21"/>
                <w:szCs w:val="21"/>
              </w:rPr>
            </w:pPr>
            <w:r>
              <w:rPr>
                <w:rFonts w:eastAsia="宋体"/>
                <w:b/>
                <w:sz w:val="21"/>
                <w:szCs w:val="21"/>
              </w:rPr>
              <w:t>1.2.3优先</w:t>
            </w:r>
            <w:r>
              <w:rPr>
                <w:rFonts w:hint="eastAsia" w:eastAsia="宋体"/>
                <w:b/>
                <w:sz w:val="21"/>
                <w:szCs w:val="21"/>
                <w:lang w:eastAsia="zh-CN"/>
              </w:rPr>
              <w:t>权</w:t>
            </w:r>
            <w:r>
              <w:rPr>
                <w:rFonts w:eastAsia="宋体"/>
                <w:b/>
                <w:sz w:val="21"/>
                <w:szCs w:val="21"/>
              </w:rPr>
              <w:t>/执行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vAlign w:val="center"/>
          </w:tcPr>
          <w:p>
            <w:pPr>
              <w:pStyle w:val="12"/>
              <w:jc w:val="both"/>
              <w:rPr>
                <w:rFonts w:eastAsia="宋体"/>
                <w:sz w:val="21"/>
                <w:szCs w:val="21"/>
                <w:lang w:eastAsia="zh-CN"/>
              </w:rPr>
            </w:pPr>
            <w:r>
              <w:rPr>
                <w:rFonts w:eastAsia="宋体"/>
                <w:sz w:val="21"/>
                <w:szCs w:val="21"/>
                <w:lang w:eastAsia="zh-CN"/>
              </w:rPr>
              <w:t>破产或破产之外的优先债权</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lang w:eastAsia="zh-CN"/>
              </w:rPr>
            </w:pPr>
            <w:r>
              <w:rPr>
                <w:rFonts w:hint="eastAsia" w:eastAsia="宋体"/>
                <w:sz w:val="21"/>
                <w:szCs w:val="21"/>
                <w:lang w:eastAsia="zh-CN"/>
              </w:rPr>
              <w:t>UNCITRAL (2010,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vAlign w:val="center"/>
          </w:tcPr>
          <w:p>
            <w:pPr>
              <w:pStyle w:val="12"/>
              <w:jc w:val="both"/>
              <w:rPr>
                <w:rFonts w:eastAsia="宋体"/>
                <w:sz w:val="21"/>
                <w:szCs w:val="21"/>
              </w:rPr>
            </w:pPr>
            <w:r>
              <w:rPr>
                <w:rFonts w:eastAsia="宋体"/>
                <w:sz w:val="21"/>
                <w:szCs w:val="21"/>
              </w:rPr>
              <w:t>担保权益的强制执行</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lang w:eastAsia="zh-CN"/>
              </w:rPr>
            </w:pPr>
            <w:r>
              <w:rPr>
                <w:rFonts w:hint="eastAsia" w:eastAsia="宋体"/>
                <w:sz w:val="21"/>
                <w:szCs w:val="21"/>
                <w:lang w:eastAsia="zh-CN"/>
              </w:rPr>
              <w:t>UNCITRAL (2010,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子类别1.2.3的总分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2</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2</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4</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7.69</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5233" w:type="dxa"/>
            <w:shd w:val="clear" w:color="auto" w:fill="FFC000"/>
            <w:vAlign w:val="center"/>
          </w:tcPr>
          <w:p>
            <w:pPr>
              <w:pStyle w:val="12"/>
              <w:ind w:left="117"/>
              <w:jc w:val="both"/>
              <w:rPr>
                <w:rFonts w:eastAsia="宋体"/>
                <w:b/>
                <w:sz w:val="21"/>
                <w:szCs w:val="21"/>
              </w:rPr>
            </w:pPr>
            <w:r>
              <w:rPr>
                <w:rFonts w:eastAsia="宋体"/>
                <w:b/>
                <w:sz w:val="21"/>
                <w:szCs w:val="21"/>
              </w:rPr>
              <w:t>1.2类总分</w:t>
            </w:r>
          </w:p>
        </w:tc>
        <w:tc>
          <w:tcPr>
            <w:tcW w:w="846" w:type="dxa"/>
            <w:shd w:val="clear" w:color="auto" w:fill="FFC000"/>
            <w:vAlign w:val="center"/>
          </w:tcPr>
          <w:p>
            <w:pPr>
              <w:pStyle w:val="12"/>
              <w:ind w:left="0" w:right="99"/>
              <w:jc w:val="center"/>
              <w:rPr>
                <w:rFonts w:eastAsia="宋体"/>
                <w:b/>
                <w:sz w:val="21"/>
                <w:szCs w:val="21"/>
              </w:rPr>
            </w:pPr>
            <w:r>
              <w:rPr>
                <w:rFonts w:eastAsia="宋体"/>
                <w:b/>
                <w:w w:val="99"/>
                <w:sz w:val="21"/>
                <w:szCs w:val="21"/>
              </w:rPr>
              <w:t>7</w:t>
            </w:r>
          </w:p>
        </w:tc>
        <w:tc>
          <w:tcPr>
            <w:tcW w:w="843" w:type="dxa"/>
            <w:shd w:val="clear" w:color="auto" w:fill="FFC000"/>
            <w:vAlign w:val="center"/>
          </w:tcPr>
          <w:p>
            <w:pPr>
              <w:pStyle w:val="12"/>
              <w:ind w:left="0" w:right="96"/>
              <w:jc w:val="center"/>
              <w:rPr>
                <w:rFonts w:eastAsia="宋体"/>
                <w:b/>
                <w:sz w:val="21"/>
                <w:szCs w:val="21"/>
              </w:rPr>
            </w:pPr>
            <w:r>
              <w:rPr>
                <w:rFonts w:eastAsia="宋体"/>
                <w:b/>
                <w:w w:val="99"/>
                <w:sz w:val="21"/>
                <w:szCs w:val="21"/>
              </w:rPr>
              <w:t>7</w:t>
            </w:r>
          </w:p>
        </w:tc>
        <w:tc>
          <w:tcPr>
            <w:tcW w:w="908" w:type="dxa"/>
            <w:shd w:val="clear" w:color="auto" w:fill="FFC000"/>
            <w:vAlign w:val="center"/>
          </w:tcPr>
          <w:p>
            <w:pPr>
              <w:pStyle w:val="12"/>
              <w:ind w:left="0" w:right="98"/>
              <w:jc w:val="center"/>
              <w:rPr>
                <w:rFonts w:eastAsia="宋体"/>
                <w:b/>
                <w:sz w:val="21"/>
                <w:szCs w:val="21"/>
              </w:rPr>
            </w:pPr>
            <w:r>
              <w:rPr>
                <w:rFonts w:eastAsia="宋体"/>
                <w:b/>
                <w:spacing w:val="-5"/>
                <w:sz w:val="21"/>
                <w:szCs w:val="21"/>
              </w:rPr>
              <w:t>14</w:t>
            </w:r>
          </w:p>
        </w:tc>
        <w:tc>
          <w:tcPr>
            <w:tcW w:w="1050" w:type="dxa"/>
            <w:shd w:val="clear" w:color="auto" w:fill="FFC000"/>
            <w:vAlign w:val="center"/>
          </w:tcPr>
          <w:p>
            <w:pPr>
              <w:pStyle w:val="12"/>
              <w:ind w:left="0" w:right="102"/>
              <w:jc w:val="center"/>
              <w:rPr>
                <w:rFonts w:eastAsia="宋体"/>
                <w:b/>
                <w:sz w:val="21"/>
                <w:szCs w:val="21"/>
              </w:rPr>
            </w:pPr>
            <w:r>
              <w:rPr>
                <w:rFonts w:eastAsia="宋体"/>
                <w:b/>
                <w:spacing w:val="-2"/>
                <w:sz w:val="21"/>
                <w:szCs w:val="21"/>
              </w:rPr>
              <w:t>26.92</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CCD4EA"/>
            <w:vAlign w:val="center"/>
          </w:tcPr>
          <w:p>
            <w:pPr>
              <w:pStyle w:val="12"/>
              <w:spacing w:before="101"/>
              <w:jc w:val="both"/>
              <w:rPr>
                <w:rFonts w:eastAsia="宋体"/>
                <w:b/>
                <w:sz w:val="21"/>
                <w:szCs w:val="21"/>
                <w:lang w:eastAsia="zh-CN"/>
              </w:rPr>
            </w:pPr>
            <w:r>
              <w:rPr>
                <w:rFonts w:eastAsia="宋体"/>
                <w:b/>
                <w:sz w:val="21"/>
                <w:szCs w:val="21"/>
                <w:lang w:eastAsia="zh-CN"/>
              </w:rPr>
              <w:t>1.3电子支付的良好监管措施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E7EBF5"/>
            <w:vAlign w:val="center"/>
          </w:tcPr>
          <w:p>
            <w:pPr>
              <w:pStyle w:val="12"/>
              <w:spacing w:before="101"/>
              <w:ind w:left="527"/>
              <w:jc w:val="both"/>
              <w:rPr>
                <w:rFonts w:eastAsia="宋体"/>
                <w:b/>
                <w:sz w:val="21"/>
                <w:szCs w:val="21"/>
              </w:rPr>
            </w:pPr>
            <w:r>
              <w:rPr>
                <w:rFonts w:eastAsia="宋体"/>
                <w:b/>
                <w:sz w:val="21"/>
                <w:szCs w:val="21"/>
              </w:rPr>
              <w:t>1.3.1风险管理</w:t>
            </w:r>
          </w:p>
        </w:tc>
      </w:tr>
    </w:tbl>
    <w:p>
      <w:pPr>
        <w:rPr>
          <w:rFonts w:eastAsia="宋体"/>
          <w:sz w:val="20"/>
        </w:rPr>
        <w:sectPr>
          <w:pgSz w:w="15840" w:h="12240" w:orient="landscape"/>
          <w:pgMar w:top="1140" w:right="1040" w:bottom="280" w:left="1340" w:header="720" w:footer="720" w:gutter="0"/>
          <w:cols w:space="720" w:num="1"/>
        </w:sectPr>
      </w:pPr>
    </w:p>
    <w:p>
      <w:pPr>
        <w:pStyle w:val="5"/>
        <w:spacing w:before="1"/>
        <w:rPr>
          <w:rFonts w:eastAsia="宋体"/>
          <w:sz w:val="26"/>
        </w:rPr>
      </w:pPr>
    </w:p>
    <w:tbl>
      <w:tblPr>
        <w:tblStyle w:val="8"/>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33"/>
        <w:gridCol w:w="846"/>
        <w:gridCol w:w="843"/>
        <w:gridCol w:w="908"/>
        <w:gridCol w:w="1050"/>
        <w:gridCol w:w="40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vAlign w:val="center"/>
          </w:tcPr>
          <w:p>
            <w:pPr>
              <w:pStyle w:val="12"/>
              <w:jc w:val="both"/>
              <w:rPr>
                <w:rFonts w:eastAsia="宋体"/>
                <w:sz w:val="21"/>
                <w:szCs w:val="21"/>
              </w:rPr>
            </w:pPr>
            <w:r>
              <w:rPr>
                <w:rFonts w:eastAsia="宋体"/>
                <w:sz w:val="21"/>
                <w:szCs w:val="21"/>
              </w:rPr>
              <w:t>外部评审和内部控制</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rPr>
            </w:pPr>
            <w:r>
              <w:rPr>
                <w:rFonts w:hint="eastAsia" w:eastAsia="宋体"/>
                <w:sz w:val="21"/>
                <w:szCs w:val="21"/>
              </w:rPr>
              <w:t>OCC (2021); World Bank (2016,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vAlign w:val="center"/>
          </w:tcPr>
          <w:p>
            <w:pPr>
              <w:pStyle w:val="12"/>
              <w:jc w:val="both"/>
              <w:rPr>
                <w:rFonts w:eastAsia="宋体"/>
                <w:sz w:val="21"/>
                <w:szCs w:val="21"/>
              </w:rPr>
            </w:pPr>
            <w:r>
              <w:rPr>
                <w:rFonts w:eastAsia="宋体"/>
                <w:sz w:val="21"/>
                <w:szCs w:val="21"/>
              </w:rPr>
              <w:t>网络安全和</w:t>
            </w:r>
            <w:r>
              <w:rPr>
                <w:rFonts w:eastAsia="宋体"/>
                <w:sz w:val="21"/>
                <w:szCs w:val="21"/>
                <w:lang w:eastAsia="zh-CN"/>
              </w:rPr>
              <w:t>运营</w:t>
            </w:r>
            <w:r>
              <w:rPr>
                <w:rFonts w:eastAsia="宋体"/>
                <w:sz w:val="21"/>
                <w:szCs w:val="21"/>
              </w:rPr>
              <w:t>风险</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rPr>
            </w:pPr>
            <w:r>
              <w:rPr>
                <w:rFonts w:hint="eastAsia" w:eastAsia="宋体"/>
                <w:sz w:val="21"/>
                <w:szCs w:val="21"/>
              </w:rPr>
              <w:t>OCC (2021); World Bank (2016,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vAlign w:val="center"/>
          </w:tcPr>
          <w:p>
            <w:pPr>
              <w:pStyle w:val="12"/>
              <w:jc w:val="both"/>
              <w:rPr>
                <w:rFonts w:eastAsia="宋体"/>
                <w:sz w:val="21"/>
                <w:szCs w:val="21"/>
              </w:rPr>
            </w:pPr>
            <w:r>
              <w:rPr>
                <w:rFonts w:eastAsia="宋体"/>
                <w:sz w:val="21"/>
                <w:szCs w:val="21"/>
              </w:rPr>
              <w:t>流动性风险</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rPr>
            </w:pPr>
            <w:r>
              <w:rPr>
                <w:rFonts w:hint="eastAsia" w:eastAsia="宋体"/>
                <w:sz w:val="21"/>
                <w:szCs w:val="21"/>
              </w:rPr>
              <w:t>OCC (2021); World Bank (2016,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子类别1.3.1的总分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3.</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3.</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6</w:t>
            </w:r>
          </w:p>
        </w:tc>
        <w:tc>
          <w:tcPr>
            <w:tcW w:w="1050" w:type="dxa"/>
            <w:shd w:val="clear" w:color="auto" w:fill="FFC000"/>
            <w:vAlign w:val="center"/>
          </w:tcPr>
          <w:p>
            <w:pPr>
              <w:pStyle w:val="12"/>
              <w:ind w:left="0" w:right="102"/>
              <w:jc w:val="center"/>
              <w:rPr>
                <w:rFonts w:eastAsia="宋体"/>
                <w:sz w:val="21"/>
                <w:szCs w:val="21"/>
              </w:rPr>
            </w:pPr>
            <w:r>
              <w:rPr>
                <w:rFonts w:eastAsia="宋体"/>
                <w:spacing w:val="-2"/>
                <w:sz w:val="21"/>
                <w:szCs w:val="21"/>
              </w:rPr>
              <w:t>11.54</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E7EBF5"/>
            <w:vAlign w:val="center"/>
          </w:tcPr>
          <w:p>
            <w:pPr>
              <w:pStyle w:val="12"/>
              <w:spacing w:before="101"/>
              <w:ind w:left="439"/>
              <w:jc w:val="both"/>
              <w:rPr>
                <w:rFonts w:eastAsia="宋体"/>
                <w:b/>
                <w:sz w:val="21"/>
                <w:szCs w:val="21"/>
              </w:rPr>
            </w:pPr>
            <w:r>
              <w:rPr>
                <w:rFonts w:eastAsia="宋体"/>
                <w:b/>
                <w:sz w:val="21"/>
                <w:szCs w:val="21"/>
              </w:rPr>
              <w:t>1.3.2客户资金的保护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233" w:type="dxa"/>
            <w:vAlign w:val="center"/>
          </w:tcPr>
          <w:p>
            <w:pPr>
              <w:pStyle w:val="12"/>
              <w:jc w:val="both"/>
              <w:rPr>
                <w:rFonts w:eastAsia="宋体"/>
                <w:sz w:val="21"/>
                <w:szCs w:val="21"/>
                <w:lang w:eastAsia="zh-CN"/>
              </w:rPr>
            </w:pPr>
            <w:r>
              <w:rPr>
                <w:rFonts w:eastAsia="宋体"/>
                <w:sz w:val="21"/>
                <w:szCs w:val="21"/>
                <w:lang w:eastAsia="zh-CN"/>
              </w:rPr>
              <w:t>用户和支付服务提供商(PSP)的义务</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spacing w:before="1" w:line="210" w:lineRule="exact"/>
              <w:ind w:left="103"/>
              <w:jc w:val="both"/>
              <w:rPr>
                <w:rFonts w:eastAsia="宋体"/>
                <w:sz w:val="21"/>
                <w:szCs w:val="21"/>
                <w:lang w:eastAsia="zh-CN"/>
              </w:rPr>
            </w:pPr>
            <w:r>
              <w:rPr>
                <w:rFonts w:hint="eastAsia" w:eastAsia="宋体"/>
                <w:sz w:val="21"/>
                <w:szCs w:val="21"/>
                <w:lang w:eastAsia="zh-CN"/>
              </w:rPr>
              <w:t xml:space="preserve">EU Second Payment Services Directive </w:t>
            </w:r>
          </w:p>
          <w:p>
            <w:pPr>
              <w:pStyle w:val="12"/>
              <w:spacing w:before="1" w:line="210" w:lineRule="exact"/>
              <w:ind w:left="103"/>
              <w:jc w:val="both"/>
              <w:rPr>
                <w:rFonts w:eastAsia="宋体"/>
                <w:sz w:val="21"/>
                <w:szCs w:val="21"/>
                <w:lang w:eastAsia="zh-CN"/>
              </w:rPr>
            </w:pPr>
            <w:r>
              <w:rPr>
                <w:rFonts w:hint="eastAsia" w:eastAsia="宋体"/>
                <w:sz w:val="21"/>
                <w:szCs w:val="21"/>
                <w:lang w:eastAsia="zh-CN"/>
              </w:rPr>
              <w:t xml:space="preserve">2015/2366; World Bank (2016, 2020); World </w:t>
            </w:r>
          </w:p>
          <w:p>
            <w:pPr>
              <w:pStyle w:val="12"/>
              <w:spacing w:before="1" w:line="210" w:lineRule="exact"/>
              <w:ind w:left="103"/>
              <w:jc w:val="both"/>
              <w:rPr>
                <w:rFonts w:eastAsia="宋体"/>
                <w:sz w:val="21"/>
                <w:szCs w:val="21"/>
              </w:rPr>
            </w:pPr>
            <w:r>
              <w:rPr>
                <w:rFonts w:hint="eastAsia" w:eastAsia="宋体"/>
                <w:sz w:val="21"/>
                <w:szCs w:val="21"/>
                <w:lang w:eastAsia="zh-CN"/>
              </w:rPr>
              <w:t>Bank Group (2017)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33" w:type="dxa"/>
            <w:vAlign w:val="center"/>
          </w:tcPr>
          <w:p>
            <w:pPr>
              <w:pStyle w:val="12"/>
              <w:ind w:right="104"/>
              <w:jc w:val="both"/>
              <w:rPr>
                <w:rFonts w:eastAsia="宋体"/>
                <w:sz w:val="21"/>
                <w:szCs w:val="21"/>
                <w:lang w:eastAsia="zh-CN"/>
              </w:rPr>
            </w:pPr>
            <w:r>
              <w:rPr>
                <w:rFonts w:eastAsia="宋体"/>
                <w:sz w:val="21"/>
                <w:szCs w:val="21"/>
                <w:lang w:eastAsia="zh-CN"/>
              </w:rPr>
              <w:t>取消错误交易，保护非银行PSP持有的资金和未授权支付的责任</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spacing w:line="230" w:lineRule="atLeast"/>
              <w:ind w:left="103"/>
              <w:jc w:val="both"/>
              <w:rPr>
                <w:rFonts w:eastAsia="宋体"/>
                <w:sz w:val="21"/>
                <w:szCs w:val="21"/>
                <w:lang w:eastAsia="zh-CN"/>
              </w:rPr>
            </w:pPr>
            <w:r>
              <w:rPr>
                <w:rFonts w:hint="eastAsia" w:eastAsia="宋体"/>
                <w:sz w:val="21"/>
                <w:szCs w:val="21"/>
                <w:lang w:eastAsia="zh-CN"/>
              </w:rPr>
              <w:t xml:space="preserve">EU Second Payment Services Directive </w:t>
            </w:r>
          </w:p>
          <w:p>
            <w:pPr>
              <w:pStyle w:val="12"/>
              <w:spacing w:line="230" w:lineRule="atLeast"/>
              <w:ind w:left="103"/>
              <w:jc w:val="both"/>
              <w:rPr>
                <w:rFonts w:eastAsia="宋体"/>
                <w:sz w:val="21"/>
                <w:szCs w:val="21"/>
                <w:lang w:eastAsia="zh-CN"/>
              </w:rPr>
            </w:pPr>
            <w:r>
              <w:rPr>
                <w:rFonts w:hint="eastAsia" w:eastAsia="宋体"/>
                <w:sz w:val="21"/>
                <w:szCs w:val="21"/>
                <w:lang w:eastAsia="zh-CN"/>
              </w:rPr>
              <w:t xml:space="preserve">2015/2366; World Bank (2020); World Bank </w:t>
            </w:r>
          </w:p>
          <w:p>
            <w:pPr>
              <w:pStyle w:val="12"/>
              <w:spacing w:line="230" w:lineRule="atLeast"/>
              <w:ind w:left="103"/>
              <w:jc w:val="both"/>
              <w:rPr>
                <w:rFonts w:eastAsia="宋体"/>
                <w:sz w:val="21"/>
                <w:szCs w:val="21"/>
                <w:lang w:eastAsia="zh-CN"/>
              </w:rPr>
            </w:pPr>
            <w:r>
              <w:rPr>
                <w:rFonts w:hint="eastAsia" w:eastAsia="宋体"/>
                <w:sz w:val="21"/>
                <w:szCs w:val="21"/>
                <w:lang w:eastAsia="zh-CN"/>
              </w:rPr>
              <w:t>Group (2017); World Bank (2019b)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子类别1.3.2的总分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2</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2</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4</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7.69</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E7EBF5"/>
            <w:vAlign w:val="center"/>
          </w:tcPr>
          <w:p>
            <w:pPr>
              <w:pStyle w:val="12"/>
              <w:spacing w:before="101"/>
              <w:ind w:left="439"/>
              <w:jc w:val="both"/>
              <w:rPr>
                <w:rFonts w:eastAsia="宋体"/>
                <w:b/>
                <w:sz w:val="21"/>
                <w:szCs w:val="21"/>
                <w:lang w:eastAsia="zh-CN"/>
              </w:rPr>
            </w:pPr>
            <w:r>
              <w:rPr>
                <w:rFonts w:eastAsia="宋体"/>
                <w:b/>
                <w:sz w:val="21"/>
                <w:szCs w:val="21"/>
                <w:lang w:eastAsia="zh-CN"/>
              </w:rPr>
              <w:t>1.3.3费用、条款和条件的透明度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33" w:type="dxa"/>
            <w:vAlign w:val="center"/>
          </w:tcPr>
          <w:p>
            <w:pPr>
              <w:pStyle w:val="12"/>
              <w:jc w:val="both"/>
              <w:rPr>
                <w:rFonts w:eastAsia="宋体"/>
                <w:sz w:val="21"/>
                <w:szCs w:val="21"/>
                <w:lang w:eastAsia="zh-CN"/>
              </w:rPr>
            </w:pPr>
            <w:r>
              <w:rPr>
                <w:rFonts w:eastAsia="宋体"/>
                <w:sz w:val="21"/>
                <w:szCs w:val="21"/>
                <w:lang w:eastAsia="zh-CN"/>
              </w:rPr>
              <w:t>披露费用和费用变更通知</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spacing w:line="230" w:lineRule="atLeast"/>
              <w:ind w:left="103"/>
              <w:jc w:val="both"/>
              <w:rPr>
                <w:rFonts w:eastAsia="宋体"/>
                <w:sz w:val="21"/>
                <w:szCs w:val="21"/>
                <w:lang w:eastAsia="zh-CN"/>
              </w:rPr>
            </w:pPr>
            <w:r>
              <w:rPr>
                <w:rFonts w:hint="eastAsia" w:eastAsia="宋体"/>
                <w:sz w:val="21"/>
                <w:szCs w:val="21"/>
                <w:lang w:eastAsia="zh-CN"/>
              </w:rPr>
              <w:t xml:space="preserve">World Bank (2016, 2020); World Bank Group </w:t>
            </w:r>
          </w:p>
          <w:p>
            <w:pPr>
              <w:pStyle w:val="12"/>
              <w:spacing w:line="230" w:lineRule="atLeast"/>
              <w:ind w:left="103"/>
              <w:jc w:val="both"/>
              <w:rPr>
                <w:rFonts w:eastAsia="宋体"/>
                <w:sz w:val="21"/>
                <w:szCs w:val="21"/>
                <w:lang w:eastAsia="zh-CN"/>
              </w:rPr>
            </w:pPr>
            <w:r>
              <w:rPr>
                <w:rFonts w:hint="eastAsia" w:eastAsia="宋体"/>
                <w:sz w:val="21"/>
                <w:szCs w:val="21"/>
                <w:lang w:eastAsia="zh-CN"/>
              </w:rPr>
              <w:t>(2017)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33" w:type="dxa"/>
            <w:vAlign w:val="center"/>
          </w:tcPr>
          <w:p>
            <w:pPr>
              <w:pStyle w:val="12"/>
              <w:jc w:val="both"/>
              <w:rPr>
                <w:rFonts w:eastAsia="宋体"/>
                <w:sz w:val="21"/>
                <w:szCs w:val="21"/>
                <w:lang w:eastAsia="zh-CN"/>
              </w:rPr>
            </w:pPr>
            <w:r>
              <w:rPr>
                <w:rFonts w:eastAsia="宋体"/>
                <w:sz w:val="21"/>
                <w:szCs w:val="21"/>
                <w:lang w:eastAsia="zh-CN"/>
              </w:rPr>
              <w:t>责任披露、数据使用和争议机制</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spacing w:line="230" w:lineRule="atLeast"/>
              <w:ind w:left="103"/>
              <w:jc w:val="both"/>
              <w:rPr>
                <w:rFonts w:eastAsia="宋体"/>
                <w:sz w:val="21"/>
                <w:szCs w:val="21"/>
                <w:lang w:eastAsia="zh-CN"/>
              </w:rPr>
            </w:pPr>
            <w:r>
              <w:rPr>
                <w:rFonts w:hint="eastAsia" w:eastAsia="宋体"/>
                <w:sz w:val="21"/>
                <w:szCs w:val="21"/>
                <w:lang w:eastAsia="zh-CN"/>
              </w:rPr>
              <w:t xml:space="preserve">World Bank (2016, 2020); World Bank Group </w:t>
            </w:r>
          </w:p>
          <w:p>
            <w:pPr>
              <w:pStyle w:val="12"/>
              <w:spacing w:line="230" w:lineRule="atLeast"/>
              <w:ind w:left="103"/>
              <w:jc w:val="both"/>
              <w:rPr>
                <w:rFonts w:eastAsia="宋体"/>
                <w:sz w:val="21"/>
                <w:szCs w:val="21"/>
                <w:lang w:eastAsia="zh-CN"/>
              </w:rPr>
            </w:pPr>
            <w:r>
              <w:rPr>
                <w:rFonts w:hint="eastAsia" w:eastAsia="宋体"/>
                <w:sz w:val="21"/>
                <w:szCs w:val="21"/>
                <w:lang w:eastAsia="zh-CN"/>
              </w:rPr>
              <w:t>(2017)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子类别1.3.3的总分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2</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2</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4</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7.69</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2957" w:type="dxa"/>
            <w:gridSpan w:val="6"/>
            <w:shd w:val="clear" w:color="auto" w:fill="E7EBF5"/>
            <w:vAlign w:val="center"/>
          </w:tcPr>
          <w:p>
            <w:pPr>
              <w:pStyle w:val="12"/>
              <w:spacing w:before="55"/>
              <w:ind w:left="439"/>
              <w:jc w:val="both"/>
              <w:rPr>
                <w:rFonts w:eastAsia="宋体"/>
                <w:b/>
                <w:sz w:val="21"/>
                <w:szCs w:val="21"/>
                <w:lang w:eastAsia="zh-CN"/>
              </w:rPr>
            </w:pPr>
            <w:r>
              <w:rPr>
                <w:rFonts w:eastAsia="宋体"/>
                <w:b/>
                <w:sz w:val="21"/>
                <w:szCs w:val="21"/>
                <w:lang w:eastAsia="zh-CN"/>
              </w:rPr>
              <w:t>1.3.4可靠的追索权和争端解决机制的可用性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5233" w:type="dxa"/>
            <w:vAlign w:val="center"/>
          </w:tcPr>
          <w:p>
            <w:pPr>
              <w:pStyle w:val="12"/>
              <w:spacing w:before="132"/>
              <w:jc w:val="both"/>
              <w:rPr>
                <w:rFonts w:eastAsia="宋体"/>
                <w:sz w:val="21"/>
                <w:szCs w:val="21"/>
                <w:lang w:eastAsia="zh-CN"/>
              </w:rPr>
            </w:pPr>
            <w:r>
              <w:rPr>
                <w:rFonts w:eastAsia="宋体"/>
                <w:sz w:val="21"/>
                <w:szCs w:val="21"/>
              </w:rPr>
              <w:t>对交易提出</w:t>
            </w:r>
            <w:r>
              <w:rPr>
                <w:rFonts w:eastAsia="宋体"/>
                <w:sz w:val="21"/>
                <w:szCs w:val="21"/>
                <w:lang w:eastAsia="zh-CN"/>
              </w:rPr>
              <w:t>争议</w:t>
            </w:r>
          </w:p>
        </w:tc>
        <w:tc>
          <w:tcPr>
            <w:tcW w:w="846" w:type="dxa"/>
            <w:vAlign w:val="center"/>
          </w:tcPr>
          <w:p>
            <w:pPr>
              <w:pStyle w:val="12"/>
              <w:spacing w:before="132"/>
              <w:ind w:left="0" w:right="99"/>
              <w:jc w:val="center"/>
              <w:rPr>
                <w:rFonts w:eastAsia="宋体"/>
                <w:sz w:val="21"/>
                <w:szCs w:val="21"/>
              </w:rPr>
            </w:pPr>
            <w:r>
              <w:rPr>
                <w:rFonts w:eastAsia="宋体"/>
                <w:w w:val="99"/>
                <w:sz w:val="21"/>
                <w:szCs w:val="21"/>
              </w:rPr>
              <w:t>1</w:t>
            </w:r>
          </w:p>
        </w:tc>
        <w:tc>
          <w:tcPr>
            <w:tcW w:w="843" w:type="dxa"/>
            <w:vAlign w:val="center"/>
          </w:tcPr>
          <w:p>
            <w:pPr>
              <w:pStyle w:val="12"/>
              <w:spacing w:before="132"/>
              <w:ind w:left="0" w:right="96"/>
              <w:jc w:val="center"/>
              <w:rPr>
                <w:rFonts w:eastAsia="宋体"/>
                <w:sz w:val="21"/>
                <w:szCs w:val="21"/>
              </w:rPr>
            </w:pPr>
            <w:r>
              <w:rPr>
                <w:rFonts w:eastAsia="宋体"/>
                <w:w w:val="99"/>
                <w:sz w:val="21"/>
                <w:szCs w:val="21"/>
              </w:rPr>
              <w:t>1</w:t>
            </w:r>
          </w:p>
        </w:tc>
        <w:tc>
          <w:tcPr>
            <w:tcW w:w="908" w:type="dxa"/>
            <w:vAlign w:val="center"/>
          </w:tcPr>
          <w:p>
            <w:pPr>
              <w:pStyle w:val="12"/>
              <w:spacing w:before="132"/>
              <w:ind w:left="0" w:right="102"/>
              <w:jc w:val="center"/>
              <w:rPr>
                <w:rFonts w:eastAsia="宋体"/>
                <w:sz w:val="21"/>
                <w:szCs w:val="21"/>
              </w:rPr>
            </w:pPr>
            <w:r>
              <w:rPr>
                <w:rFonts w:eastAsia="宋体"/>
                <w:w w:val="99"/>
                <w:sz w:val="21"/>
                <w:szCs w:val="21"/>
              </w:rPr>
              <w:t>2</w:t>
            </w:r>
          </w:p>
        </w:tc>
        <w:tc>
          <w:tcPr>
            <w:tcW w:w="1050" w:type="dxa"/>
            <w:vAlign w:val="center"/>
          </w:tcPr>
          <w:p>
            <w:pPr>
              <w:pStyle w:val="12"/>
              <w:spacing w:before="132"/>
              <w:ind w:left="0" w:right="101"/>
              <w:jc w:val="center"/>
              <w:rPr>
                <w:rFonts w:eastAsia="宋体"/>
                <w:sz w:val="21"/>
                <w:szCs w:val="21"/>
              </w:rPr>
            </w:pPr>
            <w:r>
              <w:rPr>
                <w:rFonts w:eastAsia="宋体"/>
                <w:spacing w:val="-4"/>
                <w:sz w:val="21"/>
                <w:szCs w:val="21"/>
              </w:rPr>
              <w:t>3.85</w:t>
            </w:r>
          </w:p>
        </w:tc>
        <w:tc>
          <w:tcPr>
            <w:tcW w:w="4077" w:type="dxa"/>
            <w:vAlign w:val="center"/>
          </w:tcPr>
          <w:p>
            <w:pPr>
              <w:pStyle w:val="12"/>
              <w:spacing w:line="230" w:lineRule="atLeast"/>
              <w:ind w:left="103"/>
              <w:jc w:val="both"/>
              <w:rPr>
                <w:rFonts w:eastAsia="宋体"/>
                <w:sz w:val="21"/>
                <w:szCs w:val="21"/>
                <w:lang w:eastAsia="zh-CN"/>
              </w:rPr>
            </w:pPr>
            <w:r>
              <w:rPr>
                <w:rFonts w:hint="eastAsia" w:eastAsia="宋体"/>
                <w:sz w:val="21"/>
                <w:szCs w:val="21"/>
                <w:lang w:eastAsia="zh-CN"/>
              </w:rPr>
              <w:t xml:space="preserve">World Bank (2016, 2020); World Bank Group </w:t>
            </w:r>
          </w:p>
          <w:p>
            <w:pPr>
              <w:pStyle w:val="12"/>
              <w:spacing w:before="20" w:line="227" w:lineRule="exact"/>
              <w:ind w:left="103"/>
              <w:jc w:val="both"/>
              <w:rPr>
                <w:rFonts w:eastAsia="宋体"/>
                <w:sz w:val="21"/>
                <w:szCs w:val="21"/>
                <w:lang w:eastAsia="zh-CN"/>
              </w:rPr>
            </w:pPr>
            <w:r>
              <w:rPr>
                <w:rFonts w:hint="eastAsia" w:eastAsia="宋体"/>
                <w:sz w:val="21"/>
                <w:szCs w:val="21"/>
                <w:lang w:eastAsia="zh-CN"/>
              </w:rPr>
              <w:t>(2017)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5233" w:type="dxa"/>
            <w:vAlign w:val="center"/>
          </w:tcPr>
          <w:p>
            <w:pPr>
              <w:pStyle w:val="12"/>
              <w:spacing w:before="132"/>
              <w:jc w:val="both"/>
              <w:rPr>
                <w:rFonts w:eastAsia="宋体"/>
                <w:sz w:val="21"/>
                <w:szCs w:val="21"/>
              </w:rPr>
            </w:pPr>
            <w:r>
              <w:rPr>
                <w:rFonts w:eastAsia="宋体"/>
                <w:sz w:val="21"/>
                <w:szCs w:val="21"/>
                <w:lang w:eastAsia="zh-CN"/>
              </w:rPr>
              <w:t>争端</w:t>
            </w:r>
            <w:r>
              <w:rPr>
                <w:rFonts w:eastAsia="宋体"/>
                <w:sz w:val="21"/>
                <w:szCs w:val="21"/>
              </w:rPr>
              <w:t>机制的可</w:t>
            </w:r>
            <w:r>
              <w:rPr>
                <w:rFonts w:eastAsia="宋体"/>
                <w:sz w:val="21"/>
                <w:szCs w:val="21"/>
                <w:lang w:eastAsia="zh-CN"/>
              </w:rPr>
              <w:t>用</w:t>
            </w:r>
            <w:r>
              <w:rPr>
                <w:rFonts w:eastAsia="宋体"/>
                <w:sz w:val="21"/>
                <w:szCs w:val="21"/>
              </w:rPr>
              <w:t>性</w:t>
            </w:r>
          </w:p>
        </w:tc>
        <w:tc>
          <w:tcPr>
            <w:tcW w:w="846" w:type="dxa"/>
            <w:vAlign w:val="center"/>
          </w:tcPr>
          <w:p>
            <w:pPr>
              <w:pStyle w:val="12"/>
              <w:spacing w:before="132"/>
              <w:ind w:left="0" w:right="99"/>
              <w:jc w:val="center"/>
              <w:rPr>
                <w:rFonts w:eastAsia="宋体"/>
                <w:sz w:val="21"/>
                <w:szCs w:val="21"/>
              </w:rPr>
            </w:pPr>
            <w:r>
              <w:rPr>
                <w:rFonts w:eastAsia="宋体"/>
                <w:w w:val="99"/>
                <w:sz w:val="21"/>
                <w:szCs w:val="21"/>
              </w:rPr>
              <w:t>1</w:t>
            </w:r>
          </w:p>
        </w:tc>
        <w:tc>
          <w:tcPr>
            <w:tcW w:w="843" w:type="dxa"/>
            <w:vAlign w:val="center"/>
          </w:tcPr>
          <w:p>
            <w:pPr>
              <w:pStyle w:val="12"/>
              <w:spacing w:before="132"/>
              <w:ind w:left="0" w:right="96"/>
              <w:jc w:val="center"/>
              <w:rPr>
                <w:rFonts w:eastAsia="宋体"/>
                <w:sz w:val="21"/>
                <w:szCs w:val="21"/>
              </w:rPr>
            </w:pPr>
            <w:r>
              <w:rPr>
                <w:rFonts w:eastAsia="宋体"/>
                <w:w w:val="99"/>
                <w:sz w:val="21"/>
                <w:szCs w:val="21"/>
              </w:rPr>
              <w:t>1</w:t>
            </w:r>
          </w:p>
        </w:tc>
        <w:tc>
          <w:tcPr>
            <w:tcW w:w="908" w:type="dxa"/>
            <w:vAlign w:val="center"/>
          </w:tcPr>
          <w:p>
            <w:pPr>
              <w:pStyle w:val="12"/>
              <w:spacing w:before="132"/>
              <w:ind w:left="0" w:right="102"/>
              <w:jc w:val="center"/>
              <w:rPr>
                <w:rFonts w:eastAsia="宋体"/>
                <w:sz w:val="21"/>
                <w:szCs w:val="21"/>
              </w:rPr>
            </w:pPr>
            <w:r>
              <w:rPr>
                <w:rFonts w:eastAsia="宋体"/>
                <w:w w:val="99"/>
                <w:sz w:val="21"/>
                <w:szCs w:val="21"/>
              </w:rPr>
              <w:t>2</w:t>
            </w:r>
          </w:p>
        </w:tc>
        <w:tc>
          <w:tcPr>
            <w:tcW w:w="1050" w:type="dxa"/>
            <w:vAlign w:val="center"/>
          </w:tcPr>
          <w:p>
            <w:pPr>
              <w:pStyle w:val="12"/>
              <w:spacing w:before="132"/>
              <w:ind w:left="0" w:right="101"/>
              <w:jc w:val="center"/>
              <w:rPr>
                <w:rFonts w:eastAsia="宋体"/>
                <w:sz w:val="21"/>
                <w:szCs w:val="21"/>
              </w:rPr>
            </w:pPr>
            <w:r>
              <w:rPr>
                <w:rFonts w:eastAsia="宋体"/>
                <w:spacing w:val="-4"/>
                <w:sz w:val="21"/>
                <w:szCs w:val="21"/>
              </w:rPr>
              <w:t>3.85</w:t>
            </w:r>
          </w:p>
        </w:tc>
        <w:tc>
          <w:tcPr>
            <w:tcW w:w="4077" w:type="dxa"/>
            <w:vAlign w:val="center"/>
          </w:tcPr>
          <w:p>
            <w:pPr>
              <w:pStyle w:val="12"/>
              <w:spacing w:line="230" w:lineRule="atLeast"/>
              <w:ind w:left="103"/>
              <w:jc w:val="both"/>
              <w:rPr>
                <w:rFonts w:eastAsia="宋体"/>
                <w:sz w:val="21"/>
                <w:szCs w:val="21"/>
                <w:lang w:eastAsia="zh-CN"/>
              </w:rPr>
            </w:pPr>
            <w:r>
              <w:rPr>
                <w:rFonts w:hint="eastAsia" w:eastAsia="宋体"/>
                <w:sz w:val="21"/>
                <w:szCs w:val="21"/>
                <w:lang w:eastAsia="zh-CN"/>
              </w:rPr>
              <w:t xml:space="preserve">World Bank (2016, 2020); World Bank Group </w:t>
            </w:r>
          </w:p>
          <w:p>
            <w:pPr>
              <w:pStyle w:val="12"/>
              <w:spacing w:before="20" w:line="227" w:lineRule="exact"/>
              <w:ind w:left="103"/>
              <w:jc w:val="both"/>
              <w:rPr>
                <w:rFonts w:eastAsia="宋体"/>
                <w:sz w:val="21"/>
                <w:szCs w:val="21"/>
              </w:rPr>
            </w:pPr>
            <w:r>
              <w:rPr>
                <w:rFonts w:hint="eastAsia" w:eastAsia="宋体"/>
                <w:sz w:val="21"/>
                <w:szCs w:val="21"/>
                <w:lang w:eastAsia="zh-CN"/>
              </w:rPr>
              <w:t>(2017)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子类别1.3.4的总分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2</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2</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4</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7.69</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7" w:type="dxa"/>
            <w:gridSpan w:val="6"/>
            <w:shd w:val="clear" w:color="auto" w:fill="E7EBF5"/>
            <w:vAlign w:val="center"/>
          </w:tcPr>
          <w:p>
            <w:pPr>
              <w:pStyle w:val="12"/>
              <w:spacing w:before="101"/>
              <w:ind w:left="439"/>
              <w:jc w:val="both"/>
              <w:rPr>
                <w:rFonts w:eastAsia="宋体"/>
                <w:b/>
                <w:sz w:val="21"/>
                <w:szCs w:val="21"/>
              </w:rPr>
            </w:pPr>
            <w:r>
              <w:rPr>
                <w:rFonts w:eastAsia="宋体"/>
                <w:b/>
                <w:sz w:val="21"/>
                <w:szCs w:val="21"/>
              </w:rPr>
              <w:t>1.3.5互操作性和促进竞争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33" w:type="dxa"/>
            <w:vAlign w:val="center"/>
          </w:tcPr>
          <w:p>
            <w:pPr>
              <w:pStyle w:val="12"/>
              <w:spacing w:before="1"/>
              <w:jc w:val="both"/>
              <w:rPr>
                <w:rFonts w:eastAsia="宋体"/>
                <w:sz w:val="21"/>
                <w:szCs w:val="21"/>
              </w:rPr>
            </w:pPr>
            <w:r>
              <w:rPr>
                <w:rFonts w:eastAsia="宋体"/>
                <w:sz w:val="21"/>
                <w:szCs w:val="21"/>
              </w:rPr>
              <w:t>支付系统的互操作性</w:t>
            </w:r>
          </w:p>
        </w:tc>
        <w:tc>
          <w:tcPr>
            <w:tcW w:w="846" w:type="dxa"/>
            <w:vAlign w:val="center"/>
          </w:tcPr>
          <w:p>
            <w:pPr>
              <w:pStyle w:val="12"/>
              <w:spacing w:before="1"/>
              <w:ind w:left="0" w:right="99"/>
              <w:jc w:val="center"/>
              <w:rPr>
                <w:rFonts w:eastAsia="宋体"/>
                <w:sz w:val="21"/>
                <w:szCs w:val="21"/>
              </w:rPr>
            </w:pPr>
            <w:r>
              <w:rPr>
                <w:rFonts w:eastAsia="宋体"/>
                <w:w w:val="99"/>
                <w:sz w:val="21"/>
                <w:szCs w:val="21"/>
              </w:rPr>
              <w:t>1</w:t>
            </w:r>
          </w:p>
        </w:tc>
        <w:tc>
          <w:tcPr>
            <w:tcW w:w="843" w:type="dxa"/>
            <w:vAlign w:val="center"/>
          </w:tcPr>
          <w:p>
            <w:pPr>
              <w:pStyle w:val="12"/>
              <w:spacing w:before="1"/>
              <w:ind w:left="0" w:right="96"/>
              <w:jc w:val="center"/>
              <w:rPr>
                <w:rFonts w:eastAsia="宋体"/>
                <w:sz w:val="21"/>
                <w:szCs w:val="21"/>
              </w:rPr>
            </w:pPr>
            <w:r>
              <w:rPr>
                <w:rFonts w:eastAsia="宋体"/>
                <w:w w:val="99"/>
                <w:sz w:val="21"/>
                <w:szCs w:val="21"/>
              </w:rPr>
              <w:t>1</w:t>
            </w:r>
          </w:p>
        </w:tc>
        <w:tc>
          <w:tcPr>
            <w:tcW w:w="908" w:type="dxa"/>
            <w:vAlign w:val="center"/>
          </w:tcPr>
          <w:p>
            <w:pPr>
              <w:pStyle w:val="12"/>
              <w:spacing w:before="1"/>
              <w:ind w:left="0" w:right="102"/>
              <w:jc w:val="center"/>
              <w:rPr>
                <w:rFonts w:eastAsia="宋体"/>
                <w:sz w:val="21"/>
                <w:szCs w:val="21"/>
              </w:rPr>
            </w:pPr>
            <w:r>
              <w:rPr>
                <w:rFonts w:eastAsia="宋体"/>
                <w:w w:val="99"/>
                <w:sz w:val="21"/>
                <w:szCs w:val="21"/>
              </w:rPr>
              <w:t>2</w:t>
            </w:r>
          </w:p>
        </w:tc>
        <w:tc>
          <w:tcPr>
            <w:tcW w:w="1050" w:type="dxa"/>
            <w:vAlign w:val="center"/>
          </w:tcPr>
          <w:p>
            <w:pPr>
              <w:pStyle w:val="12"/>
              <w:spacing w:before="1"/>
              <w:ind w:left="0" w:right="101"/>
              <w:jc w:val="center"/>
              <w:rPr>
                <w:rFonts w:eastAsia="宋体"/>
                <w:sz w:val="21"/>
                <w:szCs w:val="21"/>
              </w:rPr>
            </w:pPr>
            <w:r>
              <w:rPr>
                <w:rFonts w:eastAsia="宋体"/>
                <w:spacing w:val="-4"/>
                <w:sz w:val="21"/>
                <w:szCs w:val="21"/>
              </w:rPr>
              <w:t>3.85</w:t>
            </w:r>
          </w:p>
        </w:tc>
        <w:tc>
          <w:tcPr>
            <w:tcW w:w="4077" w:type="dxa"/>
            <w:vAlign w:val="center"/>
          </w:tcPr>
          <w:p>
            <w:pPr>
              <w:pStyle w:val="12"/>
              <w:spacing w:line="230" w:lineRule="atLeast"/>
              <w:ind w:left="103" w:right="149"/>
              <w:jc w:val="both"/>
              <w:rPr>
                <w:rFonts w:eastAsia="宋体"/>
                <w:sz w:val="21"/>
                <w:szCs w:val="21"/>
              </w:rPr>
            </w:pPr>
            <w:r>
              <w:rPr>
                <w:rFonts w:hint="eastAsia" w:eastAsia="宋体"/>
                <w:sz w:val="21"/>
                <w:szCs w:val="21"/>
              </w:rPr>
              <w:t xml:space="preserve">Boar et al. (2021); Resendiz (2018); World </w:t>
            </w:r>
          </w:p>
          <w:p>
            <w:pPr>
              <w:pStyle w:val="12"/>
              <w:spacing w:line="230" w:lineRule="atLeast"/>
              <w:ind w:left="103" w:right="149"/>
              <w:jc w:val="both"/>
              <w:rPr>
                <w:rFonts w:eastAsia="宋体"/>
                <w:sz w:val="21"/>
                <w:szCs w:val="21"/>
              </w:rPr>
            </w:pPr>
            <w:r>
              <w:rPr>
                <w:rFonts w:hint="eastAsia" w:eastAsia="宋体"/>
                <w:sz w:val="21"/>
                <w:szCs w:val="21"/>
              </w:rPr>
              <w:t>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vAlign w:val="center"/>
          </w:tcPr>
          <w:p>
            <w:pPr>
              <w:pStyle w:val="12"/>
              <w:jc w:val="both"/>
              <w:rPr>
                <w:rFonts w:eastAsia="宋体"/>
                <w:sz w:val="21"/>
                <w:szCs w:val="21"/>
              </w:rPr>
            </w:pPr>
            <w:r>
              <w:rPr>
                <w:rFonts w:eastAsia="宋体"/>
                <w:sz w:val="21"/>
                <w:szCs w:val="21"/>
              </w:rPr>
              <w:t>公平竞争</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rPr>
            </w:pPr>
            <w:r>
              <w:rPr>
                <w:rFonts w:hint="eastAsia" w:eastAsia="宋体"/>
                <w:sz w:val="21"/>
                <w:szCs w:val="21"/>
              </w:rPr>
              <w:t>World Bank (2016,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vAlign w:val="center"/>
          </w:tcPr>
          <w:p>
            <w:pPr>
              <w:pStyle w:val="12"/>
              <w:jc w:val="both"/>
              <w:rPr>
                <w:rFonts w:eastAsia="宋体"/>
                <w:sz w:val="21"/>
                <w:szCs w:val="21"/>
                <w:lang w:eastAsia="zh-CN"/>
              </w:rPr>
            </w:pPr>
            <w:r>
              <w:rPr>
                <w:rFonts w:eastAsia="宋体"/>
                <w:sz w:val="21"/>
                <w:szCs w:val="21"/>
                <w:lang w:eastAsia="zh-CN"/>
              </w:rPr>
              <w:t>不同支付服务提供商（PSP）的平等准入和待遇</w:t>
            </w:r>
          </w:p>
        </w:tc>
        <w:tc>
          <w:tcPr>
            <w:tcW w:w="846" w:type="dxa"/>
            <w:vAlign w:val="center"/>
          </w:tcPr>
          <w:p>
            <w:pPr>
              <w:pStyle w:val="12"/>
              <w:ind w:left="0" w:right="99"/>
              <w:jc w:val="center"/>
              <w:rPr>
                <w:rFonts w:eastAsia="宋体"/>
                <w:sz w:val="21"/>
                <w:szCs w:val="21"/>
              </w:rPr>
            </w:pPr>
            <w:r>
              <w:rPr>
                <w:rFonts w:eastAsia="宋体"/>
                <w:w w:val="99"/>
                <w:sz w:val="21"/>
                <w:szCs w:val="21"/>
              </w:rPr>
              <w:t>1</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2</w:t>
            </w:r>
          </w:p>
        </w:tc>
        <w:tc>
          <w:tcPr>
            <w:tcW w:w="1050" w:type="dxa"/>
            <w:vAlign w:val="center"/>
          </w:tcPr>
          <w:p>
            <w:pPr>
              <w:pStyle w:val="12"/>
              <w:ind w:left="0" w:right="101"/>
              <w:jc w:val="center"/>
              <w:rPr>
                <w:rFonts w:eastAsia="宋体"/>
                <w:sz w:val="21"/>
                <w:szCs w:val="21"/>
              </w:rPr>
            </w:pPr>
            <w:r>
              <w:rPr>
                <w:rFonts w:eastAsia="宋体"/>
                <w:spacing w:val="-4"/>
                <w:sz w:val="21"/>
                <w:szCs w:val="21"/>
              </w:rPr>
              <w:t>3.85</w:t>
            </w:r>
          </w:p>
        </w:tc>
        <w:tc>
          <w:tcPr>
            <w:tcW w:w="4077" w:type="dxa"/>
            <w:vAlign w:val="center"/>
          </w:tcPr>
          <w:p>
            <w:pPr>
              <w:pStyle w:val="12"/>
              <w:ind w:left="103"/>
              <w:jc w:val="both"/>
              <w:rPr>
                <w:rFonts w:eastAsia="宋体"/>
                <w:sz w:val="21"/>
                <w:szCs w:val="21"/>
              </w:rPr>
            </w:pPr>
            <w:r>
              <w:rPr>
                <w:rFonts w:hint="eastAsia" w:eastAsia="宋体"/>
                <w:sz w:val="21"/>
                <w:szCs w:val="21"/>
              </w:rPr>
              <w:t>World Bank (2016,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子类别1.3.5的总分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3.</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3.</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6</w:t>
            </w:r>
          </w:p>
        </w:tc>
        <w:tc>
          <w:tcPr>
            <w:tcW w:w="1050" w:type="dxa"/>
            <w:shd w:val="clear" w:color="auto" w:fill="FFC000"/>
            <w:vAlign w:val="center"/>
          </w:tcPr>
          <w:p>
            <w:pPr>
              <w:pStyle w:val="12"/>
              <w:ind w:left="0" w:right="102"/>
              <w:jc w:val="center"/>
              <w:rPr>
                <w:rFonts w:eastAsia="宋体"/>
                <w:sz w:val="21"/>
                <w:szCs w:val="21"/>
              </w:rPr>
            </w:pPr>
            <w:r>
              <w:rPr>
                <w:rFonts w:eastAsia="宋体"/>
                <w:spacing w:val="-2"/>
                <w:sz w:val="21"/>
                <w:szCs w:val="21"/>
              </w:rPr>
              <w:t>11.54</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233" w:type="dxa"/>
            <w:shd w:val="clear" w:color="auto" w:fill="FFC000"/>
            <w:vAlign w:val="center"/>
          </w:tcPr>
          <w:p>
            <w:pPr>
              <w:pStyle w:val="12"/>
              <w:jc w:val="both"/>
              <w:rPr>
                <w:rFonts w:eastAsia="宋体"/>
                <w:b/>
                <w:sz w:val="21"/>
                <w:szCs w:val="21"/>
              </w:rPr>
            </w:pPr>
            <w:r>
              <w:rPr>
                <w:rFonts w:eastAsia="宋体"/>
                <w:b/>
                <w:sz w:val="21"/>
                <w:szCs w:val="21"/>
              </w:rPr>
              <w:t>1.3类总分</w:t>
            </w:r>
          </w:p>
        </w:tc>
        <w:tc>
          <w:tcPr>
            <w:tcW w:w="846" w:type="dxa"/>
            <w:shd w:val="clear" w:color="auto" w:fill="FFC000"/>
            <w:vAlign w:val="center"/>
          </w:tcPr>
          <w:p>
            <w:pPr>
              <w:pStyle w:val="12"/>
              <w:ind w:left="0" w:right="95"/>
              <w:jc w:val="center"/>
              <w:rPr>
                <w:rFonts w:eastAsia="宋体"/>
                <w:b/>
                <w:sz w:val="21"/>
                <w:szCs w:val="21"/>
              </w:rPr>
            </w:pPr>
            <w:r>
              <w:rPr>
                <w:rFonts w:eastAsia="宋体"/>
                <w:b/>
                <w:spacing w:val="-5"/>
                <w:sz w:val="21"/>
                <w:szCs w:val="21"/>
              </w:rPr>
              <w:t>12</w:t>
            </w:r>
          </w:p>
        </w:tc>
        <w:tc>
          <w:tcPr>
            <w:tcW w:w="843" w:type="dxa"/>
            <w:shd w:val="clear" w:color="auto" w:fill="FFC000"/>
            <w:vAlign w:val="center"/>
          </w:tcPr>
          <w:p>
            <w:pPr>
              <w:pStyle w:val="12"/>
              <w:ind w:left="0" w:right="93"/>
              <w:jc w:val="center"/>
              <w:rPr>
                <w:rFonts w:eastAsia="宋体"/>
                <w:b/>
                <w:sz w:val="21"/>
                <w:szCs w:val="21"/>
              </w:rPr>
            </w:pPr>
            <w:r>
              <w:rPr>
                <w:rFonts w:eastAsia="宋体"/>
                <w:b/>
                <w:spacing w:val="-5"/>
                <w:sz w:val="21"/>
                <w:szCs w:val="21"/>
              </w:rPr>
              <w:t>12</w:t>
            </w:r>
          </w:p>
        </w:tc>
        <w:tc>
          <w:tcPr>
            <w:tcW w:w="908" w:type="dxa"/>
            <w:shd w:val="clear" w:color="auto" w:fill="FFC000"/>
            <w:vAlign w:val="center"/>
          </w:tcPr>
          <w:p>
            <w:pPr>
              <w:pStyle w:val="12"/>
              <w:ind w:left="0" w:right="98"/>
              <w:jc w:val="center"/>
              <w:rPr>
                <w:rFonts w:eastAsia="宋体"/>
                <w:b/>
                <w:sz w:val="21"/>
                <w:szCs w:val="21"/>
              </w:rPr>
            </w:pPr>
            <w:r>
              <w:rPr>
                <w:rFonts w:eastAsia="宋体"/>
                <w:b/>
                <w:spacing w:val="-5"/>
                <w:sz w:val="21"/>
                <w:szCs w:val="21"/>
              </w:rPr>
              <w:t>24</w:t>
            </w:r>
          </w:p>
        </w:tc>
        <w:tc>
          <w:tcPr>
            <w:tcW w:w="1050" w:type="dxa"/>
            <w:shd w:val="clear" w:color="auto" w:fill="FFC000"/>
            <w:vAlign w:val="center"/>
          </w:tcPr>
          <w:p>
            <w:pPr>
              <w:pStyle w:val="12"/>
              <w:ind w:left="0" w:right="102"/>
              <w:jc w:val="center"/>
              <w:rPr>
                <w:rFonts w:eastAsia="宋体"/>
                <w:b/>
                <w:sz w:val="21"/>
                <w:szCs w:val="21"/>
              </w:rPr>
            </w:pPr>
            <w:r>
              <w:rPr>
                <w:rFonts w:eastAsia="宋体"/>
                <w:b/>
                <w:spacing w:val="-2"/>
                <w:sz w:val="21"/>
                <w:szCs w:val="21"/>
              </w:rPr>
              <w:t>46.15</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12957" w:type="dxa"/>
            <w:gridSpan w:val="6"/>
            <w:shd w:val="clear" w:color="auto" w:fill="CCD4EA"/>
            <w:vAlign w:val="center"/>
          </w:tcPr>
          <w:p>
            <w:pPr>
              <w:pStyle w:val="12"/>
              <w:jc w:val="both"/>
              <w:rPr>
                <w:rFonts w:eastAsia="宋体"/>
                <w:b/>
                <w:sz w:val="21"/>
                <w:szCs w:val="21"/>
                <w:lang w:eastAsia="zh-CN"/>
              </w:rPr>
            </w:pPr>
            <w:r>
              <w:rPr>
                <w:rFonts w:eastAsia="宋体"/>
                <w:b/>
                <w:sz w:val="21"/>
                <w:szCs w:val="21"/>
                <w:lang w:eastAsia="zh-CN"/>
              </w:rPr>
              <w:t>1.4绿色金融（融资）的良好监管实践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12957" w:type="dxa"/>
            <w:gridSpan w:val="6"/>
            <w:shd w:val="clear" w:color="auto" w:fill="E7EBF5"/>
            <w:vAlign w:val="center"/>
          </w:tcPr>
          <w:p>
            <w:pPr>
              <w:pStyle w:val="12"/>
              <w:ind w:left="439"/>
              <w:jc w:val="both"/>
              <w:rPr>
                <w:rFonts w:eastAsia="宋体"/>
                <w:b/>
                <w:sz w:val="21"/>
                <w:szCs w:val="21"/>
              </w:rPr>
            </w:pPr>
            <w:r>
              <w:rPr>
                <w:rFonts w:eastAsia="宋体"/>
                <w:b/>
                <w:sz w:val="21"/>
                <w:szCs w:val="21"/>
              </w:rPr>
              <w:t>1.4.1风险管理</w:t>
            </w:r>
          </w:p>
        </w:tc>
      </w:tr>
    </w:tbl>
    <w:p>
      <w:pPr>
        <w:rPr>
          <w:rFonts w:eastAsia="宋体"/>
          <w:sz w:val="20"/>
        </w:rPr>
        <w:sectPr>
          <w:pgSz w:w="15840" w:h="12240" w:orient="landscape"/>
          <w:pgMar w:top="1140" w:right="1040" w:bottom="280" w:left="1340" w:header="720" w:footer="720" w:gutter="0"/>
          <w:cols w:space="720" w:num="1"/>
        </w:sectPr>
      </w:pPr>
    </w:p>
    <w:p>
      <w:pPr>
        <w:pStyle w:val="5"/>
        <w:spacing w:before="1"/>
        <w:rPr>
          <w:rFonts w:eastAsia="宋体"/>
          <w:sz w:val="26"/>
        </w:rPr>
      </w:pPr>
    </w:p>
    <w:tbl>
      <w:tblPr>
        <w:tblStyle w:val="8"/>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33"/>
        <w:gridCol w:w="846"/>
        <w:gridCol w:w="843"/>
        <w:gridCol w:w="908"/>
        <w:gridCol w:w="1050"/>
        <w:gridCol w:w="40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33" w:type="dxa"/>
            <w:vAlign w:val="center"/>
          </w:tcPr>
          <w:p>
            <w:pPr>
              <w:pStyle w:val="12"/>
              <w:spacing w:line="230" w:lineRule="atLeast"/>
              <w:ind w:right="196"/>
              <w:jc w:val="both"/>
              <w:rPr>
                <w:rFonts w:eastAsia="宋体"/>
                <w:sz w:val="21"/>
                <w:szCs w:val="21"/>
                <w:lang w:eastAsia="zh-CN"/>
              </w:rPr>
            </w:pPr>
            <w:r>
              <w:rPr>
                <w:rFonts w:eastAsia="宋体"/>
                <w:sz w:val="21"/>
                <w:szCs w:val="21"/>
                <w:lang w:eastAsia="zh-CN"/>
              </w:rPr>
              <w:t>将气候/环境风险纳入风险管理框架的要求</w:t>
            </w:r>
          </w:p>
        </w:tc>
        <w:tc>
          <w:tcPr>
            <w:tcW w:w="846" w:type="dxa"/>
            <w:vAlign w:val="center"/>
          </w:tcPr>
          <w:p>
            <w:pPr>
              <w:pStyle w:val="12"/>
              <w:ind w:left="0" w:right="96"/>
              <w:jc w:val="center"/>
              <w:rPr>
                <w:rFonts w:eastAsia="宋体"/>
                <w:sz w:val="21"/>
                <w:szCs w:val="21"/>
                <w:lang w:eastAsia="zh-CN"/>
              </w:rPr>
            </w:pPr>
            <w:r>
              <w:rPr>
                <w:rFonts w:eastAsia="宋体"/>
                <w:spacing w:val="-4"/>
                <w:sz w:val="21"/>
                <w:szCs w:val="21"/>
                <w:lang w:eastAsia="zh-CN"/>
              </w:rPr>
              <w:t>不适用</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1</w:t>
            </w:r>
          </w:p>
        </w:tc>
        <w:tc>
          <w:tcPr>
            <w:tcW w:w="1050" w:type="dxa"/>
            <w:vAlign w:val="center"/>
          </w:tcPr>
          <w:p>
            <w:pPr>
              <w:pStyle w:val="12"/>
              <w:ind w:left="0" w:right="101"/>
              <w:jc w:val="center"/>
              <w:rPr>
                <w:rFonts w:eastAsia="宋体"/>
                <w:sz w:val="21"/>
                <w:szCs w:val="21"/>
              </w:rPr>
            </w:pPr>
            <w:r>
              <w:rPr>
                <w:rFonts w:eastAsia="宋体"/>
                <w:spacing w:val="-4"/>
                <w:sz w:val="21"/>
                <w:szCs w:val="21"/>
              </w:rPr>
              <w:t>1.92</w:t>
            </w:r>
          </w:p>
        </w:tc>
        <w:tc>
          <w:tcPr>
            <w:tcW w:w="4077" w:type="dxa"/>
            <w:vAlign w:val="center"/>
          </w:tcPr>
          <w:p>
            <w:pPr>
              <w:pStyle w:val="12"/>
              <w:spacing w:line="210" w:lineRule="exact"/>
              <w:ind w:left="103"/>
              <w:jc w:val="both"/>
              <w:rPr>
                <w:rFonts w:eastAsia="宋体"/>
                <w:sz w:val="21"/>
                <w:szCs w:val="21"/>
                <w:lang w:eastAsia="zh-CN"/>
              </w:rPr>
            </w:pPr>
            <w:r>
              <w:rPr>
                <w:rFonts w:hint="eastAsia" w:eastAsia="宋体"/>
                <w:sz w:val="21"/>
                <w:szCs w:val="21"/>
                <w:lang w:eastAsia="zh-CN"/>
              </w:rPr>
              <w:t xml:space="preserve">Coelho and Restoy (2022); IFC (2020); </w:t>
            </w:r>
          </w:p>
          <w:p>
            <w:pPr>
              <w:pStyle w:val="12"/>
              <w:spacing w:line="210" w:lineRule="exact"/>
              <w:ind w:left="103"/>
              <w:jc w:val="both"/>
              <w:rPr>
                <w:rFonts w:eastAsia="宋体"/>
                <w:sz w:val="21"/>
                <w:szCs w:val="21"/>
              </w:rPr>
            </w:pPr>
            <w:r>
              <w:rPr>
                <w:rFonts w:hint="eastAsia" w:eastAsia="宋体"/>
                <w:sz w:val="21"/>
                <w:szCs w:val="21"/>
                <w:lang w:eastAsia="zh-CN"/>
              </w:rPr>
              <w:t>Nicholls (2019); World Bank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子类别1.4.1的总分</w:t>
            </w:r>
          </w:p>
        </w:tc>
        <w:tc>
          <w:tcPr>
            <w:tcW w:w="846" w:type="dxa"/>
            <w:shd w:val="clear" w:color="auto" w:fill="FFC000"/>
            <w:vAlign w:val="center"/>
          </w:tcPr>
          <w:p>
            <w:pPr>
              <w:pStyle w:val="12"/>
              <w:ind w:left="0" w:right="96"/>
              <w:jc w:val="center"/>
              <w:rPr>
                <w:rFonts w:eastAsia="宋体"/>
                <w:sz w:val="21"/>
                <w:szCs w:val="21"/>
                <w:lang w:eastAsia="zh-CN"/>
              </w:rPr>
            </w:pPr>
            <w:r>
              <w:rPr>
                <w:rFonts w:eastAsia="宋体"/>
                <w:spacing w:val="-4"/>
                <w:sz w:val="21"/>
                <w:szCs w:val="21"/>
                <w:lang w:eastAsia="zh-CN"/>
              </w:rPr>
              <w:t>不适用</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1</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1</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1.92</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E7EBF5"/>
            <w:vAlign w:val="center"/>
          </w:tcPr>
          <w:p>
            <w:pPr>
              <w:pStyle w:val="12"/>
              <w:ind w:left="439"/>
              <w:jc w:val="both"/>
              <w:rPr>
                <w:rFonts w:eastAsia="宋体"/>
                <w:b/>
                <w:sz w:val="21"/>
                <w:szCs w:val="21"/>
              </w:rPr>
            </w:pPr>
            <w:r>
              <w:rPr>
                <w:rFonts w:eastAsia="宋体"/>
                <w:b/>
                <w:sz w:val="21"/>
                <w:szCs w:val="21"/>
              </w:rPr>
              <w:t>1.4.2披露要求和影响报告</w:t>
            </w:r>
          </w:p>
        </w:tc>
        <w:tc>
          <w:tcPr>
            <w:tcW w:w="846" w:type="dxa"/>
            <w:shd w:val="clear" w:color="auto" w:fill="E7EBF5"/>
            <w:vAlign w:val="center"/>
          </w:tcPr>
          <w:p>
            <w:pPr>
              <w:pStyle w:val="12"/>
              <w:ind w:left="0"/>
              <w:jc w:val="center"/>
              <w:rPr>
                <w:rFonts w:eastAsia="宋体"/>
                <w:sz w:val="21"/>
                <w:szCs w:val="21"/>
              </w:rPr>
            </w:pPr>
          </w:p>
        </w:tc>
        <w:tc>
          <w:tcPr>
            <w:tcW w:w="843" w:type="dxa"/>
            <w:shd w:val="clear" w:color="auto" w:fill="E7EBF5"/>
            <w:vAlign w:val="center"/>
          </w:tcPr>
          <w:p>
            <w:pPr>
              <w:pStyle w:val="12"/>
              <w:ind w:left="0"/>
              <w:jc w:val="center"/>
              <w:rPr>
                <w:rFonts w:eastAsia="宋体"/>
                <w:sz w:val="21"/>
                <w:szCs w:val="21"/>
              </w:rPr>
            </w:pPr>
          </w:p>
        </w:tc>
        <w:tc>
          <w:tcPr>
            <w:tcW w:w="908" w:type="dxa"/>
            <w:shd w:val="clear" w:color="auto" w:fill="E7EBF5"/>
            <w:vAlign w:val="center"/>
          </w:tcPr>
          <w:p>
            <w:pPr>
              <w:pStyle w:val="12"/>
              <w:ind w:left="0"/>
              <w:jc w:val="center"/>
              <w:rPr>
                <w:rFonts w:eastAsia="宋体"/>
                <w:sz w:val="21"/>
                <w:szCs w:val="21"/>
              </w:rPr>
            </w:pPr>
          </w:p>
        </w:tc>
        <w:tc>
          <w:tcPr>
            <w:tcW w:w="1050" w:type="dxa"/>
            <w:shd w:val="clear" w:color="auto" w:fill="E7EBF5"/>
            <w:vAlign w:val="center"/>
          </w:tcPr>
          <w:p>
            <w:pPr>
              <w:pStyle w:val="12"/>
              <w:ind w:left="0"/>
              <w:jc w:val="center"/>
              <w:rPr>
                <w:rFonts w:eastAsia="宋体"/>
                <w:sz w:val="21"/>
                <w:szCs w:val="21"/>
              </w:rPr>
            </w:pPr>
          </w:p>
        </w:tc>
        <w:tc>
          <w:tcPr>
            <w:tcW w:w="4077" w:type="dxa"/>
            <w:shd w:val="clear" w:color="auto" w:fill="E7EBF5"/>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8" w:hRule="atLeast"/>
        </w:trPr>
        <w:tc>
          <w:tcPr>
            <w:tcW w:w="5233" w:type="dxa"/>
            <w:vAlign w:val="center"/>
          </w:tcPr>
          <w:p>
            <w:pPr>
              <w:pStyle w:val="12"/>
              <w:jc w:val="both"/>
              <w:rPr>
                <w:rFonts w:eastAsia="宋体"/>
                <w:sz w:val="21"/>
                <w:szCs w:val="21"/>
                <w:lang w:eastAsia="zh-CN"/>
              </w:rPr>
            </w:pPr>
            <w:r>
              <w:rPr>
                <w:rFonts w:eastAsia="宋体"/>
                <w:sz w:val="21"/>
                <w:szCs w:val="21"/>
                <w:lang w:eastAsia="zh-CN"/>
              </w:rPr>
              <w:t>与气候相关的财务披露要求</w:t>
            </w:r>
          </w:p>
        </w:tc>
        <w:tc>
          <w:tcPr>
            <w:tcW w:w="846" w:type="dxa"/>
            <w:vAlign w:val="center"/>
          </w:tcPr>
          <w:p>
            <w:pPr>
              <w:pStyle w:val="12"/>
              <w:ind w:left="0" w:right="96"/>
              <w:jc w:val="center"/>
              <w:rPr>
                <w:rFonts w:eastAsia="宋体"/>
                <w:sz w:val="21"/>
                <w:szCs w:val="21"/>
                <w:lang w:eastAsia="zh-CN"/>
              </w:rPr>
            </w:pPr>
            <w:r>
              <w:rPr>
                <w:rFonts w:eastAsia="宋体"/>
                <w:spacing w:val="-4"/>
                <w:sz w:val="21"/>
                <w:szCs w:val="21"/>
                <w:lang w:eastAsia="zh-CN"/>
              </w:rPr>
              <w:t>不适用</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1</w:t>
            </w:r>
          </w:p>
        </w:tc>
        <w:tc>
          <w:tcPr>
            <w:tcW w:w="1050" w:type="dxa"/>
            <w:vAlign w:val="center"/>
          </w:tcPr>
          <w:p>
            <w:pPr>
              <w:pStyle w:val="12"/>
              <w:ind w:left="0" w:right="101"/>
              <w:jc w:val="center"/>
              <w:rPr>
                <w:rFonts w:eastAsia="宋体"/>
                <w:sz w:val="21"/>
                <w:szCs w:val="21"/>
              </w:rPr>
            </w:pPr>
            <w:r>
              <w:rPr>
                <w:rFonts w:eastAsia="宋体"/>
                <w:spacing w:val="-4"/>
                <w:sz w:val="21"/>
                <w:szCs w:val="21"/>
              </w:rPr>
              <w:t>1.92</w:t>
            </w:r>
          </w:p>
        </w:tc>
        <w:tc>
          <w:tcPr>
            <w:tcW w:w="4077" w:type="dxa"/>
            <w:vAlign w:val="center"/>
          </w:tcPr>
          <w:p>
            <w:pPr>
              <w:pStyle w:val="12"/>
              <w:ind w:left="103"/>
              <w:jc w:val="both"/>
              <w:rPr>
                <w:rFonts w:eastAsia="宋体"/>
                <w:sz w:val="21"/>
                <w:szCs w:val="21"/>
                <w:lang w:eastAsia="zh-CN"/>
              </w:rPr>
            </w:pPr>
            <w:r>
              <w:rPr>
                <w:rFonts w:hint="eastAsia" w:eastAsia="宋体"/>
                <w:sz w:val="21"/>
                <w:szCs w:val="21"/>
                <w:lang w:eastAsia="zh-CN"/>
              </w:rPr>
              <w:t>IFC (2020); TCFD (2021); World Bank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5233" w:type="dxa"/>
            <w:vAlign w:val="center"/>
          </w:tcPr>
          <w:p>
            <w:pPr>
              <w:pStyle w:val="12"/>
              <w:jc w:val="both"/>
              <w:rPr>
                <w:rFonts w:eastAsia="宋体"/>
                <w:sz w:val="21"/>
                <w:szCs w:val="21"/>
                <w:lang w:eastAsia="zh-CN"/>
              </w:rPr>
            </w:pPr>
            <w:r>
              <w:rPr>
                <w:rFonts w:eastAsia="宋体"/>
                <w:sz w:val="21"/>
                <w:szCs w:val="21"/>
                <w:lang w:eastAsia="zh-CN"/>
              </w:rPr>
              <w:t>要求披露投资对环境的影响</w:t>
            </w:r>
          </w:p>
        </w:tc>
        <w:tc>
          <w:tcPr>
            <w:tcW w:w="846" w:type="dxa"/>
            <w:vAlign w:val="center"/>
          </w:tcPr>
          <w:p>
            <w:pPr>
              <w:pStyle w:val="12"/>
              <w:ind w:left="0" w:right="96"/>
              <w:jc w:val="center"/>
              <w:rPr>
                <w:rFonts w:eastAsia="宋体"/>
                <w:sz w:val="21"/>
                <w:szCs w:val="21"/>
                <w:lang w:eastAsia="zh-CN"/>
              </w:rPr>
            </w:pPr>
            <w:r>
              <w:rPr>
                <w:rFonts w:eastAsia="宋体"/>
                <w:spacing w:val="-4"/>
                <w:sz w:val="21"/>
                <w:szCs w:val="21"/>
                <w:lang w:eastAsia="zh-CN"/>
              </w:rPr>
              <w:t>不适用</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1</w:t>
            </w:r>
          </w:p>
        </w:tc>
        <w:tc>
          <w:tcPr>
            <w:tcW w:w="1050" w:type="dxa"/>
            <w:vAlign w:val="center"/>
          </w:tcPr>
          <w:p>
            <w:pPr>
              <w:pStyle w:val="12"/>
              <w:ind w:left="0" w:right="101"/>
              <w:jc w:val="center"/>
              <w:rPr>
                <w:rFonts w:eastAsia="宋体"/>
                <w:sz w:val="21"/>
                <w:szCs w:val="21"/>
              </w:rPr>
            </w:pPr>
            <w:r>
              <w:rPr>
                <w:rFonts w:eastAsia="宋体"/>
                <w:spacing w:val="-4"/>
                <w:sz w:val="21"/>
                <w:szCs w:val="21"/>
              </w:rPr>
              <w:t>1.92</w:t>
            </w:r>
          </w:p>
        </w:tc>
        <w:tc>
          <w:tcPr>
            <w:tcW w:w="4077" w:type="dxa"/>
            <w:vAlign w:val="center"/>
          </w:tcPr>
          <w:p>
            <w:pPr>
              <w:pStyle w:val="12"/>
              <w:ind w:left="103"/>
              <w:jc w:val="both"/>
              <w:rPr>
                <w:rFonts w:eastAsia="宋体"/>
                <w:sz w:val="21"/>
                <w:szCs w:val="21"/>
                <w:lang w:eastAsia="zh-CN"/>
              </w:rPr>
            </w:pPr>
            <w:r>
              <w:rPr>
                <w:rFonts w:hint="eastAsia" w:eastAsia="宋体"/>
                <w:sz w:val="21"/>
                <w:szCs w:val="21"/>
                <w:lang w:eastAsia="zh-CN"/>
              </w:rPr>
              <w:t>ICMA (2021); IFC (2020); World Bank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子类别1.4.2的总分</w:t>
            </w:r>
          </w:p>
        </w:tc>
        <w:tc>
          <w:tcPr>
            <w:tcW w:w="846" w:type="dxa"/>
            <w:shd w:val="clear" w:color="auto" w:fill="FFC000"/>
            <w:vAlign w:val="center"/>
          </w:tcPr>
          <w:p>
            <w:pPr>
              <w:pStyle w:val="12"/>
              <w:ind w:left="0" w:right="96"/>
              <w:jc w:val="center"/>
              <w:rPr>
                <w:rFonts w:eastAsia="宋体"/>
                <w:sz w:val="21"/>
                <w:szCs w:val="21"/>
                <w:lang w:eastAsia="zh-CN"/>
              </w:rPr>
            </w:pPr>
            <w:r>
              <w:rPr>
                <w:rFonts w:eastAsia="宋体"/>
                <w:spacing w:val="-4"/>
                <w:sz w:val="21"/>
                <w:szCs w:val="21"/>
                <w:lang w:eastAsia="zh-CN"/>
              </w:rPr>
              <w:t>不适用</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2</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2</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3.85</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33" w:type="dxa"/>
            <w:shd w:val="clear" w:color="auto" w:fill="E7EBF5"/>
            <w:vAlign w:val="center"/>
          </w:tcPr>
          <w:p>
            <w:pPr>
              <w:pStyle w:val="12"/>
              <w:spacing w:line="232" w:lineRule="exact"/>
              <w:ind w:left="978" w:hanging="540"/>
              <w:jc w:val="both"/>
              <w:rPr>
                <w:rFonts w:eastAsia="宋体"/>
                <w:b/>
                <w:sz w:val="21"/>
                <w:szCs w:val="21"/>
                <w:lang w:eastAsia="zh-CN"/>
              </w:rPr>
            </w:pPr>
            <w:r>
              <w:rPr>
                <w:rFonts w:eastAsia="宋体"/>
                <w:b/>
                <w:sz w:val="21"/>
                <w:szCs w:val="21"/>
                <w:lang w:eastAsia="zh-CN"/>
              </w:rPr>
              <w:t>1.4.3绿色融资的可获得性和绿色原则的采用</w:t>
            </w:r>
          </w:p>
        </w:tc>
        <w:tc>
          <w:tcPr>
            <w:tcW w:w="846" w:type="dxa"/>
            <w:shd w:val="clear" w:color="auto" w:fill="E7EBF5"/>
            <w:vAlign w:val="center"/>
          </w:tcPr>
          <w:p>
            <w:pPr>
              <w:pStyle w:val="12"/>
              <w:ind w:left="0"/>
              <w:jc w:val="center"/>
              <w:rPr>
                <w:rFonts w:eastAsia="宋体"/>
                <w:sz w:val="21"/>
                <w:szCs w:val="21"/>
                <w:lang w:eastAsia="zh-CN"/>
              </w:rPr>
            </w:pPr>
          </w:p>
        </w:tc>
        <w:tc>
          <w:tcPr>
            <w:tcW w:w="843" w:type="dxa"/>
            <w:shd w:val="clear" w:color="auto" w:fill="E7EBF5"/>
            <w:vAlign w:val="center"/>
          </w:tcPr>
          <w:p>
            <w:pPr>
              <w:pStyle w:val="12"/>
              <w:ind w:left="0"/>
              <w:jc w:val="center"/>
              <w:rPr>
                <w:rFonts w:eastAsia="宋体"/>
                <w:sz w:val="21"/>
                <w:szCs w:val="21"/>
                <w:lang w:eastAsia="zh-CN"/>
              </w:rPr>
            </w:pPr>
          </w:p>
        </w:tc>
        <w:tc>
          <w:tcPr>
            <w:tcW w:w="908" w:type="dxa"/>
            <w:shd w:val="clear" w:color="auto" w:fill="E7EBF5"/>
            <w:vAlign w:val="center"/>
          </w:tcPr>
          <w:p>
            <w:pPr>
              <w:pStyle w:val="12"/>
              <w:ind w:left="0"/>
              <w:jc w:val="center"/>
              <w:rPr>
                <w:rFonts w:eastAsia="宋体"/>
                <w:sz w:val="21"/>
                <w:szCs w:val="21"/>
                <w:lang w:eastAsia="zh-CN"/>
              </w:rPr>
            </w:pPr>
          </w:p>
        </w:tc>
        <w:tc>
          <w:tcPr>
            <w:tcW w:w="1050" w:type="dxa"/>
            <w:shd w:val="clear" w:color="auto" w:fill="E7EBF5"/>
            <w:vAlign w:val="center"/>
          </w:tcPr>
          <w:p>
            <w:pPr>
              <w:pStyle w:val="12"/>
              <w:ind w:left="0"/>
              <w:jc w:val="center"/>
              <w:rPr>
                <w:rFonts w:eastAsia="宋体"/>
                <w:sz w:val="21"/>
                <w:szCs w:val="21"/>
                <w:lang w:eastAsia="zh-CN"/>
              </w:rPr>
            </w:pPr>
          </w:p>
        </w:tc>
        <w:tc>
          <w:tcPr>
            <w:tcW w:w="4077" w:type="dxa"/>
            <w:shd w:val="clear" w:color="auto" w:fill="E7EBF5"/>
            <w:vAlign w:val="center"/>
          </w:tcPr>
          <w:p>
            <w:pPr>
              <w:pStyle w:val="12"/>
              <w:ind w:left="0"/>
              <w:jc w:val="both"/>
              <w:rPr>
                <w:rFonts w:eastAsia="宋体"/>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5233" w:type="dxa"/>
            <w:vAlign w:val="center"/>
          </w:tcPr>
          <w:p>
            <w:pPr>
              <w:pStyle w:val="12"/>
              <w:spacing w:line="227" w:lineRule="exact"/>
              <w:jc w:val="both"/>
              <w:rPr>
                <w:rFonts w:eastAsia="宋体"/>
                <w:sz w:val="21"/>
                <w:szCs w:val="21"/>
                <w:lang w:eastAsia="zh-CN"/>
              </w:rPr>
            </w:pPr>
            <w:r>
              <w:rPr>
                <w:rFonts w:eastAsia="宋体"/>
                <w:sz w:val="21"/>
                <w:szCs w:val="21"/>
                <w:lang w:eastAsia="zh-CN"/>
              </w:rPr>
              <w:t>绿色融资框架的可获得性</w:t>
            </w:r>
          </w:p>
        </w:tc>
        <w:tc>
          <w:tcPr>
            <w:tcW w:w="846" w:type="dxa"/>
            <w:vAlign w:val="center"/>
          </w:tcPr>
          <w:p>
            <w:pPr>
              <w:pStyle w:val="12"/>
              <w:spacing w:line="227" w:lineRule="exact"/>
              <w:ind w:left="0" w:right="99"/>
              <w:jc w:val="center"/>
              <w:rPr>
                <w:rFonts w:eastAsia="宋体"/>
                <w:sz w:val="21"/>
                <w:szCs w:val="21"/>
              </w:rPr>
            </w:pPr>
            <w:r>
              <w:rPr>
                <w:rFonts w:eastAsia="宋体"/>
                <w:w w:val="99"/>
                <w:sz w:val="21"/>
                <w:szCs w:val="21"/>
              </w:rPr>
              <w:t>1</w:t>
            </w:r>
          </w:p>
        </w:tc>
        <w:tc>
          <w:tcPr>
            <w:tcW w:w="843" w:type="dxa"/>
            <w:vAlign w:val="center"/>
          </w:tcPr>
          <w:p>
            <w:pPr>
              <w:pStyle w:val="12"/>
              <w:spacing w:line="227" w:lineRule="exact"/>
              <w:ind w:left="0" w:right="96"/>
              <w:jc w:val="center"/>
              <w:rPr>
                <w:rFonts w:eastAsia="宋体"/>
                <w:sz w:val="21"/>
                <w:szCs w:val="21"/>
              </w:rPr>
            </w:pPr>
            <w:r>
              <w:rPr>
                <w:rFonts w:eastAsia="宋体"/>
                <w:w w:val="99"/>
                <w:sz w:val="21"/>
                <w:szCs w:val="21"/>
              </w:rPr>
              <w:t>1</w:t>
            </w:r>
          </w:p>
        </w:tc>
        <w:tc>
          <w:tcPr>
            <w:tcW w:w="908" w:type="dxa"/>
            <w:vAlign w:val="center"/>
          </w:tcPr>
          <w:p>
            <w:pPr>
              <w:pStyle w:val="12"/>
              <w:spacing w:line="227" w:lineRule="exact"/>
              <w:ind w:left="0" w:right="102"/>
              <w:jc w:val="center"/>
              <w:rPr>
                <w:rFonts w:eastAsia="宋体"/>
                <w:sz w:val="21"/>
                <w:szCs w:val="21"/>
              </w:rPr>
            </w:pPr>
            <w:r>
              <w:rPr>
                <w:rFonts w:eastAsia="宋体"/>
                <w:w w:val="99"/>
                <w:sz w:val="21"/>
                <w:szCs w:val="21"/>
              </w:rPr>
              <w:t>2</w:t>
            </w:r>
          </w:p>
        </w:tc>
        <w:tc>
          <w:tcPr>
            <w:tcW w:w="1050" w:type="dxa"/>
            <w:vAlign w:val="center"/>
          </w:tcPr>
          <w:p>
            <w:pPr>
              <w:pStyle w:val="12"/>
              <w:spacing w:line="227" w:lineRule="exact"/>
              <w:ind w:left="0" w:right="101"/>
              <w:jc w:val="center"/>
              <w:rPr>
                <w:rFonts w:eastAsia="宋体"/>
                <w:sz w:val="21"/>
                <w:szCs w:val="21"/>
              </w:rPr>
            </w:pPr>
            <w:r>
              <w:rPr>
                <w:rFonts w:eastAsia="宋体"/>
                <w:spacing w:val="-4"/>
                <w:sz w:val="21"/>
                <w:szCs w:val="21"/>
              </w:rPr>
              <w:t>3.85</w:t>
            </w:r>
          </w:p>
        </w:tc>
        <w:tc>
          <w:tcPr>
            <w:tcW w:w="4077" w:type="dxa"/>
            <w:vAlign w:val="center"/>
          </w:tcPr>
          <w:p>
            <w:pPr>
              <w:pStyle w:val="12"/>
              <w:spacing w:line="227" w:lineRule="exact"/>
              <w:ind w:left="103"/>
              <w:jc w:val="both"/>
              <w:rPr>
                <w:rFonts w:eastAsia="宋体"/>
                <w:sz w:val="21"/>
                <w:szCs w:val="21"/>
                <w:lang w:eastAsia="zh-CN"/>
              </w:rPr>
            </w:pPr>
            <w:r>
              <w:rPr>
                <w:rFonts w:hint="eastAsia" w:eastAsia="宋体"/>
                <w:sz w:val="21"/>
                <w:szCs w:val="21"/>
                <w:lang w:eastAsia="zh-CN"/>
              </w:rPr>
              <w:t>IFC (2020); LMA (2021); World Bank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33" w:type="dxa"/>
            <w:vAlign w:val="center"/>
          </w:tcPr>
          <w:p>
            <w:pPr>
              <w:pStyle w:val="12"/>
              <w:spacing w:line="230" w:lineRule="atLeast"/>
              <w:ind w:right="154"/>
              <w:jc w:val="both"/>
              <w:rPr>
                <w:rFonts w:eastAsia="宋体"/>
                <w:sz w:val="21"/>
                <w:szCs w:val="21"/>
                <w:lang w:eastAsia="zh-CN"/>
              </w:rPr>
            </w:pPr>
            <w:r>
              <w:rPr>
                <w:rFonts w:eastAsia="宋体"/>
                <w:sz w:val="21"/>
                <w:szCs w:val="21"/>
                <w:lang w:eastAsia="zh-CN"/>
              </w:rPr>
              <w:t>绿色贷款外部审查要求的指导方针</w:t>
            </w:r>
          </w:p>
        </w:tc>
        <w:tc>
          <w:tcPr>
            <w:tcW w:w="846" w:type="dxa"/>
            <w:vAlign w:val="center"/>
          </w:tcPr>
          <w:p>
            <w:pPr>
              <w:pStyle w:val="12"/>
              <w:ind w:left="0" w:right="96"/>
              <w:jc w:val="center"/>
              <w:rPr>
                <w:rFonts w:eastAsia="宋体"/>
                <w:sz w:val="21"/>
                <w:szCs w:val="21"/>
                <w:lang w:eastAsia="zh-CN"/>
              </w:rPr>
            </w:pPr>
            <w:r>
              <w:rPr>
                <w:rFonts w:eastAsia="宋体"/>
                <w:spacing w:val="-4"/>
                <w:sz w:val="21"/>
                <w:szCs w:val="21"/>
                <w:lang w:eastAsia="zh-CN"/>
              </w:rPr>
              <w:t>不适用</w:t>
            </w:r>
          </w:p>
        </w:tc>
        <w:tc>
          <w:tcPr>
            <w:tcW w:w="843" w:type="dxa"/>
            <w:vAlign w:val="center"/>
          </w:tcPr>
          <w:p>
            <w:pPr>
              <w:pStyle w:val="12"/>
              <w:ind w:left="0" w:right="96"/>
              <w:jc w:val="center"/>
              <w:rPr>
                <w:rFonts w:eastAsia="宋体"/>
                <w:sz w:val="21"/>
                <w:szCs w:val="21"/>
              </w:rPr>
            </w:pPr>
            <w:r>
              <w:rPr>
                <w:rFonts w:eastAsia="宋体"/>
                <w:w w:val="99"/>
                <w:sz w:val="21"/>
                <w:szCs w:val="21"/>
              </w:rPr>
              <w:t>1</w:t>
            </w:r>
          </w:p>
        </w:tc>
        <w:tc>
          <w:tcPr>
            <w:tcW w:w="908" w:type="dxa"/>
            <w:vAlign w:val="center"/>
          </w:tcPr>
          <w:p>
            <w:pPr>
              <w:pStyle w:val="12"/>
              <w:ind w:left="0" w:right="102"/>
              <w:jc w:val="center"/>
              <w:rPr>
                <w:rFonts w:eastAsia="宋体"/>
                <w:sz w:val="21"/>
                <w:szCs w:val="21"/>
              </w:rPr>
            </w:pPr>
            <w:r>
              <w:rPr>
                <w:rFonts w:eastAsia="宋体"/>
                <w:w w:val="99"/>
                <w:sz w:val="21"/>
                <w:szCs w:val="21"/>
              </w:rPr>
              <w:t>1</w:t>
            </w:r>
          </w:p>
        </w:tc>
        <w:tc>
          <w:tcPr>
            <w:tcW w:w="1050" w:type="dxa"/>
            <w:vAlign w:val="center"/>
          </w:tcPr>
          <w:p>
            <w:pPr>
              <w:pStyle w:val="12"/>
              <w:ind w:left="0" w:right="101"/>
              <w:jc w:val="center"/>
              <w:rPr>
                <w:rFonts w:eastAsia="宋体"/>
                <w:sz w:val="21"/>
                <w:szCs w:val="21"/>
              </w:rPr>
            </w:pPr>
            <w:r>
              <w:rPr>
                <w:rFonts w:eastAsia="宋体"/>
                <w:spacing w:val="-4"/>
                <w:sz w:val="21"/>
                <w:szCs w:val="21"/>
              </w:rPr>
              <w:t>1.92</w:t>
            </w:r>
          </w:p>
        </w:tc>
        <w:tc>
          <w:tcPr>
            <w:tcW w:w="4077" w:type="dxa"/>
            <w:vAlign w:val="center"/>
          </w:tcPr>
          <w:p>
            <w:pPr>
              <w:pStyle w:val="12"/>
              <w:ind w:left="103"/>
              <w:jc w:val="both"/>
              <w:rPr>
                <w:rFonts w:eastAsia="宋体"/>
                <w:sz w:val="21"/>
                <w:szCs w:val="21"/>
                <w:lang w:eastAsia="zh-CN"/>
              </w:rPr>
            </w:pPr>
            <w:r>
              <w:rPr>
                <w:rFonts w:hint="eastAsia" w:eastAsia="宋体"/>
                <w:sz w:val="21"/>
                <w:szCs w:val="21"/>
                <w:lang w:eastAsia="zh-CN"/>
              </w:rPr>
              <w:t>IFC (2020); LMA (2021); World Bank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sz w:val="21"/>
                <w:szCs w:val="21"/>
              </w:rPr>
            </w:pPr>
            <w:r>
              <w:rPr>
                <w:rFonts w:eastAsia="宋体"/>
                <w:sz w:val="21"/>
                <w:szCs w:val="21"/>
              </w:rPr>
              <w:t>子类别1.4.3的总分</w:t>
            </w:r>
          </w:p>
        </w:tc>
        <w:tc>
          <w:tcPr>
            <w:tcW w:w="846" w:type="dxa"/>
            <w:shd w:val="clear" w:color="auto" w:fill="FFC000"/>
            <w:vAlign w:val="center"/>
          </w:tcPr>
          <w:p>
            <w:pPr>
              <w:pStyle w:val="12"/>
              <w:ind w:left="0" w:right="99"/>
              <w:jc w:val="center"/>
              <w:rPr>
                <w:rFonts w:eastAsia="宋体"/>
                <w:sz w:val="21"/>
                <w:szCs w:val="21"/>
              </w:rPr>
            </w:pPr>
            <w:r>
              <w:rPr>
                <w:rFonts w:eastAsia="宋体"/>
                <w:w w:val="99"/>
                <w:sz w:val="21"/>
                <w:szCs w:val="21"/>
              </w:rPr>
              <w:t>1</w:t>
            </w:r>
          </w:p>
        </w:tc>
        <w:tc>
          <w:tcPr>
            <w:tcW w:w="843" w:type="dxa"/>
            <w:shd w:val="clear" w:color="auto" w:fill="FFC000"/>
            <w:vAlign w:val="center"/>
          </w:tcPr>
          <w:p>
            <w:pPr>
              <w:pStyle w:val="12"/>
              <w:ind w:left="0" w:right="96"/>
              <w:jc w:val="center"/>
              <w:rPr>
                <w:rFonts w:eastAsia="宋体"/>
                <w:sz w:val="21"/>
                <w:szCs w:val="21"/>
              </w:rPr>
            </w:pPr>
            <w:r>
              <w:rPr>
                <w:rFonts w:eastAsia="宋体"/>
                <w:w w:val="99"/>
                <w:sz w:val="21"/>
                <w:szCs w:val="21"/>
              </w:rPr>
              <w:t>2</w:t>
            </w:r>
          </w:p>
        </w:tc>
        <w:tc>
          <w:tcPr>
            <w:tcW w:w="908" w:type="dxa"/>
            <w:shd w:val="clear" w:color="auto" w:fill="FFC000"/>
            <w:vAlign w:val="center"/>
          </w:tcPr>
          <w:p>
            <w:pPr>
              <w:pStyle w:val="12"/>
              <w:ind w:left="0" w:right="102"/>
              <w:jc w:val="center"/>
              <w:rPr>
                <w:rFonts w:eastAsia="宋体"/>
                <w:sz w:val="21"/>
                <w:szCs w:val="21"/>
              </w:rPr>
            </w:pPr>
            <w:r>
              <w:rPr>
                <w:rFonts w:eastAsia="宋体"/>
                <w:w w:val="99"/>
                <w:sz w:val="21"/>
                <w:szCs w:val="21"/>
              </w:rPr>
              <w:t>3.</w:t>
            </w:r>
          </w:p>
        </w:tc>
        <w:tc>
          <w:tcPr>
            <w:tcW w:w="1050" w:type="dxa"/>
            <w:shd w:val="clear" w:color="auto" w:fill="FFC000"/>
            <w:vAlign w:val="center"/>
          </w:tcPr>
          <w:p>
            <w:pPr>
              <w:pStyle w:val="12"/>
              <w:ind w:left="0" w:right="101"/>
              <w:jc w:val="center"/>
              <w:rPr>
                <w:rFonts w:eastAsia="宋体"/>
                <w:sz w:val="21"/>
                <w:szCs w:val="21"/>
              </w:rPr>
            </w:pPr>
            <w:r>
              <w:rPr>
                <w:rFonts w:eastAsia="宋体"/>
                <w:spacing w:val="-4"/>
                <w:sz w:val="21"/>
                <w:szCs w:val="21"/>
              </w:rPr>
              <w:t>5.77</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233" w:type="dxa"/>
            <w:shd w:val="clear" w:color="auto" w:fill="FFC000"/>
            <w:vAlign w:val="center"/>
          </w:tcPr>
          <w:p>
            <w:pPr>
              <w:pStyle w:val="12"/>
              <w:jc w:val="both"/>
              <w:rPr>
                <w:rFonts w:eastAsia="宋体"/>
                <w:b/>
                <w:sz w:val="21"/>
                <w:szCs w:val="21"/>
              </w:rPr>
            </w:pPr>
            <w:r>
              <w:rPr>
                <w:rFonts w:eastAsia="宋体"/>
                <w:b/>
                <w:sz w:val="21"/>
                <w:szCs w:val="21"/>
              </w:rPr>
              <w:t>1.4类总分</w:t>
            </w:r>
          </w:p>
        </w:tc>
        <w:tc>
          <w:tcPr>
            <w:tcW w:w="846" w:type="dxa"/>
            <w:shd w:val="clear" w:color="auto" w:fill="FFC000"/>
            <w:vAlign w:val="center"/>
          </w:tcPr>
          <w:p>
            <w:pPr>
              <w:pStyle w:val="12"/>
              <w:ind w:left="0" w:right="99"/>
              <w:jc w:val="center"/>
              <w:rPr>
                <w:rFonts w:eastAsia="宋体"/>
                <w:b/>
                <w:sz w:val="21"/>
                <w:szCs w:val="21"/>
              </w:rPr>
            </w:pPr>
            <w:r>
              <w:rPr>
                <w:rFonts w:eastAsia="宋体"/>
                <w:b/>
                <w:w w:val="99"/>
                <w:sz w:val="21"/>
                <w:szCs w:val="21"/>
              </w:rPr>
              <w:t>1</w:t>
            </w:r>
          </w:p>
        </w:tc>
        <w:tc>
          <w:tcPr>
            <w:tcW w:w="843" w:type="dxa"/>
            <w:shd w:val="clear" w:color="auto" w:fill="FFC000"/>
            <w:vAlign w:val="center"/>
          </w:tcPr>
          <w:p>
            <w:pPr>
              <w:pStyle w:val="12"/>
              <w:ind w:left="0" w:right="96"/>
              <w:jc w:val="center"/>
              <w:rPr>
                <w:rFonts w:eastAsia="宋体"/>
                <w:b/>
                <w:sz w:val="21"/>
                <w:szCs w:val="21"/>
              </w:rPr>
            </w:pPr>
            <w:r>
              <w:rPr>
                <w:rFonts w:eastAsia="宋体"/>
                <w:b/>
                <w:w w:val="99"/>
                <w:sz w:val="21"/>
                <w:szCs w:val="21"/>
              </w:rPr>
              <w:t>5</w:t>
            </w:r>
          </w:p>
        </w:tc>
        <w:tc>
          <w:tcPr>
            <w:tcW w:w="908" w:type="dxa"/>
            <w:shd w:val="clear" w:color="auto" w:fill="FFC000"/>
            <w:vAlign w:val="center"/>
          </w:tcPr>
          <w:p>
            <w:pPr>
              <w:pStyle w:val="12"/>
              <w:ind w:left="0" w:right="102"/>
              <w:jc w:val="center"/>
              <w:rPr>
                <w:rFonts w:eastAsia="宋体"/>
                <w:b/>
                <w:sz w:val="21"/>
                <w:szCs w:val="21"/>
              </w:rPr>
            </w:pPr>
            <w:r>
              <w:rPr>
                <w:rFonts w:eastAsia="宋体"/>
                <w:b/>
                <w:w w:val="99"/>
                <w:sz w:val="21"/>
                <w:szCs w:val="21"/>
              </w:rPr>
              <w:t>6</w:t>
            </w:r>
          </w:p>
        </w:tc>
        <w:tc>
          <w:tcPr>
            <w:tcW w:w="1050" w:type="dxa"/>
            <w:shd w:val="clear" w:color="auto" w:fill="FFC000"/>
            <w:vAlign w:val="center"/>
          </w:tcPr>
          <w:p>
            <w:pPr>
              <w:pStyle w:val="12"/>
              <w:ind w:left="0" w:right="102"/>
              <w:jc w:val="center"/>
              <w:rPr>
                <w:rFonts w:eastAsia="宋体"/>
                <w:b/>
                <w:sz w:val="21"/>
                <w:szCs w:val="21"/>
              </w:rPr>
            </w:pPr>
            <w:r>
              <w:rPr>
                <w:rFonts w:eastAsia="宋体"/>
                <w:b/>
                <w:spacing w:val="-2"/>
                <w:sz w:val="21"/>
                <w:szCs w:val="21"/>
              </w:rPr>
              <w:t>11.54</w:t>
            </w:r>
          </w:p>
        </w:tc>
        <w:tc>
          <w:tcPr>
            <w:tcW w:w="4077" w:type="dxa"/>
            <w:shd w:val="clear" w:color="auto" w:fill="FFC000"/>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33" w:type="dxa"/>
            <w:shd w:val="clear" w:color="auto" w:fill="FFC000"/>
            <w:vAlign w:val="center"/>
          </w:tcPr>
          <w:p>
            <w:pPr>
              <w:pStyle w:val="12"/>
              <w:jc w:val="both"/>
              <w:rPr>
                <w:rFonts w:eastAsia="宋体"/>
                <w:b/>
                <w:sz w:val="21"/>
                <w:szCs w:val="21"/>
              </w:rPr>
            </w:pPr>
            <w:r>
              <w:rPr>
                <w:rFonts w:eastAsia="宋体"/>
                <w:b/>
                <w:sz w:val="21"/>
                <w:szCs w:val="21"/>
                <w:lang w:eastAsia="zh-CN"/>
              </w:rPr>
              <w:t>维度I</w:t>
            </w:r>
            <w:r>
              <w:rPr>
                <w:rFonts w:eastAsia="宋体"/>
                <w:b/>
                <w:sz w:val="21"/>
                <w:szCs w:val="21"/>
              </w:rPr>
              <w:t>总分</w:t>
            </w:r>
          </w:p>
        </w:tc>
        <w:tc>
          <w:tcPr>
            <w:tcW w:w="846" w:type="dxa"/>
            <w:shd w:val="clear" w:color="auto" w:fill="FFC000"/>
            <w:vAlign w:val="center"/>
          </w:tcPr>
          <w:p>
            <w:pPr>
              <w:pStyle w:val="12"/>
              <w:ind w:left="0" w:right="95"/>
              <w:jc w:val="center"/>
              <w:rPr>
                <w:rFonts w:eastAsia="宋体"/>
                <w:b/>
                <w:sz w:val="21"/>
                <w:szCs w:val="21"/>
              </w:rPr>
            </w:pPr>
            <w:r>
              <w:rPr>
                <w:rFonts w:eastAsia="宋体"/>
                <w:b/>
                <w:spacing w:val="-5"/>
                <w:sz w:val="21"/>
                <w:szCs w:val="21"/>
              </w:rPr>
              <w:t>22</w:t>
            </w:r>
          </w:p>
        </w:tc>
        <w:tc>
          <w:tcPr>
            <w:tcW w:w="843" w:type="dxa"/>
            <w:shd w:val="clear" w:color="auto" w:fill="FFC000"/>
            <w:vAlign w:val="center"/>
          </w:tcPr>
          <w:p>
            <w:pPr>
              <w:pStyle w:val="12"/>
              <w:ind w:left="0" w:right="93"/>
              <w:jc w:val="center"/>
              <w:rPr>
                <w:rFonts w:eastAsia="宋体"/>
                <w:b/>
                <w:sz w:val="21"/>
                <w:szCs w:val="21"/>
              </w:rPr>
            </w:pPr>
            <w:r>
              <w:rPr>
                <w:rFonts w:eastAsia="宋体"/>
                <w:b/>
                <w:spacing w:val="-5"/>
                <w:sz w:val="21"/>
                <w:szCs w:val="21"/>
              </w:rPr>
              <w:t>30.</w:t>
            </w:r>
          </w:p>
        </w:tc>
        <w:tc>
          <w:tcPr>
            <w:tcW w:w="908" w:type="dxa"/>
            <w:shd w:val="clear" w:color="auto" w:fill="FFC000"/>
            <w:vAlign w:val="center"/>
          </w:tcPr>
          <w:p>
            <w:pPr>
              <w:pStyle w:val="12"/>
              <w:ind w:left="0" w:right="98"/>
              <w:jc w:val="center"/>
              <w:rPr>
                <w:rFonts w:eastAsia="宋体"/>
                <w:b/>
                <w:sz w:val="21"/>
                <w:szCs w:val="21"/>
              </w:rPr>
            </w:pPr>
            <w:r>
              <w:rPr>
                <w:rFonts w:eastAsia="宋体"/>
                <w:b/>
                <w:spacing w:val="-5"/>
                <w:sz w:val="21"/>
                <w:szCs w:val="21"/>
              </w:rPr>
              <w:t>52</w:t>
            </w:r>
          </w:p>
        </w:tc>
        <w:tc>
          <w:tcPr>
            <w:tcW w:w="1050" w:type="dxa"/>
            <w:shd w:val="clear" w:color="auto" w:fill="FFC000"/>
            <w:vAlign w:val="center"/>
          </w:tcPr>
          <w:p>
            <w:pPr>
              <w:pStyle w:val="12"/>
              <w:ind w:left="0" w:right="102"/>
              <w:jc w:val="center"/>
              <w:rPr>
                <w:rFonts w:eastAsia="宋体"/>
                <w:b/>
                <w:sz w:val="21"/>
                <w:szCs w:val="21"/>
              </w:rPr>
            </w:pPr>
            <w:r>
              <w:rPr>
                <w:rFonts w:eastAsia="宋体"/>
                <w:b/>
                <w:spacing w:val="-2"/>
                <w:sz w:val="21"/>
                <w:szCs w:val="21"/>
              </w:rPr>
              <w:t>100.00</w:t>
            </w:r>
          </w:p>
        </w:tc>
        <w:tc>
          <w:tcPr>
            <w:tcW w:w="4077" w:type="dxa"/>
            <w:shd w:val="clear" w:color="auto" w:fill="FFC000"/>
            <w:vAlign w:val="center"/>
          </w:tcPr>
          <w:p>
            <w:pPr>
              <w:pStyle w:val="12"/>
              <w:ind w:left="0"/>
              <w:jc w:val="both"/>
              <w:rPr>
                <w:rFonts w:eastAsia="宋体"/>
                <w:sz w:val="21"/>
                <w:szCs w:val="21"/>
              </w:rPr>
            </w:pPr>
          </w:p>
        </w:tc>
      </w:tr>
    </w:tbl>
    <w:p>
      <w:pPr>
        <w:rPr>
          <w:rFonts w:eastAsia="宋体"/>
          <w:sz w:val="20"/>
          <w:lang w:eastAsia="zh-CN"/>
        </w:rPr>
      </w:pPr>
      <w:r>
        <w:rPr>
          <w:rFonts w:eastAsia="宋体"/>
          <w:i/>
          <w:sz w:val="20"/>
          <w:lang w:eastAsia="zh-CN"/>
        </w:rPr>
        <w:t>注:</w:t>
      </w:r>
      <w:r>
        <w:rPr>
          <w:rFonts w:eastAsia="宋体"/>
          <w:sz w:val="20"/>
          <w:lang w:eastAsia="zh-CN"/>
        </w:rPr>
        <w:t>n.a. =不适用(指对企业或社会的影响不明确或不存在的情况)。AML/CFT =反洗钱/打击资助恐怖主义</w:t>
      </w:r>
      <w:r>
        <w:rPr>
          <w:rFonts w:hint="eastAsia" w:eastAsia="宋体"/>
          <w:sz w:val="20"/>
          <w:lang w:eastAsia="zh-CN"/>
        </w:rPr>
        <w:t>；</w:t>
      </w:r>
      <w:r>
        <w:rPr>
          <w:rFonts w:eastAsia="宋体"/>
          <w:sz w:val="20"/>
          <w:lang w:eastAsia="zh-CN"/>
        </w:rPr>
        <w:t>CDD =客户尽职调查</w:t>
      </w:r>
      <w:r>
        <w:rPr>
          <w:rFonts w:hint="eastAsia" w:eastAsia="宋体"/>
          <w:sz w:val="20"/>
          <w:lang w:eastAsia="zh-CN"/>
        </w:rPr>
        <w:t>；</w:t>
      </w:r>
      <w:r>
        <w:rPr>
          <w:rFonts w:eastAsia="宋体"/>
          <w:sz w:val="20"/>
          <w:lang w:eastAsia="zh-CN"/>
        </w:rPr>
        <w:t>FFP =企业灵活性度</w:t>
      </w:r>
      <w:r>
        <w:rPr>
          <w:rFonts w:hint="eastAsia" w:eastAsia="宋体"/>
          <w:sz w:val="20"/>
          <w:lang w:eastAsia="zh-CN"/>
        </w:rPr>
        <w:t>；</w:t>
      </w:r>
      <w:r>
        <w:rPr>
          <w:rFonts w:eastAsia="宋体"/>
          <w:sz w:val="20"/>
          <w:lang w:eastAsia="zh-CN"/>
        </w:rPr>
        <w:t>SBP =社会效益得分。</w:t>
      </w:r>
    </w:p>
    <w:p>
      <w:pPr>
        <w:rPr>
          <w:sz w:val="20"/>
          <w:lang w:eastAsia="zh-CN"/>
        </w:rPr>
        <w:sectPr>
          <w:pgSz w:w="15840" w:h="12240" w:orient="landscape"/>
          <w:pgMar w:top="1140" w:right="1040" w:bottom="280" w:left="1340" w:header="720" w:footer="720" w:gutter="0"/>
          <w:cols w:space="720" w:num="1"/>
        </w:sectPr>
      </w:pPr>
    </w:p>
    <w:p>
      <w:pPr>
        <w:pStyle w:val="5"/>
        <w:rPr>
          <w:sz w:val="20"/>
          <w:lang w:eastAsia="zh-CN"/>
        </w:rPr>
      </w:pPr>
    </w:p>
    <w:p>
      <w:pPr>
        <w:pStyle w:val="5"/>
        <w:spacing w:after="1"/>
        <w:rPr>
          <w:sz w:val="24"/>
          <w:lang w:eastAsia="zh-CN"/>
        </w:rPr>
      </w:pPr>
    </w:p>
    <w:tbl>
      <w:tblPr>
        <w:tblStyle w:val="8"/>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76"/>
        <w:gridCol w:w="1172"/>
        <w:gridCol w:w="1184"/>
        <w:gridCol w:w="886"/>
        <w:gridCol w:w="901"/>
        <w:gridCol w:w="35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3233" w:type="dxa"/>
            <w:gridSpan w:val="6"/>
            <w:shd w:val="clear" w:color="auto" w:fill="0F6EC5"/>
          </w:tcPr>
          <w:p>
            <w:pPr>
              <w:pStyle w:val="12"/>
              <w:spacing w:before="173"/>
              <w:rPr>
                <w:rFonts w:eastAsia="宋体"/>
                <w:b/>
                <w:sz w:val="21"/>
                <w:szCs w:val="21"/>
                <w:lang w:eastAsia="zh-CN"/>
              </w:rPr>
            </w:pPr>
            <w:r>
              <w:rPr>
                <w:rFonts w:eastAsia="宋体"/>
                <w:b/>
                <w:color w:val="FFFFFF"/>
                <w:sz w:val="21"/>
                <w:szCs w:val="21"/>
                <w:lang w:eastAsia="zh-CN"/>
              </w:rPr>
              <w:t>维度II</w:t>
            </w:r>
            <w:r>
              <w:rPr>
                <w:rFonts w:hint="eastAsia" w:ascii="Songti SC Bold" w:hAnsi="Songti SC Bold" w:eastAsia="Songti SC Bold" w:cs="Songti SC Bold"/>
                <w:b/>
                <w:color w:val="FFFFFF" w:themeColor="background1"/>
                <w:sz w:val="24"/>
                <w:lang w:eastAsia="zh-CN"/>
                <w14:textFill>
                  <w14:solidFill>
                    <w14:schemeClr w14:val="bg1"/>
                  </w14:solidFill>
                </w14:textFill>
              </w:rPr>
              <w:t>-</w:t>
            </w:r>
            <w:r>
              <w:rPr>
                <w:rFonts w:eastAsia="宋体"/>
                <w:b/>
                <w:color w:val="FFFFFF"/>
                <w:sz w:val="21"/>
                <w:szCs w:val="21"/>
                <w:lang w:eastAsia="zh-CN"/>
              </w:rPr>
              <w:t>信贷基础设施信息的可及性和融资渠道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atLeast"/>
        </w:trPr>
        <w:tc>
          <w:tcPr>
            <w:tcW w:w="13233" w:type="dxa"/>
            <w:gridSpan w:val="6"/>
            <w:shd w:val="clear" w:color="auto" w:fill="CCD4EA"/>
          </w:tcPr>
          <w:p>
            <w:pPr>
              <w:pStyle w:val="12"/>
              <w:rPr>
                <w:rFonts w:eastAsia="宋体"/>
                <w:b/>
                <w:sz w:val="21"/>
                <w:szCs w:val="21"/>
                <w:lang w:eastAsia="zh-CN"/>
              </w:rPr>
            </w:pPr>
            <w:r>
              <w:rPr>
                <w:rFonts w:eastAsia="宋体"/>
                <w:b/>
                <w:sz w:val="21"/>
                <w:szCs w:val="21"/>
                <w:lang w:eastAsia="zh-CN"/>
              </w:rPr>
              <w:t>2.1征信局和征信登记处的运作**</w:t>
            </w:r>
          </w:p>
          <w:p>
            <w:pPr>
              <w:pStyle w:val="12"/>
              <w:rPr>
                <w:rFonts w:eastAsia="宋体"/>
                <w:sz w:val="21"/>
                <w:szCs w:val="21"/>
                <w:lang w:eastAsia="zh-CN"/>
              </w:rPr>
            </w:pPr>
            <w:r>
              <w:rPr>
                <w:rFonts w:eastAsia="宋体"/>
                <w:sz w:val="21"/>
                <w:szCs w:val="21"/>
                <w:lang w:eastAsia="zh-CN"/>
              </w:rPr>
              <w:t>**如果征信机构或征信登记机构不运作或覆盖的成年人口(15岁至64岁)不到5%，则得分为0。如果征信局或登记局是运作的，但没有在B-READY的截止日期前分发信用报告，得分也是0分。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233" w:type="dxa"/>
            <w:gridSpan w:val="6"/>
            <w:shd w:val="clear" w:color="auto" w:fill="E7EBF5"/>
          </w:tcPr>
          <w:p>
            <w:pPr>
              <w:pStyle w:val="12"/>
              <w:spacing w:before="101"/>
              <w:ind w:left="439"/>
              <w:rPr>
                <w:rFonts w:eastAsia="宋体"/>
                <w:b/>
                <w:sz w:val="21"/>
                <w:szCs w:val="21"/>
                <w:lang w:eastAsia="zh-CN"/>
              </w:rPr>
            </w:pPr>
            <w:r>
              <w:rPr>
                <w:rFonts w:eastAsia="宋体"/>
                <w:b/>
                <w:sz w:val="21"/>
                <w:szCs w:val="21"/>
                <w:lang w:eastAsia="zh-CN"/>
              </w:rPr>
              <w:t>2.1.1数据覆盖和获取信用信息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576" w:type="dxa"/>
            <w:vAlign w:val="center"/>
          </w:tcPr>
          <w:p>
            <w:pPr>
              <w:pStyle w:val="12"/>
              <w:spacing w:before="116"/>
              <w:jc w:val="both"/>
              <w:rPr>
                <w:rFonts w:eastAsia="宋体"/>
                <w:b/>
                <w:sz w:val="21"/>
                <w:szCs w:val="21"/>
              </w:rPr>
            </w:pPr>
            <w:r>
              <w:rPr>
                <w:rFonts w:eastAsia="宋体"/>
                <w:b/>
                <w:spacing w:val="-2"/>
                <w:sz w:val="21"/>
                <w:szCs w:val="21"/>
              </w:rPr>
              <w:t>指标</w:t>
            </w:r>
          </w:p>
        </w:tc>
        <w:tc>
          <w:tcPr>
            <w:tcW w:w="1172" w:type="dxa"/>
            <w:vAlign w:val="center"/>
          </w:tcPr>
          <w:p>
            <w:pPr>
              <w:pStyle w:val="12"/>
              <w:spacing w:before="116"/>
              <w:ind w:left="0" w:right="99"/>
              <w:jc w:val="center"/>
              <w:rPr>
                <w:rFonts w:eastAsia="宋体"/>
                <w:b/>
                <w:spacing w:val="-5"/>
                <w:sz w:val="21"/>
                <w:szCs w:val="21"/>
                <w:lang w:eastAsia="zh-CN"/>
              </w:rPr>
            </w:pPr>
            <w:r>
              <w:rPr>
                <w:rFonts w:hint="eastAsia" w:eastAsia="宋体"/>
                <w:b/>
                <w:spacing w:val="-5"/>
                <w:sz w:val="21"/>
                <w:szCs w:val="21"/>
                <w:lang w:eastAsia="zh-CN"/>
              </w:rPr>
              <w:t>企业灵活</w:t>
            </w:r>
          </w:p>
          <w:p>
            <w:pPr>
              <w:pStyle w:val="12"/>
              <w:spacing w:before="116"/>
              <w:ind w:left="0" w:right="99"/>
              <w:jc w:val="center"/>
              <w:rPr>
                <w:rFonts w:eastAsia="宋体"/>
                <w:b/>
                <w:sz w:val="21"/>
                <w:szCs w:val="21"/>
              </w:rPr>
            </w:pPr>
            <w:r>
              <w:rPr>
                <w:rFonts w:hint="eastAsia" w:eastAsia="宋体"/>
                <w:b/>
                <w:spacing w:val="-5"/>
                <w:sz w:val="21"/>
                <w:szCs w:val="21"/>
                <w:lang w:eastAsia="zh-CN"/>
              </w:rPr>
              <w:t>度得分</w:t>
            </w:r>
          </w:p>
        </w:tc>
        <w:tc>
          <w:tcPr>
            <w:tcW w:w="1184" w:type="dxa"/>
            <w:vAlign w:val="center"/>
          </w:tcPr>
          <w:p>
            <w:pPr>
              <w:pStyle w:val="12"/>
              <w:spacing w:before="116"/>
              <w:ind w:left="0" w:right="103"/>
              <w:jc w:val="center"/>
              <w:rPr>
                <w:rFonts w:eastAsia="宋体"/>
                <w:b/>
                <w:spacing w:val="-5"/>
                <w:sz w:val="21"/>
                <w:szCs w:val="21"/>
                <w:lang w:eastAsia="zh-CN"/>
              </w:rPr>
            </w:pPr>
            <w:r>
              <w:rPr>
                <w:rFonts w:hint="eastAsia" w:eastAsia="宋体"/>
                <w:b/>
                <w:spacing w:val="-5"/>
                <w:sz w:val="21"/>
                <w:szCs w:val="21"/>
                <w:lang w:eastAsia="zh-CN"/>
              </w:rPr>
              <w:t>社会效益</w:t>
            </w:r>
          </w:p>
          <w:p>
            <w:pPr>
              <w:pStyle w:val="12"/>
              <w:spacing w:before="116"/>
              <w:ind w:left="0" w:right="103"/>
              <w:jc w:val="center"/>
              <w:rPr>
                <w:rFonts w:eastAsia="宋体"/>
                <w:b/>
                <w:sz w:val="21"/>
                <w:szCs w:val="21"/>
                <w:lang w:eastAsia="zh-CN"/>
              </w:rPr>
            </w:pPr>
            <w:r>
              <w:rPr>
                <w:rFonts w:hint="eastAsia" w:eastAsia="宋体"/>
                <w:b/>
                <w:spacing w:val="-5"/>
                <w:sz w:val="21"/>
                <w:szCs w:val="21"/>
                <w:lang w:eastAsia="zh-CN"/>
              </w:rPr>
              <w:t>得分</w:t>
            </w:r>
          </w:p>
        </w:tc>
        <w:tc>
          <w:tcPr>
            <w:tcW w:w="886" w:type="dxa"/>
            <w:vAlign w:val="center"/>
          </w:tcPr>
          <w:p>
            <w:pPr>
              <w:pStyle w:val="12"/>
              <w:spacing w:line="230" w:lineRule="exact"/>
              <w:ind w:left="252" w:right="91" w:firstLine="67"/>
              <w:jc w:val="center"/>
              <w:rPr>
                <w:rFonts w:eastAsia="宋体"/>
                <w:b/>
                <w:sz w:val="21"/>
                <w:szCs w:val="21"/>
              </w:rPr>
            </w:pPr>
            <w:r>
              <w:rPr>
                <w:rFonts w:hint="eastAsia" w:eastAsia="宋体"/>
                <w:b/>
                <w:spacing w:val="-2"/>
                <w:sz w:val="21"/>
                <w:szCs w:val="21"/>
                <w:lang w:eastAsia="zh-CN"/>
              </w:rPr>
              <w:t>总</w:t>
            </w:r>
            <w:r>
              <w:rPr>
                <w:rFonts w:eastAsia="宋体"/>
                <w:b/>
                <w:spacing w:val="-2"/>
                <w:sz w:val="21"/>
                <w:szCs w:val="21"/>
              </w:rPr>
              <w:t>分</w:t>
            </w:r>
          </w:p>
        </w:tc>
        <w:tc>
          <w:tcPr>
            <w:tcW w:w="901" w:type="dxa"/>
            <w:vAlign w:val="center"/>
          </w:tcPr>
          <w:p>
            <w:pPr>
              <w:pStyle w:val="12"/>
              <w:spacing w:line="230" w:lineRule="exact"/>
              <w:ind w:left="267" w:right="93" w:hanging="121"/>
              <w:jc w:val="center"/>
              <w:rPr>
                <w:rFonts w:eastAsia="宋体"/>
                <w:b/>
                <w:sz w:val="21"/>
                <w:szCs w:val="21"/>
              </w:rPr>
            </w:pPr>
            <w:r>
              <w:rPr>
                <w:rFonts w:hint="eastAsia" w:eastAsia="宋体"/>
                <w:b/>
                <w:spacing w:val="-2"/>
                <w:sz w:val="21"/>
                <w:szCs w:val="21"/>
                <w:lang w:eastAsia="zh-CN"/>
              </w:rPr>
              <w:t>调整后得分</w:t>
            </w:r>
          </w:p>
        </w:tc>
        <w:tc>
          <w:tcPr>
            <w:tcW w:w="3514" w:type="dxa"/>
            <w:vAlign w:val="center"/>
          </w:tcPr>
          <w:p>
            <w:pPr>
              <w:pStyle w:val="12"/>
              <w:spacing w:before="116"/>
              <w:ind w:left="105"/>
              <w:jc w:val="center"/>
              <w:rPr>
                <w:rFonts w:eastAsia="宋体"/>
                <w:b/>
                <w:sz w:val="21"/>
                <w:szCs w:val="21"/>
              </w:rPr>
            </w:pPr>
            <w:r>
              <w:rPr>
                <w:rFonts w:hint="eastAsia" w:eastAsia="宋体"/>
                <w:b/>
                <w:sz w:val="21"/>
                <w:szCs w:val="21"/>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576" w:type="dxa"/>
            <w:vAlign w:val="center"/>
          </w:tcPr>
          <w:p>
            <w:pPr>
              <w:pStyle w:val="12"/>
              <w:spacing w:line="230" w:lineRule="atLeast"/>
              <w:ind w:right="169"/>
              <w:jc w:val="both"/>
              <w:rPr>
                <w:rFonts w:eastAsia="宋体"/>
                <w:sz w:val="21"/>
                <w:szCs w:val="21"/>
                <w:lang w:eastAsia="zh-CN"/>
              </w:rPr>
            </w:pPr>
            <w:r>
              <w:rPr>
                <w:rFonts w:eastAsia="宋体"/>
                <w:sz w:val="21"/>
                <w:szCs w:val="21"/>
                <w:lang w:eastAsia="zh-CN"/>
              </w:rPr>
              <w:t>数据覆盖和识别(包括公司和个人的数据覆盖，来自金融机构和替代来源的数据，跨境数据共享以及使用技术报告代码识别危机相关数据）</w:t>
            </w:r>
          </w:p>
        </w:tc>
        <w:tc>
          <w:tcPr>
            <w:tcW w:w="1172" w:type="dxa"/>
            <w:vAlign w:val="center"/>
          </w:tcPr>
          <w:p>
            <w:pPr>
              <w:pStyle w:val="12"/>
              <w:spacing w:before="1"/>
              <w:ind w:left="0" w:right="100"/>
              <w:jc w:val="center"/>
              <w:rPr>
                <w:rFonts w:eastAsia="宋体"/>
                <w:sz w:val="21"/>
                <w:szCs w:val="21"/>
              </w:rPr>
            </w:pPr>
            <w:r>
              <w:rPr>
                <w:rFonts w:eastAsia="宋体"/>
                <w:w w:val="99"/>
                <w:sz w:val="21"/>
                <w:szCs w:val="21"/>
              </w:rPr>
              <w:t>1</w:t>
            </w:r>
          </w:p>
        </w:tc>
        <w:tc>
          <w:tcPr>
            <w:tcW w:w="1184" w:type="dxa"/>
            <w:vAlign w:val="center"/>
          </w:tcPr>
          <w:p>
            <w:pPr>
              <w:pStyle w:val="12"/>
              <w:spacing w:before="1"/>
              <w:ind w:left="0" w:right="101"/>
              <w:jc w:val="center"/>
              <w:rPr>
                <w:rFonts w:eastAsia="宋体"/>
                <w:sz w:val="21"/>
                <w:szCs w:val="21"/>
              </w:rPr>
            </w:pPr>
            <w:r>
              <w:rPr>
                <w:rFonts w:eastAsia="宋体"/>
                <w:w w:val="99"/>
                <w:sz w:val="21"/>
                <w:szCs w:val="21"/>
              </w:rPr>
              <w:t>1</w:t>
            </w:r>
          </w:p>
        </w:tc>
        <w:tc>
          <w:tcPr>
            <w:tcW w:w="886" w:type="dxa"/>
            <w:vAlign w:val="center"/>
          </w:tcPr>
          <w:p>
            <w:pPr>
              <w:pStyle w:val="12"/>
              <w:spacing w:before="1"/>
              <w:ind w:left="0" w:right="99"/>
              <w:jc w:val="center"/>
              <w:rPr>
                <w:rFonts w:eastAsia="宋体"/>
                <w:sz w:val="21"/>
                <w:szCs w:val="21"/>
              </w:rPr>
            </w:pPr>
            <w:r>
              <w:rPr>
                <w:rFonts w:eastAsia="宋体"/>
                <w:w w:val="99"/>
                <w:sz w:val="21"/>
                <w:szCs w:val="21"/>
              </w:rPr>
              <w:t>2</w:t>
            </w:r>
          </w:p>
        </w:tc>
        <w:tc>
          <w:tcPr>
            <w:tcW w:w="901" w:type="dxa"/>
            <w:vAlign w:val="center"/>
          </w:tcPr>
          <w:p>
            <w:pPr>
              <w:pStyle w:val="12"/>
              <w:spacing w:before="1"/>
              <w:ind w:left="0" w:right="98"/>
              <w:jc w:val="center"/>
              <w:rPr>
                <w:rFonts w:eastAsia="宋体"/>
                <w:sz w:val="21"/>
                <w:szCs w:val="21"/>
              </w:rPr>
            </w:pPr>
            <w:r>
              <w:rPr>
                <w:rFonts w:eastAsia="宋体"/>
                <w:spacing w:val="-2"/>
                <w:sz w:val="21"/>
                <w:szCs w:val="21"/>
              </w:rPr>
              <w:t>11.76</w:t>
            </w:r>
          </w:p>
        </w:tc>
        <w:tc>
          <w:tcPr>
            <w:tcW w:w="3514" w:type="dxa"/>
            <w:vAlign w:val="center"/>
          </w:tcPr>
          <w:p>
            <w:pPr>
              <w:pStyle w:val="12"/>
              <w:spacing w:before="115"/>
              <w:ind w:left="105"/>
              <w:jc w:val="both"/>
              <w:rPr>
                <w:rFonts w:eastAsia="宋体"/>
                <w:sz w:val="21"/>
                <w:szCs w:val="21"/>
              </w:rPr>
            </w:pPr>
            <w:r>
              <w:rPr>
                <w:rFonts w:hint="eastAsia" w:eastAsia="宋体"/>
                <w:sz w:val="21"/>
                <w:szCs w:val="21"/>
              </w:rPr>
              <w:t xml:space="preserve">Giannetti and Jentzsch (2013); Martinez </w:t>
            </w:r>
          </w:p>
          <w:p>
            <w:pPr>
              <w:pStyle w:val="12"/>
              <w:spacing w:before="115"/>
              <w:ind w:left="105"/>
              <w:jc w:val="both"/>
              <w:rPr>
                <w:rFonts w:eastAsia="宋体"/>
                <w:sz w:val="21"/>
                <w:szCs w:val="21"/>
              </w:rPr>
            </w:pPr>
            <w:r>
              <w:rPr>
                <w:rFonts w:hint="eastAsia" w:eastAsia="宋体"/>
                <w:sz w:val="21"/>
                <w:szCs w:val="21"/>
              </w:rPr>
              <w:t xml:space="preserve">Peria and Singh (2014); World Bank </w:t>
            </w:r>
          </w:p>
          <w:p>
            <w:pPr>
              <w:pStyle w:val="12"/>
              <w:spacing w:before="115"/>
              <w:ind w:left="105"/>
              <w:jc w:val="both"/>
              <w:rPr>
                <w:rFonts w:eastAsia="宋体"/>
                <w:sz w:val="21"/>
                <w:szCs w:val="21"/>
              </w:rPr>
            </w:pPr>
            <w:r>
              <w:rPr>
                <w:rFonts w:hint="eastAsia" w:eastAsia="宋体"/>
                <w:sz w:val="21"/>
                <w:szCs w:val="21"/>
              </w:rPr>
              <w:t>(2019a); World Bank Group (2011)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576" w:type="dxa"/>
            <w:vAlign w:val="center"/>
          </w:tcPr>
          <w:p>
            <w:pPr>
              <w:pStyle w:val="12"/>
              <w:jc w:val="both"/>
              <w:rPr>
                <w:rFonts w:eastAsia="宋体"/>
                <w:sz w:val="21"/>
                <w:szCs w:val="21"/>
                <w:lang w:eastAsia="zh-CN"/>
              </w:rPr>
            </w:pPr>
            <w:r>
              <w:rPr>
                <w:rFonts w:eastAsia="宋体"/>
                <w:sz w:val="21"/>
                <w:szCs w:val="21"/>
                <w:lang w:eastAsia="zh-CN"/>
              </w:rPr>
              <w:t>数据范围(包括正面和负面信息共享，共享至少两年的历史数据和共享人均收入1%以下的贷款额数据)</w:t>
            </w:r>
          </w:p>
        </w:tc>
        <w:tc>
          <w:tcPr>
            <w:tcW w:w="1172" w:type="dxa"/>
            <w:vAlign w:val="center"/>
          </w:tcPr>
          <w:p>
            <w:pPr>
              <w:pStyle w:val="12"/>
              <w:spacing w:before="1"/>
              <w:ind w:left="0" w:right="100"/>
              <w:jc w:val="center"/>
              <w:rPr>
                <w:rFonts w:eastAsia="宋体"/>
                <w:sz w:val="21"/>
                <w:szCs w:val="21"/>
              </w:rPr>
            </w:pPr>
            <w:r>
              <w:rPr>
                <w:rFonts w:eastAsia="宋体"/>
                <w:w w:val="99"/>
                <w:sz w:val="21"/>
                <w:szCs w:val="21"/>
              </w:rPr>
              <w:t>1</w:t>
            </w:r>
          </w:p>
        </w:tc>
        <w:tc>
          <w:tcPr>
            <w:tcW w:w="1184" w:type="dxa"/>
            <w:vAlign w:val="center"/>
          </w:tcPr>
          <w:p>
            <w:pPr>
              <w:pStyle w:val="12"/>
              <w:spacing w:before="1"/>
              <w:ind w:left="0" w:right="101"/>
              <w:jc w:val="center"/>
              <w:rPr>
                <w:rFonts w:eastAsia="宋体"/>
                <w:sz w:val="21"/>
                <w:szCs w:val="21"/>
              </w:rPr>
            </w:pPr>
            <w:r>
              <w:rPr>
                <w:rFonts w:eastAsia="宋体"/>
                <w:w w:val="99"/>
                <w:sz w:val="21"/>
                <w:szCs w:val="21"/>
              </w:rPr>
              <w:t>1</w:t>
            </w:r>
          </w:p>
        </w:tc>
        <w:tc>
          <w:tcPr>
            <w:tcW w:w="886" w:type="dxa"/>
            <w:vAlign w:val="center"/>
          </w:tcPr>
          <w:p>
            <w:pPr>
              <w:pStyle w:val="12"/>
              <w:spacing w:before="1"/>
              <w:ind w:left="0" w:right="99"/>
              <w:jc w:val="center"/>
              <w:rPr>
                <w:rFonts w:eastAsia="宋体"/>
                <w:sz w:val="21"/>
                <w:szCs w:val="21"/>
              </w:rPr>
            </w:pPr>
            <w:r>
              <w:rPr>
                <w:rFonts w:eastAsia="宋体"/>
                <w:w w:val="99"/>
                <w:sz w:val="21"/>
                <w:szCs w:val="21"/>
              </w:rPr>
              <w:t>2</w:t>
            </w:r>
          </w:p>
        </w:tc>
        <w:tc>
          <w:tcPr>
            <w:tcW w:w="901" w:type="dxa"/>
            <w:vAlign w:val="center"/>
          </w:tcPr>
          <w:p>
            <w:pPr>
              <w:pStyle w:val="12"/>
              <w:spacing w:before="1"/>
              <w:ind w:left="0" w:right="98"/>
              <w:jc w:val="center"/>
              <w:rPr>
                <w:rFonts w:eastAsia="宋体"/>
                <w:sz w:val="21"/>
                <w:szCs w:val="21"/>
              </w:rPr>
            </w:pPr>
            <w:r>
              <w:rPr>
                <w:rFonts w:eastAsia="宋体"/>
                <w:spacing w:val="-2"/>
                <w:sz w:val="21"/>
                <w:szCs w:val="21"/>
              </w:rPr>
              <w:t>11.76</w:t>
            </w:r>
          </w:p>
        </w:tc>
        <w:tc>
          <w:tcPr>
            <w:tcW w:w="3514" w:type="dxa"/>
            <w:vAlign w:val="center"/>
          </w:tcPr>
          <w:p>
            <w:pPr>
              <w:pStyle w:val="12"/>
              <w:spacing w:before="115"/>
              <w:ind w:left="105" w:right="205"/>
              <w:jc w:val="both"/>
              <w:rPr>
                <w:rFonts w:eastAsia="宋体"/>
                <w:sz w:val="21"/>
                <w:szCs w:val="21"/>
              </w:rPr>
            </w:pPr>
            <w:r>
              <w:rPr>
                <w:rFonts w:hint="eastAsia" w:eastAsia="宋体"/>
                <w:sz w:val="21"/>
                <w:szCs w:val="21"/>
              </w:rPr>
              <w:t xml:space="preserve">World Bank (2019a); World Bank </w:t>
            </w:r>
          </w:p>
          <w:p>
            <w:pPr>
              <w:pStyle w:val="12"/>
              <w:spacing w:before="115"/>
              <w:ind w:left="105" w:right="205"/>
              <w:jc w:val="both"/>
              <w:rPr>
                <w:rFonts w:eastAsia="宋体"/>
                <w:sz w:val="21"/>
                <w:szCs w:val="21"/>
              </w:rPr>
            </w:pPr>
            <w:r>
              <w:rPr>
                <w:rFonts w:hint="eastAsia" w:eastAsia="宋体"/>
                <w:sz w:val="21"/>
                <w:szCs w:val="21"/>
              </w:rPr>
              <w:t>Group (2011)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5576" w:type="dxa"/>
            <w:vAlign w:val="center"/>
          </w:tcPr>
          <w:p>
            <w:pPr>
              <w:pStyle w:val="12"/>
              <w:ind w:right="169"/>
              <w:jc w:val="both"/>
              <w:rPr>
                <w:rFonts w:eastAsia="宋体"/>
                <w:sz w:val="21"/>
                <w:szCs w:val="21"/>
                <w:lang w:eastAsia="zh-CN"/>
              </w:rPr>
            </w:pPr>
            <w:r>
              <w:rPr>
                <w:rFonts w:eastAsia="宋体"/>
                <w:sz w:val="21"/>
                <w:szCs w:val="21"/>
                <w:lang w:eastAsia="zh-CN"/>
              </w:rPr>
              <w:t>附加服务和借款人获取信息(包括借款人有权获取其数据，银行和其他金融机构可以在线获取信用信息，征信局/登记处提供信用评分作为增值服务，并且借款人的信用信息在实践中得到审查)</w:t>
            </w:r>
          </w:p>
        </w:tc>
        <w:tc>
          <w:tcPr>
            <w:tcW w:w="1172" w:type="dxa"/>
            <w:vAlign w:val="center"/>
          </w:tcPr>
          <w:p>
            <w:pPr>
              <w:pStyle w:val="12"/>
              <w:ind w:left="0" w:right="100"/>
              <w:jc w:val="center"/>
              <w:rPr>
                <w:rFonts w:eastAsia="宋体"/>
                <w:sz w:val="21"/>
                <w:szCs w:val="21"/>
              </w:rPr>
            </w:pPr>
            <w:r>
              <w:rPr>
                <w:rFonts w:eastAsia="宋体"/>
                <w:w w:val="99"/>
                <w:sz w:val="21"/>
                <w:szCs w:val="21"/>
              </w:rPr>
              <w:t>1</w:t>
            </w:r>
          </w:p>
        </w:tc>
        <w:tc>
          <w:tcPr>
            <w:tcW w:w="1184" w:type="dxa"/>
            <w:vAlign w:val="center"/>
          </w:tcPr>
          <w:p>
            <w:pPr>
              <w:pStyle w:val="12"/>
              <w:ind w:left="0" w:right="101"/>
              <w:jc w:val="center"/>
              <w:rPr>
                <w:rFonts w:eastAsia="宋体"/>
                <w:sz w:val="21"/>
                <w:szCs w:val="21"/>
              </w:rPr>
            </w:pPr>
            <w:r>
              <w:rPr>
                <w:rFonts w:eastAsia="宋体"/>
                <w:w w:val="99"/>
                <w:sz w:val="21"/>
                <w:szCs w:val="21"/>
              </w:rPr>
              <w:t>1</w:t>
            </w:r>
          </w:p>
        </w:tc>
        <w:tc>
          <w:tcPr>
            <w:tcW w:w="886" w:type="dxa"/>
            <w:vAlign w:val="center"/>
          </w:tcPr>
          <w:p>
            <w:pPr>
              <w:pStyle w:val="12"/>
              <w:ind w:left="0" w:right="99"/>
              <w:jc w:val="center"/>
              <w:rPr>
                <w:rFonts w:eastAsia="宋体"/>
                <w:sz w:val="21"/>
                <w:szCs w:val="21"/>
              </w:rPr>
            </w:pPr>
            <w:r>
              <w:rPr>
                <w:rFonts w:eastAsia="宋体"/>
                <w:w w:val="99"/>
                <w:sz w:val="21"/>
                <w:szCs w:val="21"/>
              </w:rPr>
              <w:t>2</w:t>
            </w:r>
          </w:p>
        </w:tc>
        <w:tc>
          <w:tcPr>
            <w:tcW w:w="901" w:type="dxa"/>
            <w:vAlign w:val="center"/>
          </w:tcPr>
          <w:p>
            <w:pPr>
              <w:pStyle w:val="12"/>
              <w:ind w:left="0" w:right="98"/>
              <w:jc w:val="center"/>
              <w:rPr>
                <w:rFonts w:eastAsia="宋体"/>
                <w:sz w:val="21"/>
                <w:szCs w:val="21"/>
              </w:rPr>
            </w:pPr>
            <w:r>
              <w:rPr>
                <w:rFonts w:eastAsia="宋体"/>
                <w:spacing w:val="-2"/>
                <w:sz w:val="21"/>
                <w:szCs w:val="21"/>
              </w:rPr>
              <w:t>11.76</w:t>
            </w:r>
          </w:p>
        </w:tc>
        <w:tc>
          <w:tcPr>
            <w:tcW w:w="3514" w:type="dxa"/>
            <w:vAlign w:val="center"/>
          </w:tcPr>
          <w:p>
            <w:pPr>
              <w:pStyle w:val="12"/>
              <w:spacing w:before="1"/>
              <w:ind w:left="105" w:right="205"/>
              <w:jc w:val="both"/>
              <w:rPr>
                <w:rFonts w:eastAsia="宋体"/>
                <w:sz w:val="21"/>
                <w:szCs w:val="21"/>
              </w:rPr>
            </w:pPr>
            <w:r>
              <w:rPr>
                <w:rFonts w:hint="eastAsia" w:eastAsia="宋体"/>
                <w:sz w:val="21"/>
                <w:szCs w:val="21"/>
              </w:rPr>
              <w:t xml:space="preserve">World Bank (2019a); World Bank </w:t>
            </w:r>
          </w:p>
          <w:p>
            <w:pPr>
              <w:pStyle w:val="12"/>
              <w:spacing w:before="1"/>
              <w:ind w:left="105" w:right="205"/>
              <w:jc w:val="both"/>
              <w:rPr>
                <w:rFonts w:eastAsia="宋体"/>
                <w:sz w:val="21"/>
                <w:szCs w:val="21"/>
              </w:rPr>
            </w:pPr>
            <w:r>
              <w:rPr>
                <w:rFonts w:hint="eastAsia" w:eastAsia="宋体"/>
                <w:sz w:val="21"/>
                <w:szCs w:val="21"/>
              </w:rPr>
              <w:t>Group (2011)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76" w:type="dxa"/>
            <w:shd w:val="clear" w:color="auto" w:fill="FFC000"/>
          </w:tcPr>
          <w:p>
            <w:pPr>
              <w:pStyle w:val="12"/>
              <w:rPr>
                <w:rFonts w:eastAsia="宋体"/>
                <w:b/>
                <w:sz w:val="21"/>
                <w:szCs w:val="21"/>
              </w:rPr>
            </w:pPr>
            <w:r>
              <w:rPr>
                <w:rFonts w:eastAsia="宋体"/>
                <w:b/>
                <w:sz w:val="21"/>
                <w:szCs w:val="21"/>
              </w:rPr>
              <w:t>2.1类总分</w:t>
            </w:r>
          </w:p>
        </w:tc>
        <w:tc>
          <w:tcPr>
            <w:tcW w:w="1172" w:type="dxa"/>
            <w:shd w:val="clear" w:color="auto" w:fill="FFC000"/>
          </w:tcPr>
          <w:p>
            <w:pPr>
              <w:pStyle w:val="12"/>
              <w:ind w:left="0" w:right="100"/>
              <w:jc w:val="center"/>
              <w:rPr>
                <w:rFonts w:eastAsia="宋体"/>
                <w:b/>
                <w:sz w:val="21"/>
                <w:szCs w:val="21"/>
              </w:rPr>
            </w:pPr>
            <w:r>
              <w:rPr>
                <w:rFonts w:eastAsia="宋体"/>
                <w:b/>
                <w:w w:val="99"/>
                <w:sz w:val="21"/>
                <w:szCs w:val="21"/>
              </w:rPr>
              <w:t>3</w:t>
            </w:r>
          </w:p>
        </w:tc>
        <w:tc>
          <w:tcPr>
            <w:tcW w:w="1184" w:type="dxa"/>
            <w:shd w:val="clear" w:color="auto" w:fill="FFC000"/>
          </w:tcPr>
          <w:p>
            <w:pPr>
              <w:pStyle w:val="12"/>
              <w:ind w:left="0" w:right="101"/>
              <w:jc w:val="center"/>
              <w:rPr>
                <w:rFonts w:eastAsia="宋体"/>
                <w:b/>
                <w:sz w:val="21"/>
                <w:szCs w:val="21"/>
              </w:rPr>
            </w:pPr>
            <w:r>
              <w:rPr>
                <w:rFonts w:eastAsia="宋体"/>
                <w:b/>
                <w:w w:val="99"/>
                <w:sz w:val="21"/>
                <w:szCs w:val="21"/>
              </w:rPr>
              <w:t>3</w:t>
            </w:r>
          </w:p>
        </w:tc>
        <w:tc>
          <w:tcPr>
            <w:tcW w:w="886" w:type="dxa"/>
            <w:shd w:val="clear" w:color="auto" w:fill="FFC000"/>
          </w:tcPr>
          <w:p>
            <w:pPr>
              <w:pStyle w:val="12"/>
              <w:ind w:left="0" w:right="99"/>
              <w:jc w:val="center"/>
              <w:rPr>
                <w:rFonts w:eastAsia="宋体"/>
                <w:b/>
                <w:sz w:val="21"/>
                <w:szCs w:val="21"/>
              </w:rPr>
            </w:pPr>
            <w:r>
              <w:rPr>
                <w:rFonts w:eastAsia="宋体"/>
                <w:b/>
                <w:w w:val="99"/>
                <w:sz w:val="21"/>
                <w:szCs w:val="21"/>
              </w:rPr>
              <w:t>6</w:t>
            </w:r>
          </w:p>
        </w:tc>
        <w:tc>
          <w:tcPr>
            <w:tcW w:w="901" w:type="dxa"/>
            <w:shd w:val="clear" w:color="auto" w:fill="FFC000"/>
          </w:tcPr>
          <w:p>
            <w:pPr>
              <w:pStyle w:val="12"/>
              <w:ind w:left="0" w:right="98"/>
              <w:jc w:val="center"/>
              <w:rPr>
                <w:rFonts w:eastAsia="宋体"/>
                <w:b/>
                <w:sz w:val="21"/>
                <w:szCs w:val="21"/>
              </w:rPr>
            </w:pPr>
            <w:r>
              <w:rPr>
                <w:rFonts w:eastAsia="宋体"/>
                <w:b/>
                <w:spacing w:val="-2"/>
                <w:sz w:val="21"/>
                <w:szCs w:val="21"/>
              </w:rPr>
              <w:t>35.29</w:t>
            </w:r>
          </w:p>
        </w:tc>
        <w:tc>
          <w:tcPr>
            <w:tcW w:w="3514" w:type="dxa"/>
            <w:shd w:val="clear" w:color="auto" w:fill="FFC000"/>
          </w:tcPr>
          <w:p>
            <w:pPr>
              <w:pStyle w:val="12"/>
              <w:ind w:left="0"/>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13233" w:type="dxa"/>
            <w:gridSpan w:val="6"/>
            <w:shd w:val="clear" w:color="auto" w:fill="CCD4EA"/>
          </w:tcPr>
          <w:p>
            <w:pPr>
              <w:pStyle w:val="12"/>
              <w:rPr>
                <w:rFonts w:eastAsia="宋体"/>
                <w:b/>
                <w:sz w:val="21"/>
                <w:szCs w:val="21"/>
                <w:lang w:eastAsia="zh-CN"/>
              </w:rPr>
            </w:pPr>
            <w:r>
              <w:rPr>
                <w:rFonts w:eastAsia="宋体"/>
                <w:b/>
                <w:sz w:val="21"/>
                <w:szCs w:val="21"/>
              </w:rPr>
              <w:t>2.2</w:t>
            </w:r>
            <w:r>
              <w:rPr>
                <w:rFonts w:eastAsia="宋体"/>
                <w:b/>
                <w:sz w:val="21"/>
                <w:szCs w:val="21"/>
                <w:lang w:eastAsia="zh-CN"/>
              </w:rPr>
              <w:t>抵押</w:t>
            </w:r>
            <w:r>
              <w:rPr>
                <w:rFonts w:eastAsia="宋体"/>
                <w:b/>
                <w:sz w:val="21"/>
                <w:szCs w:val="21"/>
              </w:rPr>
              <w:t>登记处</w:t>
            </w:r>
            <w:r>
              <w:rPr>
                <w:rFonts w:eastAsia="宋体"/>
                <w:b/>
                <w:sz w:val="21"/>
                <w:szCs w:val="21"/>
                <w:lang w:eastAsia="zh-CN"/>
              </w:rPr>
              <w:t>的运作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3233" w:type="dxa"/>
            <w:gridSpan w:val="6"/>
            <w:shd w:val="clear" w:color="auto" w:fill="E7EBF5"/>
          </w:tcPr>
          <w:p>
            <w:pPr>
              <w:pStyle w:val="12"/>
              <w:ind w:left="439"/>
              <w:rPr>
                <w:rFonts w:eastAsia="宋体"/>
                <w:b/>
                <w:sz w:val="21"/>
                <w:szCs w:val="21"/>
                <w:lang w:eastAsia="zh-CN"/>
              </w:rPr>
            </w:pPr>
            <w:r>
              <w:rPr>
                <w:rFonts w:eastAsia="宋体"/>
                <w:b/>
                <w:sz w:val="21"/>
                <w:szCs w:val="21"/>
              </w:rPr>
              <w:t>2.2.1</w:t>
            </w:r>
            <w:r>
              <w:rPr>
                <w:rFonts w:eastAsia="宋体"/>
                <w:b/>
                <w:sz w:val="21"/>
                <w:szCs w:val="21"/>
                <w:lang w:eastAsia="zh-CN"/>
              </w:rPr>
              <w:t>抵押</w:t>
            </w:r>
            <w:r>
              <w:rPr>
                <w:rFonts w:eastAsia="宋体"/>
                <w:b/>
                <w:sz w:val="21"/>
                <w:szCs w:val="21"/>
              </w:rPr>
              <w:t>登记处的</w:t>
            </w:r>
            <w:r>
              <w:rPr>
                <w:rFonts w:eastAsia="宋体"/>
                <w:b/>
                <w:sz w:val="21"/>
                <w:szCs w:val="21"/>
                <w:lang w:eastAsia="zh-CN"/>
              </w:rPr>
              <w:t>特征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5576" w:type="dxa"/>
            <w:vAlign w:val="center"/>
          </w:tcPr>
          <w:p>
            <w:pPr>
              <w:pStyle w:val="12"/>
              <w:spacing w:before="101"/>
              <w:jc w:val="both"/>
              <w:rPr>
                <w:rFonts w:eastAsia="宋体"/>
                <w:sz w:val="21"/>
                <w:szCs w:val="21"/>
                <w:lang w:eastAsia="zh-CN"/>
              </w:rPr>
            </w:pPr>
            <w:r>
              <w:rPr>
                <w:rFonts w:eastAsia="宋体"/>
                <w:sz w:val="21"/>
                <w:szCs w:val="21"/>
              </w:rPr>
              <w:t>统一</w:t>
            </w:r>
            <w:r>
              <w:rPr>
                <w:rFonts w:eastAsia="宋体"/>
                <w:sz w:val="21"/>
                <w:szCs w:val="21"/>
                <w:lang w:eastAsia="zh-CN"/>
              </w:rPr>
              <w:t>抵押品登记处</w:t>
            </w:r>
          </w:p>
        </w:tc>
        <w:tc>
          <w:tcPr>
            <w:tcW w:w="1172" w:type="dxa"/>
          </w:tcPr>
          <w:p>
            <w:pPr>
              <w:pStyle w:val="12"/>
              <w:spacing w:before="101"/>
              <w:ind w:left="532"/>
              <w:jc w:val="both"/>
              <w:rPr>
                <w:rFonts w:eastAsia="宋体"/>
                <w:sz w:val="21"/>
                <w:szCs w:val="21"/>
              </w:rPr>
            </w:pPr>
            <w:r>
              <w:rPr>
                <w:rFonts w:eastAsia="宋体"/>
                <w:w w:val="99"/>
                <w:sz w:val="21"/>
                <w:szCs w:val="21"/>
              </w:rPr>
              <w:t>1</w:t>
            </w:r>
          </w:p>
        </w:tc>
        <w:tc>
          <w:tcPr>
            <w:tcW w:w="1184" w:type="dxa"/>
          </w:tcPr>
          <w:p>
            <w:pPr>
              <w:pStyle w:val="12"/>
              <w:spacing w:before="101"/>
              <w:ind w:left="536"/>
              <w:jc w:val="both"/>
              <w:rPr>
                <w:rFonts w:eastAsia="宋体"/>
                <w:sz w:val="21"/>
                <w:szCs w:val="21"/>
              </w:rPr>
            </w:pPr>
            <w:r>
              <w:rPr>
                <w:rFonts w:eastAsia="宋体"/>
                <w:w w:val="99"/>
                <w:sz w:val="21"/>
                <w:szCs w:val="21"/>
              </w:rPr>
              <w:t>1</w:t>
            </w:r>
          </w:p>
        </w:tc>
        <w:tc>
          <w:tcPr>
            <w:tcW w:w="886" w:type="dxa"/>
          </w:tcPr>
          <w:p>
            <w:pPr>
              <w:pStyle w:val="12"/>
              <w:spacing w:before="101"/>
              <w:ind w:left="389"/>
              <w:jc w:val="both"/>
              <w:rPr>
                <w:rFonts w:eastAsia="宋体"/>
                <w:sz w:val="21"/>
                <w:szCs w:val="21"/>
              </w:rPr>
            </w:pPr>
            <w:r>
              <w:rPr>
                <w:rFonts w:eastAsia="宋体"/>
                <w:w w:val="99"/>
                <w:sz w:val="21"/>
                <w:szCs w:val="21"/>
              </w:rPr>
              <w:t>2</w:t>
            </w:r>
          </w:p>
        </w:tc>
        <w:tc>
          <w:tcPr>
            <w:tcW w:w="901" w:type="dxa"/>
          </w:tcPr>
          <w:p>
            <w:pPr>
              <w:pStyle w:val="12"/>
              <w:spacing w:before="101"/>
              <w:ind w:left="221"/>
              <w:jc w:val="both"/>
              <w:rPr>
                <w:rFonts w:eastAsia="宋体"/>
                <w:sz w:val="21"/>
                <w:szCs w:val="21"/>
              </w:rPr>
            </w:pPr>
            <w:r>
              <w:rPr>
                <w:rFonts w:eastAsia="宋体"/>
                <w:spacing w:val="-2"/>
                <w:sz w:val="21"/>
                <w:szCs w:val="21"/>
              </w:rPr>
              <w:t>11.76</w:t>
            </w:r>
          </w:p>
        </w:tc>
        <w:tc>
          <w:tcPr>
            <w:tcW w:w="3514" w:type="dxa"/>
          </w:tcPr>
          <w:p>
            <w:pPr>
              <w:pStyle w:val="12"/>
              <w:spacing w:before="101"/>
              <w:ind w:left="105"/>
              <w:rPr>
                <w:rFonts w:eastAsia="宋体"/>
                <w:sz w:val="21"/>
                <w:szCs w:val="21"/>
                <w:lang w:eastAsia="zh-CN"/>
              </w:rPr>
            </w:pPr>
            <w:r>
              <w:rPr>
                <w:rFonts w:hint="eastAsia" w:eastAsia="宋体"/>
                <w:sz w:val="21"/>
                <w:szCs w:val="21"/>
                <w:lang w:eastAsia="zh-CN"/>
              </w:rPr>
              <w:t>UNCITRAL (2010, 2014,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5576" w:type="dxa"/>
            <w:vAlign w:val="center"/>
          </w:tcPr>
          <w:p>
            <w:pPr>
              <w:pStyle w:val="12"/>
              <w:spacing w:before="103"/>
              <w:jc w:val="both"/>
              <w:rPr>
                <w:rFonts w:eastAsia="宋体"/>
                <w:sz w:val="21"/>
                <w:szCs w:val="21"/>
                <w:lang w:eastAsia="zh-CN"/>
              </w:rPr>
            </w:pPr>
            <w:r>
              <w:rPr>
                <w:rFonts w:eastAsia="宋体"/>
                <w:sz w:val="21"/>
                <w:szCs w:val="21"/>
                <w:lang w:eastAsia="zh-CN"/>
              </w:rPr>
              <w:t>基于通知的抵押品登记</w:t>
            </w:r>
          </w:p>
        </w:tc>
        <w:tc>
          <w:tcPr>
            <w:tcW w:w="1172" w:type="dxa"/>
          </w:tcPr>
          <w:p>
            <w:pPr>
              <w:pStyle w:val="12"/>
              <w:spacing w:before="103"/>
              <w:ind w:left="532"/>
              <w:jc w:val="both"/>
              <w:rPr>
                <w:rFonts w:eastAsia="宋体"/>
                <w:sz w:val="21"/>
                <w:szCs w:val="21"/>
              </w:rPr>
            </w:pPr>
            <w:r>
              <w:rPr>
                <w:rFonts w:eastAsia="宋体"/>
                <w:w w:val="99"/>
                <w:sz w:val="21"/>
                <w:szCs w:val="21"/>
              </w:rPr>
              <w:t>1</w:t>
            </w:r>
          </w:p>
        </w:tc>
        <w:tc>
          <w:tcPr>
            <w:tcW w:w="1184" w:type="dxa"/>
          </w:tcPr>
          <w:p>
            <w:pPr>
              <w:pStyle w:val="12"/>
              <w:spacing w:before="103"/>
              <w:ind w:left="536"/>
              <w:jc w:val="both"/>
              <w:rPr>
                <w:rFonts w:eastAsia="宋体"/>
                <w:sz w:val="21"/>
                <w:szCs w:val="21"/>
              </w:rPr>
            </w:pPr>
            <w:r>
              <w:rPr>
                <w:rFonts w:eastAsia="宋体"/>
                <w:w w:val="99"/>
                <w:sz w:val="21"/>
                <w:szCs w:val="21"/>
              </w:rPr>
              <w:t>1</w:t>
            </w:r>
          </w:p>
        </w:tc>
        <w:tc>
          <w:tcPr>
            <w:tcW w:w="886" w:type="dxa"/>
          </w:tcPr>
          <w:p>
            <w:pPr>
              <w:pStyle w:val="12"/>
              <w:spacing w:before="103"/>
              <w:ind w:left="389"/>
              <w:jc w:val="both"/>
              <w:rPr>
                <w:rFonts w:eastAsia="宋体"/>
                <w:sz w:val="21"/>
                <w:szCs w:val="21"/>
              </w:rPr>
            </w:pPr>
            <w:r>
              <w:rPr>
                <w:rFonts w:eastAsia="宋体"/>
                <w:w w:val="99"/>
                <w:sz w:val="21"/>
                <w:szCs w:val="21"/>
              </w:rPr>
              <w:t>2</w:t>
            </w:r>
          </w:p>
        </w:tc>
        <w:tc>
          <w:tcPr>
            <w:tcW w:w="901" w:type="dxa"/>
          </w:tcPr>
          <w:p>
            <w:pPr>
              <w:pStyle w:val="12"/>
              <w:spacing w:before="103"/>
              <w:ind w:left="221"/>
              <w:jc w:val="both"/>
              <w:rPr>
                <w:rFonts w:eastAsia="宋体"/>
                <w:sz w:val="21"/>
                <w:szCs w:val="21"/>
              </w:rPr>
            </w:pPr>
            <w:r>
              <w:rPr>
                <w:rFonts w:eastAsia="宋体"/>
                <w:spacing w:val="-2"/>
                <w:sz w:val="21"/>
                <w:szCs w:val="21"/>
              </w:rPr>
              <w:t>11.76</w:t>
            </w:r>
          </w:p>
        </w:tc>
        <w:tc>
          <w:tcPr>
            <w:tcW w:w="3514" w:type="dxa"/>
          </w:tcPr>
          <w:p>
            <w:pPr>
              <w:pStyle w:val="12"/>
              <w:spacing w:before="103"/>
              <w:ind w:left="105"/>
              <w:rPr>
                <w:rFonts w:eastAsia="宋体"/>
                <w:sz w:val="21"/>
                <w:szCs w:val="21"/>
                <w:lang w:eastAsia="zh-CN"/>
              </w:rPr>
            </w:pPr>
            <w:r>
              <w:rPr>
                <w:rFonts w:hint="eastAsia" w:eastAsia="宋体"/>
                <w:sz w:val="21"/>
                <w:szCs w:val="21"/>
                <w:lang w:eastAsia="zh-CN"/>
              </w:rPr>
              <w:t>UNCITRAL (2010, 2014,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6" w:type="dxa"/>
            <w:vAlign w:val="center"/>
          </w:tcPr>
          <w:p>
            <w:pPr>
              <w:pStyle w:val="12"/>
              <w:jc w:val="both"/>
              <w:rPr>
                <w:rFonts w:eastAsia="宋体"/>
                <w:sz w:val="21"/>
                <w:szCs w:val="21"/>
                <w:lang w:eastAsia="zh-CN"/>
              </w:rPr>
            </w:pPr>
            <w:r>
              <w:rPr>
                <w:rFonts w:eastAsia="宋体"/>
                <w:sz w:val="21"/>
                <w:szCs w:val="21"/>
                <w:lang w:eastAsia="zh-CN"/>
              </w:rPr>
              <w:t>现代抵押品登记和获取数据</w:t>
            </w:r>
          </w:p>
        </w:tc>
        <w:tc>
          <w:tcPr>
            <w:tcW w:w="1172" w:type="dxa"/>
          </w:tcPr>
          <w:p>
            <w:pPr>
              <w:pStyle w:val="12"/>
              <w:ind w:left="532"/>
              <w:jc w:val="both"/>
              <w:rPr>
                <w:rFonts w:eastAsia="宋体"/>
                <w:sz w:val="21"/>
                <w:szCs w:val="21"/>
              </w:rPr>
            </w:pPr>
            <w:r>
              <w:rPr>
                <w:rFonts w:eastAsia="宋体"/>
                <w:w w:val="99"/>
                <w:sz w:val="21"/>
                <w:szCs w:val="21"/>
              </w:rPr>
              <w:t>1</w:t>
            </w:r>
          </w:p>
        </w:tc>
        <w:tc>
          <w:tcPr>
            <w:tcW w:w="1184" w:type="dxa"/>
          </w:tcPr>
          <w:p>
            <w:pPr>
              <w:pStyle w:val="12"/>
              <w:ind w:left="536"/>
              <w:jc w:val="both"/>
              <w:rPr>
                <w:rFonts w:eastAsia="宋体"/>
                <w:sz w:val="21"/>
                <w:szCs w:val="21"/>
              </w:rPr>
            </w:pPr>
            <w:r>
              <w:rPr>
                <w:rFonts w:eastAsia="宋体"/>
                <w:w w:val="99"/>
                <w:sz w:val="21"/>
                <w:szCs w:val="21"/>
              </w:rPr>
              <w:t>1</w:t>
            </w:r>
          </w:p>
        </w:tc>
        <w:tc>
          <w:tcPr>
            <w:tcW w:w="886" w:type="dxa"/>
          </w:tcPr>
          <w:p>
            <w:pPr>
              <w:pStyle w:val="12"/>
              <w:ind w:left="389"/>
              <w:jc w:val="both"/>
              <w:rPr>
                <w:rFonts w:eastAsia="宋体"/>
                <w:sz w:val="21"/>
                <w:szCs w:val="21"/>
              </w:rPr>
            </w:pPr>
            <w:r>
              <w:rPr>
                <w:rFonts w:eastAsia="宋体"/>
                <w:w w:val="99"/>
                <w:sz w:val="21"/>
                <w:szCs w:val="21"/>
              </w:rPr>
              <w:t>2</w:t>
            </w:r>
          </w:p>
        </w:tc>
        <w:tc>
          <w:tcPr>
            <w:tcW w:w="901" w:type="dxa"/>
          </w:tcPr>
          <w:p>
            <w:pPr>
              <w:pStyle w:val="12"/>
              <w:ind w:left="221"/>
              <w:jc w:val="both"/>
              <w:rPr>
                <w:rFonts w:eastAsia="宋体"/>
                <w:sz w:val="21"/>
                <w:szCs w:val="21"/>
              </w:rPr>
            </w:pPr>
            <w:r>
              <w:rPr>
                <w:rFonts w:eastAsia="宋体"/>
                <w:spacing w:val="-2"/>
                <w:sz w:val="21"/>
                <w:szCs w:val="21"/>
              </w:rPr>
              <w:t>11.76</w:t>
            </w:r>
          </w:p>
        </w:tc>
        <w:tc>
          <w:tcPr>
            <w:tcW w:w="3514" w:type="dxa"/>
          </w:tcPr>
          <w:p>
            <w:pPr>
              <w:pStyle w:val="12"/>
              <w:ind w:left="105"/>
              <w:rPr>
                <w:rFonts w:eastAsia="宋体"/>
                <w:sz w:val="21"/>
                <w:szCs w:val="21"/>
                <w:lang w:eastAsia="zh-CN"/>
              </w:rPr>
            </w:pPr>
            <w:r>
              <w:rPr>
                <w:rFonts w:hint="eastAsia" w:eastAsia="宋体"/>
                <w:sz w:val="21"/>
                <w:szCs w:val="21"/>
                <w:lang w:eastAsia="zh-CN"/>
              </w:rPr>
              <w:t>UNCITRAL (2010, 2014,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6" w:type="dxa"/>
            <w:shd w:val="clear" w:color="auto" w:fill="FFC000"/>
          </w:tcPr>
          <w:p>
            <w:pPr>
              <w:pStyle w:val="12"/>
              <w:rPr>
                <w:rFonts w:eastAsia="宋体"/>
                <w:b/>
                <w:sz w:val="21"/>
                <w:szCs w:val="21"/>
              </w:rPr>
            </w:pPr>
            <w:r>
              <w:rPr>
                <w:rFonts w:eastAsia="宋体"/>
                <w:b/>
                <w:sz w:val="21"/>
                <w:szCs w:val="21"/>
              </w:rPr>
              <w:t>2.2类总积分</w:t>
            </w:r>
          </w:p>
        </w:tc>
        <w:tc>
          <w:tcPr>
            <w:tcW w:w="1172" w:type="dxa"/>
            <w:shd w:val="clear" w:color="auto" w:fill="FFC000"/>
          </w:tcPr>
          <w:p>
            <w:pPr>
              <w:pStyle w:val="12"/>
              <w:ind w:left="532"/>
              <w:jc w:val="both"/>
              <w:rPr>
                <w:rFonts w:eastAsia="宋体"/>
                <w:b/>
                <w:sz w:val="21"/>
                <w:szCs w:val="21"/>
              </w:rPr>
            </w:pPr>
            <w:r>
              <w:rPr>
                <w:rFonts w:eastAsia="宋体"/>
                <w:b/>
                <w:w w:val="99"/>
                <w:sz w:val="21"/>
                <w:szCs w:val="21"/>
              </w:rPr>
              <w:t>3.</w:t>
            </w:r>
          </w:p>
        </w:tc>
        <w:tc>
          <w:tcPr>
            <w:tcW w:w="1184" w:type="dxa"/>
            <w:shd w:val="clear" w:color="auto" w:fill="FFC000"/>
          </w:tcPr>
          <w:p>
            <w:pPr>
              <w:pStyle w:val="12"/>
              <w:ind w:left="536"/>
              <w:jc w:val="both"/>
              <w:rPr>
                <w:rFonts w:eastAsia="宋体"/>
                <w:b/>
                <w:sz w:val="21"/>
                <w:szCs w:val="21"/>
              </w:rPr>
            </w:pPr>
            <w:r>
              <w:rPr>
                <w:rFonts w:eastAsia="宋体"/>
                <w:b/>
                <w:w w:val="99"/>
                <w:sz w:val="21"/>
                <w:szCs w:val="21"/>
              </w:rPr>
              <w:t>3.</w:t>
            </w:r>
          </w:p>
        </w:tc>
        <w:tc>
          <w:tcPr>
            <w:tcW w:w="886" w:type="dxa"/>
            <w:shd w:val="clear" w:color="auto" w:fill="FFC000"/>
          </w:tcPr>
          <w:p>
            <w:pPr>
              <w:pStyle w:val="12"/>
              <w:ind w:left="389"/>
              <w:jc w:val="both"/>
              <w:rPr>
                <w:rFonts w:eastAsia="宋体"/>
                <w:b/>
                <w:sz w:val="21"/>
                <w:szCs w:val="21"/>
              </w:rPr>
            </w:pPr>
            <w:r>
              <w:rPr>
                <w:rFonts w:eastAsia="宋体"/>
                <w:b/>
                <w:w w:val="99"/>
                <w:sz w:val="21"/>
                <w:szCs w:val="21"/>
              </w:rPr>
              <w:t>6</w:t>
            </w:r>
          </w:p>
        </w:tc>
        <w:tc>
          <w:tcPr>
            <w:tcW w:w="901" w:type="dxa"/>
            <w:shd w:val="clear" w:color="auto" w:fill="FFC000"/>
          </w:tcPr>
          <w:p>
            <w:pPr>
              <w:pStyle w:val="12"/>
              <w:ind w:left="221"/>
              <w:jc w:val="both"/>
              <w:rPr>
                <w:rFonts w:eastAsia="宋体"/>
                <w:b/>
                <w:sz w:val="21"/>
                <w:szCs w:val="21"/>
              </w:rPr>
            </w:pPr>
            <w:r>
              <w:rPr>
                <w:rFonts w:eastAsia="宋体"/>
                <w:b/>
                <w:spacing w:val="-2"/>
                <w:sz w:val="21"/>
                <w:szCs w:val="21"/>
              </w:rPr>
              <w:t>35.29</w:t>
            </w:r>
          </w:p>
        </w:tc>
        <w:tc>
          <w:tcPr>
            <w:tcW w:w="3514" w:type="dxa"/>
            <w:shd w:val="clear" w:color="auto" w:fill="FFC000"/>
          </w:tcPr>
          <w:p>
            <w:pPr>
              <w:pStyle w:val="12"/>
              <w:ind w:left="0"/>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13233" w:type="dxa"/>
            <w:gridSpan w:val="6"/>
            <w:shd w:val="clear" w:color="auto" w:fill="CCD4EA"/>
          </w:tcPr>
          <w:p>
            <w:pPr>
              <w:pStyle w:val="12"/>
              <w:rPr>
                <w:rFonts w:eastAsia="宋体"/>
                <w:b/>
                <w:sz w:val="21"/>
                <w:szCs w:val="21"/>
              </w:rPr>
            </w:pPr>
            <w:r>
              <w:rPr>
                <w:rFonts w:eastAsia="宋体"/>
                <w:b/>
                <w:sz w:val="21"/>
                <w:szCs w:val="21"/>
              </w:rPr>
              <w:t>2.3绿色金融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13233" w:type="dxa"/>
            <w:gridSpan w:val="6"/>
            <w:shd w:val="clear" w:color="auto" w:fill="E7EBF5"/>
          </w:tcPr>
          <w:p>
            <w:pPr>
              <w:pStyle w:val="12"/>
              <w:ind w:left="439"/>
              <w:rPr>
                <w:rFonts w:eastAsia="宋体"/>
                <w:b/>
                <w:sz w:val="21"/>
                <w:szCs w:val="21"/>
                <w:lang w:eastAsia="zh-CN"/>
              </w:rPr>
            </w:pPr>
            <w:r>
              <w:rPr>
                <w:rFonts w:eastAsia="宋体"/>
                <w:b/>
                <w:sz w:val="21"/>
                <w:szCs w:val="21"/>
                <w:lang w:eastAsia="zh-CN"/>
              </w:rPr>
              <w:t>2.3.1绿色贷款的可获得性和要求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76" w:type="dxa"/>
            <w:vAlign w:val="center"/>
          </w:tcPr>
          <w:p>
            <w:pPr>
              <w:pStyle w:val="12"/>
              <w:spacing w:before="115"/>
              <w:jc w:val="both"/>
              <w:rPr>
                <w:rFonts w:eastAsia="宋体"/>
                <w:sz w:val="21"/>
                <w:szCs w:val="21"/>
              </w:rPr>
            </w:pPr>
            <w:r>
              <w:rPr>
                <w:rFonts w:eastAsia="宋体"/>
                <w:sz w:val="21"/>
                <w:szCs w:val="21"/>
              </w:rPr>
              <w:t>绿色贷款的可获得性</w:t>
            </w:r>
          </w:p>
        </w:tc>
        <w:tc>
          <w:tcPr>
            <w:tcW w:w="1172" w:type="dxa"/>
          </w:tcPr>
          <w:p>
            <w:pPr>
              <w:pStyle w:val="12"/>
              <w:spacing w:before="115"/>
              <w:ind w:left="0" w:right="100"/>
              <w:jc w:val="center"/>
              <w:rPr>
                <w:rFonts w:eastAsia="宋体"/>
                <w:sz w:val="21"/>
                <w:szCs w:val="21"/>
              </w:rPr>
            </w:pPr>
            <w:r>
              <w:rPr>
                <w:rFonts w:eastAsia="宋体"/>
                <w:w w:val="99"/>
                <w:sz w:val="21"/>
                <w:szCs w:val="21"/>
              </w:rPr>
              <w:t>1</w:t>
            </w:r>
          </w:p>
        </w:tc>
        <w:tc>
          <w:tcPr>
            <w:tcW w:w="1184" w:type="dxa"/>
          </w:tcPr>
          <w:p>
            <w:pPr>
              <w:pStyle w:val="12"/>
              <w:spacing w:before="115"/>
              <w:ind w:left="0" w:right="101"/>
              <w:jc w:val="center"/>
              <w:rPr>
                <w:rFonts w:eastAsia="宋体"/>
                <w:sz w:val="21"/>
                <w:szCs w:val="21"/>
              </w:rPr>
            </w:pPr>
            <w:r>
              <w:rPr>
                <w:rFonts w:eastAsia="宋体"/>
                <w:w w:val="99"/>
                <w:sz w:val="21"/>
                <w:szCs w:val="21"/>
              </w:rPr>
              <w:t>1</w:t>
            </w:r>
          </w:p>
        </w:tc>
        <w:tc>
          <w:tcPr>
            <w:tcW w:w="886" w:type="dxa"/>
          </w:tcPr>
          <w:p>
            <w:pPr>
              <w:pStyle w:val="12"/>
              <w:spacing w:before="115"/>
              <w:ind w:left="0" w:right="99"/>
              <w:jc w:val="center"/>
              <w:rPr>
                <w:rFonts w:eastAsia="宋体"/>
                <w:sz w:val="21"/>
                <w:szCs w:val="21"/>
              </w:rPr>
            </w:pPr>
            <w:r>
              <w:rPr>
                <w:rFonts w:eastAsia="宋体"/>
                <w:w w:val="99"/>
                <w:sz w:val="21"/>
                <w:szCs w:val="21"/>
              </w:rPr>
              <w:t>2</w:t>
            </w:r>
          </w:p>
        </w:tc>
        <w:tc>
          <w:tcPr>
            <w:tcW w:w="901" w:type="dxa"/>
          </w:tcPr>
          <w:p>
            <w:pPr>
              <w:pStyle w:val="12"/>
              <w:spacing w:before="115"/>
              <w:ind w:left="0" w:right="98"/>
              <w:jc w:val="center"/>
              <w:rPr>
                <w:rFonts w:eastAsia="宋体"/>
                <w:sz w:val="21"/>
                <w:szCs w:val="21"/>
              </w:rPr>
            </w:pPr>
            <w:r>
              <w:rPr>
                <w:rFonts w:eastAsia="宋体"/>
                <w:spacing w:val="-2"/>
                <w:sz w:val="21"/>
                <w:szCs w:val="21"/>
              </w:rPr>
              <w:t>11.76</w:t>
            </w:r>
          </w:p>
        </w:tc>
        <w:tc>
          <w:tcPr>
            <w:tcW w:w="3514" w:type="dxa"/>
          </w:tcPr>
          <w:p>
            <w:pPr>
              <w:pStyle w:val="12"/>
              <w:ind w:left="105"/>
              <w:rPr>
                <w:rFonts w:eastAsia="宋体"/>
                <w:sz w:val="21"/>
                <w:szCs w:val="21"/>
                <w:lang w:eastAsia="zh-CN"/>
              </w:rPr>
            </w:pPr>
            <w:r>
              <w:rPr>
                <w:rFonts w:hint="eastAsia" w:eastAsia="宋体"/>
                <w:sz w:val="21"/>
                <w:szCs w:val="21"/>
                <w:lang w:eastAsia="zh-CN"/>
              </w:rPr>
              <w:t xml:space="preserve">IFC (2020); LMA (2021); World Bank </w:t>
            </w:r>
          </w:p>
          <w:p>
            <w:pPr>
              <w:pStyle w:val="12"/>
              <w:ind w:left="105"/>
              <w:rPr>
                <w:rFonts w:eastAsia="宋体"/>
                <w:sz w:val="21"/>
                <w:szCs w:val="21"/>
                <w:lang w:eastAsia="zh-CN"/>
              </w:rPr>
            </w:pPr>
            <w:r>
              <w:rPr>
                <w:rFonts w:hint="eastAsia" w:eastAsia="宋体"/>
                <w:sz w:val="21"/>
                <w:szCs w:val="21"/>
                <w:lang w:eastAsia="zh-CN"/>
              </w:rPr>
              <w:t>(2021)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76" w:type="dxa"/>
            <w:vAlign w:val="center"/>
          </w:tcPr>
          <w:p>
            <w:pPr>
              <w:pStyle w:val="12"/>
              <w:spacing w:before="115"/>
              <w:jc w:val="both"/>
              <w:rPr>
                <w:rFonts w:eastAsia="宋体"/>
                <w:sz w:val="21"/>
                <w:szCs w:val="21"/>
                <w:lang w:eastAsia="zh-CN"/>
              </w:rPr>
            </w:pPr>
            <w:r>
              <w:rPr>
                <w:rFonts w:eastAsia="宋体"/>
                <w:sz w:val="21"/>
                <w:szCs w:val="21"/>
                <w:lang w:eastAsia="zh-CN"/>
              </w:rPr>
              <w:t>获得绿色贷款的外部审核要求</w:t>
            </w:r>
          </w:p>
        </w:tc>
        <w:tc>
          <w:tcPr>
            <w:tcW w:w="1172" w:type="dxa"/>
          </w:tcPr>
          <w:p>
            <w:pPr>
              <w:pStyle w:val="12"/>
              <w:spacing w:before="115"/>
              <w:ind w:left="0" w:right="98"/>
              <w:jc w:val="center"/>
              <w:rPr>
                <w:rFonts w:eastAsia="宋体"/>
                <w:sz w:val="21"/>
                <w:szCs w:val="21"/>
                <w:lang w:eastAsia="zh-CN"/>
              </w:rPr>
            </w:pPr>
            <w:r>
              <w:rPr>
                <w:rFonts w:eastAsia="宋体"/>
                <w:spacing w:val="-4"/>
                <w:sz w:val="21"/>
                <w:szCs w:val="21"/>
                <w:lang w:eastAsia="zh-CN"/>
              </w:rPr>
              <w:t>不适用</w:t>
            </w:r>
          </w:p>
        </w:tc>
        <w:tc>
          <w:tcPr>
            <w:tcW w:w="1184" w:type="dxa"/>
          </w:tcPr>
          <w:p>
            <w:pPr>
              <w:pStyle w:val="12"/>
              <w:spacing w:before="115"/>
              <w:ind w:left="0" w:right="101"/>
              <w:jc w:val="center"/>
              <w:rPr>
                <w:rFonts w:eastAsia="宋体"/>
                <w:sz w:val="21"/>
                <w:szCs w:val="21"/>
              </w:rPr>
            </w:pPr>
            <w:r>
              <w:rPr>
                <w:rFonts w:eastAsia="宋体"/>
                <w:w w:val="99"/>
                <w:sz w:val="21"/>
                <w:szCs w:val="21"/>
              </w:rPr>
              <w:t>1</w:t>
            </w:r>
          </w:p>
        </w:tc>
        <w:tc>
          <w:tcPr>
            <w:tcW w:w="886" w:type="dxa"/>
          </w:tcPr>
          <w:p>
            <w:pPr>
              <w:pStyle w:val="12"/>
              <w:spacing w:before="115"/>
              <w:ind w:left="0" w:right="99"/>
              <w:jc w:val="center"/>
              <w:rPr>
                <w:rFonts w:eastAsia="宋体"/>
                <w:sz w:val="21"/>
                <w:szCs w:val="21"/>
              </w:rPr>
            </w:pPr>
            <w:r>
              <w:rPr>
                <w:rFonts w:eastAsia="宋体"/>
                <w:w w:val="99"/>
                <w:sz w:val="21"/>
                <w:szCs w:val="21"/>
              </w:rPr>
              <w:t>1</w:t>
            </w:r>
          </w:p>
        </w:tc>
        <w:tc>
          <w:tcPr>
            <w:tcW w:w="901" w:type="dxa"/>
          </w:tcPr>
          <w:p>
            <w:pPr>
              <w:pStyle w:val="12"/>
              <w:spacing w:before="115"/>
              <w:ind w:left="0" w:right="97"/>
              <w:jc w:val="center"/>
              <w:rPr>
                <w:rFonts w:eastAsia="宋体"/>
                <w:sz w:val="21"/>
                <w:szCs w:val="21"/>
              </w:rPr>
            </w:pPr>
            <w:r>
              <w:rPr>
                <w:rFonts w:eastAsia="宋体"/>
                <w:spacing w:val="-4"/>
                <w:sz w:val="21"/>
                <w:szCs w:val="21"/>
              </w:rPr>
              <w:t>5.88</w:t>
            </w:r>
          </w:p>
        </w:tc>
        <w:tc>
          <w:tcPr>
            <w:tcW w:w="3514" w:type="dxa"/>
          </w:tcPr>
          <w:p>
            <w:pPr>
              <w:pStyle w:val="12"/>
              <w:spacing w:line="229" w:lineRule="exact"/>
              <w:ind w:left="105"/>
              <w:rPr>
                <w:rFonts w:eastAsia="宋体"/>
                <w:sz w:val="21"/>
                <w:szCs w:val="21"/>
                <w:lang w:eastAsia="zh-CN"/>
              </w:rPr>
            </w:pPr>
            <w:r>
              <w:rPr>
                <w:rFonts w:hint="eastAsia" w:eastAsia="宋体"/>
                <w:sz w:val="21"/>
                <w:szCs w:val="21"/>
                <w:lang w:eastAsia="zh-CN"/>
              </w:rPr>
              <w:t xml:space="preserve">IFC (2020); LMA (2021); World Bank </w:t>
            </w:r>
          </w:p>
          <w:p>
            <w:pPr>
              <w:pStyle w:val="12"/>
              <w:spacing w:line="229" w:lineRule="exact"/>
              <w:ind w:left="105"/>
              <w:rPr>
                <w:rFonts w:eastAsia="宋体"/>
                <w:sz w:val="21"/>
                <w:szCs w:val="21"/>
                <w:lang w:eastAsia="zh-CN"/>
              </w:rPr>
            </w:pPr>
            <w:r>
              <w:rPr>
                <w:rFonts w:hint="eastAsia" w:eastAsia="宋体"/>
                <w:sz w:val="21"/>
                <w:szCs w:val="21"/>
                <w:lang w:eastAsia="zh-CN"/>
              </w:rPr>
              <w:t>(2021)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76" w:type="dxa"/>
          </w:tcPr>
          <w:p>
            <w:pPr>
              <w:pStyle w:val="12"/>
              <w:rPr>
                <w:rFonts w:eastAsia="宋体"/>
                <w:sz w:val="21"/>
                <w:szCs w:val="21"/>
              </w:rPr>
            </w:pPr>
            <w:r>
              <w:rPr>
                <w:rFonts w:eastAsia="宋体"/>
                <w:b/>
                <w:sz w:val="21"/>
                <w:szCs w:val="21"/>
              </w:rPr>
              <w:t>2.3类的总分</w:t>
            </w:r>
          </w:p>
        </w:tc>
        <w:tc>
          <w:tcPr>
            <w:tcW w:w="1172" w:type="dxa"/>
          </w:tcPr>
          <w:p>
            <w:pPr>
              <w:pStyle w:val="12"/>
              <w:ind w:left="0" w:right="100"/>
              <w:jc w:val="center"/>
              <w:rPr>
                <w:rFonts w:eastAsia="宋体"/>
                <w:spacing w:val="-4"/>
                <w:sz w:val="21"/>
                <w:szCs w:val="21"/>
                <w:lang w:eastAsia="zh-CN"/>
              </w:rPr>
            </w:pPr>
            <w:r>
              <w:rPr>
                <w:rFonts w:eastAsia="宋体"/>
                <w:b/>
                <w:w w:val="99"/>
                <w:sz w:val="21"/>
                <w:szCs w:val="21"/>
              </w:rPr>
              <w:t>1</w:t>
            </w:r>
          </w:p>
        </w:tc>
        <w:tc>
          <w:tcPr>
            <w:tcW w:w="1184" w:type="dxa"/>
          </w:tcPr>
          <w:p>
            <w:pPr>
              <w:pStyle w:val="12"/>
              <w:ind w:left="0" w:right="101"/>
              <w:jc w:val="center"/>
              <w:rPr>
                <w:rFonts w:eastAsia="宋体"/>
                <w:w w:val="99"/>
                <w:sz w:val="21"/>
                <w:szCs w:val="21"/>
              </w:rPr>
            </w:pPr>
            <w:r>
              <w:rPr>
                <w:rFonts w:eastAsia="宋体"/>
                <w:b/>
                <w:w w:val="99"/>
                <w:sz w:val="21"/>
                <w:szCs w:val="21"/>
              </w:rPr>
              <w:t>2</w:t>
            </w:r>
          </w:p>
        </w:tc>
        <w:tc>
          <w:tcPr>
            <w:tcW w:w="886" w:type="dxa"/>
          </w:tcPr>
          <w:p>
            <w:pPr>
              <w:pStyle w:val="12"/>
              <w:ind w:left="0" w:right="99"/>
              <w:jc w:val="center"/>
              <w:rPr>
                <w:rFonts w:eastAsia="宋体"/>
                <w:w w:val="99"/>
                <w:sz w:val="21"/>
                <w:szCs w:val="21"/>
              </w:rPr>
            </w:pPr>
            <w:r>
              <w:rPr>
                <w:rFonts w:eastAsia="宋体"/>
                <w:b/>
                <w:w w:val="99"/>
                <w:sz w:val="21"/>
                <w:szCs w:val="21"/>
              </w:rPr>
              <w:t>3</w:t>
            </w:r>
          </w:p>
        </w:tc>
        <w:tc>
          <w:tcPr>
            <w:tcW w:w="901" w:type="dxa"/>
          </w:tcPr>
          <w:p>
            <w:pPr>
              <w:pStyle w:val="12"/>
              <w:ind w:left="0" w:right="98"/>
              <w:jc w:val="center"/>
              <w:rPr>
                <w:rFonts w:eastAsia="宋体"/>
                <w:spacing w:val="-4"/>
                <w:sz w:val="21"/>
                <w:szCs w:val="21"/>
              </w:rPr>
            </w:pPr>
            <w:r>
              <w:rPr>
                <w:rFonts w:eastAsia="宋体"/>
                <w:b/>
                <w:spacing w:val="-2"/>
                <w:sz w:val="21"/>
                <w:szCs w:val="21"/>
              </w:rPr>
              <w:t>17.65</w:t>
            </w:r>
          </w:p>
        </w:tc>
        <w:tc>
          <w:tcPr>
            <w:tcW w:w="3514" w:type="dxa"/>
          </w:tcPr>
          <w:p>
            <w:pPr>
              <w:pStyle w:val="12"/>
              <w:ind w:left="0"/>
              <w:rPr>
                <w:rFonts w:eastAsia="宋体"/>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3233" w:type="dxa"/>
            <w:gridSpan w:val="6"/>
          </w:tcPr>
          <w:p>
            <w:pPr>
              <w:pStyle w:val="12"/>
              <w:spacing w:before="101"/>
              <w:rPr>
                <w:rFonts w:eastAsia="宋体"/>
                <w:spacing w:val="-2"/>
                <w:sz w:val="21"/>
                <w:szCs w:val="21"/>
              </w:rPr>
            </w:pPr>
            <w:r>
              <w:rPr>
                <w:rFonts w:eastAsia="宋体"/>
                <w:b/>
                <w:sz w:val="21"/>
                <w:szCs w:val="21"/>
              </w:rPr>
              <w:t>2.4性别金融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3233" w:type="dxa"/>
            <w:gridSpan w:val="6"/>
          </w:tcPr>
          <w:p>
            <w:pPr>
              <w:pStyle w:val="12"/>
              <w:spacing w:before="101"/>
              <w:ind w:left="439"/>
              <w:rPr>
                <w:rFonts w:eastAsia="宋体"/>
                <w:spacing w:val="-2"/>
                <w:sz w:val="21"/>
                <w:szCs w:val="21"/>
                <w:lang w:eastAsia="zh-CN"/>
              </w:rPr>
            </w:pPr>
            <w:r>
              <w:rPr>
                <w:rFonts w:eastAsia="宋体"/>
                <w:b/>
                <w:sz w:val="21"/>
                <w:szCs w:val="21"/>
                <w:lang w:eastAsia="zh-CN"/>
              </w:rPr>
              <w:t>2.4.1促进女性获得金融服务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76" w:type="dxa"/>
            <w:vAlign w:val="center"/>
          </w:tcPr>
          <w:p>
            <w:pPr>
              <w:pStyle w:val="12"/>
              <w:ind w:right="169"/>
              <w:jc w:val="both"/>
              <w:rPr>
                <w:rFonts w:eastAsia="宋体"/>
                <w:sz w:val="21"/>
                <w:szCs w:val="21"/>
                <w:lang w:eastAsia="zh-CN"/>
              </w:rPr>
            </w:pPr>
            <w:r>
              <w:rPr>
                <w:rFonts w:eastAsia="宋体"/>
                <w:sz w:val="21"/>
                <w:szCs w:val="21"/>
                <w:lang w:eastAsia="zh-CN"/>
              </w:rPr>
              <w:t>针对女性的产品和促进妇女发展的项目(包括提供针对女性的金融和非金融产品、性别多样性培训以及促进银行部门妇女发展的方案)</w:t>
            </w:r>
          </w:p>
        </w:tc>
        <w:tc>
          <w:tcPr>
            <w:tcW w:w="1172" w:type="dxa"/>
            <w:vAlign w:val="center"/>
          </w:tcPr>
          <w:p>
            <w:pPr>
              <w:pStyle w:val="12"/>
              <w:ind w:left="0" w:right="100"/>
              <w:jc w:val="center"/>
              <w:rPr>
                <w:rFonts w:eastAsia="宋体"/>
                <w:spacing w:val="-4"/>
                <w:sz w:val="21"/>
                <w:szCs w:val="21"/>
                <w:lang w:eastAsia="zh-CN"/>
              </w:rPr>
            </w:pPr>
            <w:r>
              <w:rPr>
                <w:rFonts w:eastAsia="宋体"/>
                <w:w w:val="99"/>
                <w:sz w:val="21"/>
                <w:szCs w:val="21"/>
              </w:rPr>
              <w:t>1</w:t>
            </w:r>
          </w:p>
        </w:tc>
        <w:tc>
          <w:tcPr>
            <w:tcW w:w="1184" w:type="dxa"/>
            <w:vAlign w:val="center"/>
          </w:tcPr>
          <w:p>
            <w:pPr>
              <w:pStyle w:val="12"/>
              <w:ind w:left="0" w:right="101"/>
              <w:jc w:val="center"/>
              <w:rPr>
                <w:rFonts w:eastAsia="宋体"/>
                <w:w w:val="99"/>
                <w:sz w:val="21"/>
                <w:szCs w:val="21"/>
              </w:rPr>
            </w:pPr>
            <w:r>
              <w:rPr>
                <w:rFonts w:eastAsia="宋体"/>
                <w:w w:val="99"/>
                <w:sz w:val="21"/>
                <w:szCs w:val="21"/>
              </w:rPr>
              <w:t>1</w:t>
            </w:r>
          </w:p>
        </w:tc>
        <w:tc>
          <w:tcPr>
            <w:tcW w:w="886" w:type="dxa"/>
            <w:vAlign w:val="center"/>
          </w:tcPr>
          <w:p>
            <w:pPr>
              <w:pStyle w:val="12"/>
              <w:ind w:left="0" w:right="99"/>
              <w:jc w:val="center"/>
              <w:rPr>
                <w:rFonts w:eastAsia="宋体"/>
                <w:w w:val="99"/>
                <w:sz w:val="21"/>
                <w:szCs w:val="21"/>
              </w:rPr>
            </w:pPr>
            <w:r>
              <w:rPr>
                <w:rFonts w:eastAsia="宋体"/>
                <w:w w:val="99"/>
                <w:sz w:val="21"/>
                <w:szCs w:val="21"/>
              </w:rPr>
              <w:t>2</w:t>
            </w:r>
          </w:p>
        </w:tc>
        <w:tc>
          <w:tcPr>
            <w:tcW w:w="901" w:type="dxa"/>
            <w:vAlign w:val="center"/>
          </w:tcPr>
          <w:p>
            <w:pPr>
              <w:pStyle w:val="12"/>
              <w:ind w:left="0" w:right="98"/>
              <w:jc w:val="center"/>
              <w:rPr>
                <w:rFonts w:eastAsia="宋体"/>
                <w:spacing w:val="-4"/>
                <w:sz w:val="21"/>
                <w:szCs w:val="21"/>
              </w:rPr>
            </w:pPr>
            <w:r>
              <w:rPr>
                <w:rFonts w:eastAsia="宋体"/>
                <w:spacing w:val="-2"/>
                <w:sz w:val="21"/>
                <w:szCs w:val="21"/>
              </w:rPr>
              <w:t>11.76</w:t>
            </w:r>
          </w:p>
        </w:tc>
        <w:tc>
          <w:tcPr>
            <w:tcW w:w="3514" w:type="dxa"/>
          </w:tcPr>
          <w:p>
            <w:pPr>
              <w:pStyle w:val="12"/>
              <w:spacing w:line="230" w:lineRule="exact"/>
              <w:ind w:left="105" w:right="205"/>
              <w:rPr>
                <w:rFonts w:eastAsia="宋体"/>
                <w:sz w:val="21"/>
                <w:szCs w:val="21"/>
              </w:rPr>
            </w:pPr>
            <w:r>
              <w:rPr>
                <w:rFonts w:hint="eastAsia" w:eastAsia="宋体"/>
                <w:sz w:val="21"/>
                <w:szCs w:val="21"/>
              </w:rPr>
              <w:t xml:space="preserve">Brock and De Hass et al. (2023) &gt;; </w:t>
            </w:r>
          </w:p>
          <w:p>
            <w:pPr>
              <w:pStyle w:val="12"/>
              <w:spacing w:line="230" w:lineRule="exact"/>
              <w:ind w:left="105" w:right="205"/>
              <w:rPr>
                <w:rFonts w:eastAsia="宋体"/>
                <w:sz w:val="21"/>
                <w:szCs w:val="21"/>
              </w:rPr>
            </w:pPr>
            <w:r>
              <w:rPr>
                <w:rFonts w:hint="eastAsia" w:eastAsia="宋体"/>
                <w:sz w:val="21"/>
                <w:szCs w:val="21"/>
              </w:rPr>
              <w:t xml:space="preserve">Campos et al. (2018); Cucagna, </w:t>
            </w:r>
          </w:p>
          <w:p>
            <w:pPr>
              <w:pStyle w:val="12"/>
              <w:spacing w:line="230" w:lineRule="exact"/>
              <w:ind w:left="105" w:right="205"/>
              <w:rPr>
                <w:rFonts w:eastAsia="宋体"/>
                <w:sz w:val="21"/>
                <w:szCs w:val="21"/>
              </w:rPr>
            </w:pPr>
            <w:r>
              <w:rPr>
                <w:rFonts w:hint="eastAsia" w:eastAsia="宋体"/>
                <w:sz w:val="21"/>
                <w:szCs w:val="21"/>
              </w:rPr>
              <w:t xml:space="preserve">Iocovone, and Rubiano-Matulevich </w:t>
            </w:r>
          </w:p>
          <w:p>
            <w:pPr>
              <w:pStyle w:val="12"/>
              <w:spacing w:line="230" w:lineRule="exact"/>
              <w:ind w:left="105" w:right="205"/>
              <w:rPr>
                <w:rFonts w:eastAsia="宋体"/>
                <w:sz w:val="21"/>
                <w:szCs w:val="21"/>
              </w:rPr>
            </w:pPr>
            <w:r>
              <w:rPr>
                <w:rFonts w:hint="eastAsia" w:eastAsia="宋体"/>
                <w:sz w:val="21"/>
                <w:szCs w:val="21"/>
              </w:rPr>
              <w:t xml:space="preserve">(2020); FMO and IFC (2020); IFC </w:t>
            </w:r>
          </w:p>
          <w:p>
            <w:pPr>
              <w:pStyle w:val="12"/>
              <w:spacing w:line="230" w:lineRule="exact"/>
              <w:ind w:left="105" w:right="205"/>
              <w:rPr>
                <w:rFonts w:eastAsia="宋体"/>
                <w:sz w:val="21"/>
                <w:szCs w:val="21"/>
              </w:rPr>
            </w:pPr>
            <w:r>
              <w:rPr>
                <w:rFonts w:hint="eastAsia" w:eastAsia="宋体"/>
                <w:sz w:val="21"/>
                <w:szCs w:val="21"/>
              </w:rPr>
              <w:t xml:space="preserve">(2017); Saparito. Elam, and Brush </w:t>
            </w:r>
          </w:p>
          <w:p>
            <w:pPr>
              <w:pStyle w:val="12"/>
              <w:spacing w:line="230" w:lineRule="exact"/>
              <w:ind w:left="105" w:right="205"/>
              <w:rPr>
                <w:rFonts w:eastAsia="宋体"/>
                <w:spacing w:val="-2"/>
                <w:sz w:val="21"/>
                <w:szCs w:val="21"/>
              </w:rPr>
            </w:pPr>
            <w:r>
              <w:rPr>
                <w:rFonts w:hint="eastAsia" w:eastAsia="宋体"/>
                <w:sz w:val="21"/>
                <w:szCs w:val="21"/>
              </w:rPr>
              <w:t>(2013); World Bank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76" w:type="dxa"/>
            <w:vAlign w:val="center"/>
          </w:tcPr>
          <w:p>
            <w:pPr>
              <w:pStyle w:val="12"/>
              <w:jc w:val="both"/>
              <w:rPr>
                <w:rFonts w:eastAsia="宋体"/>
                <w:sz w:val="21"/>
                <w:szCs w:val="21"/>
              </w:rPr>
            </w:pPr>
            <w:r>
              <w:rPr>
                <w:rFonts w:eastAsia="宋体"/>
                <w:sz w:val="21"/>
                <w:szCs w:val="21"/>
              </w:rPr>
              <w:t>子类别2.4.1的总分</w:t>
            </w:r>
          </w:p>
        </w:tc>
        <w:tc>
          <w:tcPr>
            <w:tcW w:w="1172" w:type="dxa"/>
            <w:vAlign w:val="center"/>
          </w:tcPr>
          <w:p>
            <w:pPr>
              <w:pStyle w:val="12"/>
              <w:ind w:left="0" w:right="100"/>
              <w:jc w:val="center"/>
              <w:rPr>
                <w:rFonts w:eastAsia="宋体"/>
                <w:spacing w:val="-4"/>
                <w:sz w:val="21"/>
                <w:szCs w:val="21"/>
                <w:lang w:eastAsia="zh-CN"/>
              </w:rPr>
            </w:pPr>
            <w:r>
              <w:rPr>
                <w:rFonts w:eastAsia="宋体"/>
                <w:w w:val="99"/>
                <w:sz w:val="21"/>
                <w:szCs w:val="21"/>
              </w:rPr>
              <w:t>1</w:t>
            </w:r>
          </w:p>
        </w:tc>
        <w:tc>
          <w:tcPr>
            <w:tcW w:w="1184" w:type="dxa"/>
            <w:vAlign w:val="center"/>
          </w:tcPr>
          <w:p>
            <w:pPr>
              <w:pStyle w:val="12"/>
              <w:ind w:left="0" w:right="101"/>
              <w:jc w:val="center"/>
              <w:rPr>
                <w:rFonts w:eastAsia="宋体"/>
                <w:w w:val="99"/>
                <w:sz w:val="21"/>
                <w:szCs w:val="21"/>
              </w:rPr>
            </w:pPr>
            <w:r>
              <w:rPr>
                <w:rFonts w:eastAsia="宋体"/>
                <w:w w:val="99"/>
                <w:sz w:val="21"/>
                <w:szCs w:val="21"/>
              </w:rPr>
              <w:t>1</w:t>
            </w:r>
          </w:p>
        </w:tc>
        <w:tc>
          <w:tcPr>
            <w:tcW w:w="886" w:type="dxa"/>
            <w:vAlign w:val="center"/>
          </w:tcPr>
          <w:p>
            <w:pPr>
              <w:pStyle w:val="12"/>
              <w:ind w:left="0" w:right="99"/>
              <w:jc w:val="center"/>
              <w:rPr>
                <w:rFonts w:eastAsia="宋体"/>
                <w:w w:val="99"/>
                <w:sz w:val="21"/>
                <w:szCs w:val="21"/>
              </w:rPr>
            </w:pPr>
            <w:r>
              <w:rPr>
                <w:rFonts w:eastAsia="宋体"/>
                <w:w w:val="99"/>
                <w:sz w:val="21"/>
                <w:szCs w:val="21"/>
              </w:rPr>
              <w:t>2</w:t>
            </w:r>
          </w:p>
        </w:tc>
        <w:tc>
          <w:tcPr>
            <w:tcW w:w="901" w:type="dxa"/>
            <w:vAlign w:val="center"/>
          </w:tcPr>
          <w:p>
            <w:pPr>
              <w:pStyle w:val="12"/>
              <w:ind w:left="0" w:right="98"/>
              <w:jc w:val="center"/>
              <w:rPr>
                <w:rFonts w:eastAsia="宋体"/>
                <w:spacing w:val="-4"/>
                <w:sz w:val="21"/>
                <w:szCs w:val="21"/>
              </w:rPr>
            </w:pPr>
            <w:r>
              <w:rPr>
                <w:rFonts w:eastAsia="宋体"/>
                <w:spacing w:val="-2"/>
                <w:sz w:val="21"/>
                <w:szCs w:val="21"/>
              </w:rPr>
              <w:t>11.76</w:t>
            </w:r>
          </w:p>
        </w:tc>
        <w:tc>
          <w:tcPr>
            <w:tcW w:w="3514" w:type="dxa"/>
          </w:tcPr>
          <w:p>
            <w:pPr>
              <w:pStyle w:val="12"/>
              <w:ind w:left="0"/>
              <w:rPr>
                <w:rFonts w:eastAsia="宋体"/>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76" w:type="dxa"/>
            <w:vAlign w:val="center"/>
          </w:tcPr>
          <w:p>
            <w:pPr>
              <w:pStyle w:val="12"/>
              <w:jc w:val="both"/>
              <w:rPr>
                <w:rFonts w:eastAsia="宋体"/>
                <w:sz w:val="21"/>
                <w:szCs w:val="21"/>
              </w:rPr>
            </w:pPr>
            <w:r>
              <w:rPr>
                <w:rFonts w:eastAsia="宋体"/>
                <w:b/>
                <w:sz w:val="21"/>
                <w:szCs w:val="21"/>
              </w:rPr>
              <w:t>2.4类总分</w:t>
            </w:r>
          </w:p>
        </w:tc>
        <w:tc>
          <w:tcPr>
            <w:tcW w:w="1172" w:type="dxa"/>
            <w:vAlign w:val="center"/>
          </w:tcPr>
          <w:p>
            <w:pPr>
              <w:pStyle w:val="12"/>
              <w:ind w:left="0" w:right="100"/>
              <w:jc w:val="center"/>
              <w:rPr>
                <w:rFonts w:eastAsia="宋体"/>
                <w:spacing w:val="-4"/>
                <w:sz w:val="21"/>
                <w:szCs w:val="21"/>
                <w:lang w:eastAsia="zh-CN"/>
              </w:rPr>
            </w:pPr>
            <w:r>
              <w:rPr>
                <w:rFonts w:eastAsia="宋体"/>
                <w:b/>
                <w:w w:val="99"/>
                <w:sz w:val="21"/>
                <w:szCs w:val="21"/>
              </w:rPr>
              <w:t>1</w:t>
            </w:r>
          </w:p>
        </w:tc>
        <w:tc>
          <w:tcPr>
            <w:tcW w:w="1184" w:type="dxa"/>
            <w:vAlign w:val="center"/>
          </w:tcPr>
          <w:p>
            <w:pPr>
              <w:pStyle w:val="12"/>
              <w:ind w:left="0" w:right="101"/>
              <w:jc w:val="center"/>
              <w:rPr>
                <w:rFonts w:eastAsia="宋体"/>
                <w:w w:val="99"/>
                <w:sz w:val="21"/>
                <w:szCs w:val="21"/>
              </w:rPr>
            </w:pPr>
            <w:r>
              <w:rPr>
                <w:rFonts w:eastAsia="宋体"/>
                <w:b/>
                <w:w w:val="99"/>
                <w:sz w:val="21"/>
                <w:szCs w:val="21"/>
              </w:rPr>
              <w:t>1</w:t>
            </w:r>
          </w:p>
        </w:tc>
        <w:tc>
          <w:tcPr>
            <w:tcW w:w="886" w:type="dxa"/>
            <w:vAlign w:val="center"/>
          </w:tcPr>
          <w:p>
            <w:pPr>
              <w:pStyle w:val="12"/>
              <w:ind w:left="0" w:right="99"/>
              <w:jc w:val="center"/>
              <w:rPr>
                <w:rFonts w:eastAsia="宋体"/>
                <w:w w:val="99"/>
                <w:sz w:val="21"/>
                <w:szCs w:val="21"/>
              </w:rPr>
            </w:pPr>
            <w:r>
              <w:rPr>
                <w:rFonts w:eastAsia="宋体"/>
                <w:b/>
                <w:w w:val="99"/>
                <w:sz w:val="21"/>
                <w:szCs w:val="21"/>
              </w:rPr>
              <w:t>2</w:t>
            </w:r>
          </w:p>
        </w:tc>
        <w:tc>
          <w:tcPr>
            <w:tcW w:w="901" w:type="dxa"/>
            <w:vAlign w:val="center"/>
          </w:tcPr>
          <w:p>
            <w:pPr>
              <w:pStyle w:val="12"/>
              <w:ind w:left="0" w:right="98"/>
              <w:jc w:val="center"/>
              <w:rPr>
                <w:rFonts w:eastAsia="宋体"/>
                <w:spacing w:val="-4"/>
                <w:sz w:val="21"/>
                <w:szCs w:val="21"/>
              </w:rPr>
            </w:pPr>
            <w:r>
              <w:rPr>
                <w:rFonts w:eastAsia="宋体"/>
                <w:b/>
                <w:spacing w:val="-2"/>
                <w:sz w:val="21"/>
                <w:szCs w:val="21"/>
              </w:rPr>
              <w:t>11.76</w:t>
            </w:r>
          </w:p>
        </w:tc>
        <w:tc>
          <w:tcPr>
            <w:tcW w:w="3514" w:type="dxa"/>
          </w:tcPr>
          <w:p>
            <w:pPr>
              <w:pStyle w:val="12"/>
              <w:ind w:left="0"/>
              <w:rPr>
                <w:rFonts w:eastAsia="宋体"/>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76" w:type="dxa"/>
          </w:tcPr>
          <w:p>
            <w:pPr>
              <w:pStyle w:val="12"/>
              <w:rPr>
                <w:rFonts w:eastAsia="宋体"/>
                <w:sz w:val="21"/>
                <w:szCs w:val="21"/>
              </w:rPr>
            </w:pPr>
            <w:r>
              <w:rPr>
                <w:rFonts w:eastAsia="宋体"/>
                <w:b/>
                <w:sz w:val="21"/>
                <w:szCs w:val="21"/>
              </w:rPr>
              <w:t>II</w:t>
            </w:r>
            <w:r>
              <w:rPr>
                <w:rFonts w:eastAsia="宋体"/>
                <w:b/>
                <w:sz w:val="21"/>
                <w:szCs w:val="21"/>
                <w:lang w:eastAsia="zh-CN"/>
              </w:rPr>
              <w:t>维度</w:t>
            </w:r>
            <w:r>
              <w:rPr>
                <w:rFonts w:eastAsia="宋体"/>
                <w:b/>
                <w:sz w:val="21"/>
                <w:szCs w:val="21"/>
              </w:rPr>
              <w:t>总分</w:t>
            </w:r>
          </w:p>
        </w:tc>
        <w:tc>
          <w:tcPr>
            <w:tcW w:w="1172" w:type="dxa"/>
            <w:vAlign w:val="center"/>
          </w:tcPr>
          <w:p>
            <w:pPr>
              <w:pStyle w:val="12"/>
              <w:ind w:left="0" w:right="100"/>
              <w:jc w:val="center"/>
              <w:rPr>
                <w:rFonts w:eastAsia="宋体"/>
                <w:spacing w:val="-4"/>
                <w:sz w:val="21"/>
                <w:szCs w:val="21"/>
                <w:lang w:eastAsia="zh-CN"/>
              </w:rPr>
            </w:pPr>
            <w:r>
              <w:rPr>
                <w:rFonts w:eastAsia="宋体"/>
                <w:b/>
                <w:w w:val="99"/>
                <w:sz w:val="21"/>
                <w:szCs w:val="21"/>
              </w:rPr>
              <w:t>8</w:t>
            </w:r>
          </w:p>
        </w:tc>
        <w:tc>
          <w:tcPr>
            <w:tcW w:w="1184" w:type="dxa"/>
            <w:vAlign w:val="center"/>
          </w:tcPr>
          <w:p>
            <w:pPr>
              <w:pStyle w:val="12"/>
              <w:ind w:left="0" w:right="101"/>
              <w:jc w:val="center"/>
              <w:rPr>
                <w:rFonts w:eastAsia="宋体"/>
                <w:w w:val="99"/>
                <w:sz w:val="21"/>
                <w:szCs w:val="21"/>
              </w:rPr>
            </w:pPr>
            <w:r>
              <w:rPr>
                <w:rFonts w:eastAsia="宋体"/>
                <w:b/>
                <w:w w:val="99"/>
                <w:sz w:val="21"/>
                <w:szCs w:val="21"/>
              </w:rPr>
              <w:t>9</w:t>
            </w:r>
          </w:p>
        </w:tc>
        <w:tc>
          <w:tcPr>
            <w:tcW w:w="886" w:type="dxa"/>
            <w:vAlign w:val="center"/>
          </w:tcPr>
          <w:p>
            <w:pPr>
              <w:pStyle w:val="12"/>
              <w:ind w:left="0" w:right="95"/>
              <w:jc w:val="center"/>
              <w:rPr>
                <w:rFonts w:eastAsia="宋体"/>
                <w:w w:val="99"/>
                <w:sz w:val="21"/>
                <w:szCs w:val="21"/>
              </w:rPr>
            </w:pPr>
            <w:r>
              <w:rPr>
                <w:rFonts w:eastAsia="宋体"/>
                <w:b/>
                <w:spacing w:val="-5"/>
                <w:sz w:val="21"/>
                <w:szCs w:val="21"/>
              </w:rPr>
              <w:t>17</w:t>
            </w:r>
          </w:p>
        </w:tc>
        <w:tc>
          <w:tcPr>
            <w:tcW w:w="901" w:type="dxa"/>
            <w:vAlign w:val="center"/>
          </w:tcPr>
          <w:p>
            <w:pPr>
              <w:pStyle w:val="12"/>
              <w:ind w:left="0" w:right="98"/>
              <w:jc w:val="center"/>
              <w:rPr>
                <w:rFonts w:eastAsia="宋体"/>
                <w:spacing w:val="-4"/>
                <w:sz w:val="21"/>
                <w:szCs w:val="21"/>
              </w:rPr>
            </w:pPr>
            <w:r>
              <w:rPr>
                <w:rFonts w:eastAsia="宋体"/>
                <w:b/>
                <w:spacing w:val="-2"/>
                <w:sz w:val="21"/>
                <w:szCs w:val="21"/>
              </w:rPr>
              <w:t>100.00</w:t>
            </w:r>
          </w:p>
        </w:tc>
        <w:tc>
          <w:tcPr>
            <w:tcW w:w="3514" w:type="dxa"/>
          </w:tcPr>
          <w:p>
            <w:pPr>
              <w:pStyle w:val="12"/>
              <w:ind w:left="0"/>
              <w:rPr>
                <w:rFonts w:eastAsia="宋体"/>
                <w:spacing w:val="-2"/>
                <w:sz w:val="21"/>
                <w:szCs w:val="21"/>
              </w:rPr>
            </w:pPr>
          </w:p>
        </w:tc>
      </w:tr>
    </w:tbl>
    <w:p>
      <w:pPr>
        <w:spacing w:line="211" w:lineRule="exact"/>
        <w:rPr>
          <w:rFonts w:eastAsia="宋体"/>
          <w:sz w:val="21"/>
          <w:szCs w:val="21"/>
        </w:rPr>
        <w:sectPr>
          <w:pgSz w:w="15840" w:h="12240" w:orient="landscape"/>
          <w:pgMar w:top="1140" w:right="1040" w:bottom="280" w:left="1340" w:header="720" w:footer="720" w:gutter="0"/>
          <w:cols w:space="720" w:num="1"/>
        </w:sectPr>
      </w:pPr>
    </w:p>
    <w:p>
      <w:pPr>
        <w:pStyle w:val="5"/>
        <w:spacing w:before="8"/>
        <w:rPr>
          <w:sz w:val="25"/>
        </w:rPr>
      </w:pPr>
    </w:p>
    <w:tbl>
      <w:tblPr>
        <w:tblStyle w:val="8"/>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20"/>
        <w:gridCol w:w="932"/>
        <w:gridCol w:w="829"/>
        <w:gridCol w:w="737"/>
        <w:gridCol w:w="973"/>
        <w:gridCol w:w="40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2956" w:type="dxa"/>
            <w:gridSpan w:val="6"/>
            <w:shd w:val="clear" w:color="auto" w:fill="0F6EC5"/>
          </w:tcPr>
          <w:p>
            <w:pPr>
              <w:pStyle w:val="12"/>
              <w:spacing w:before="36"/>
              <w:rPr>
                <w:rFonts w:eastAsia="宋体"/>
                <w:b/>
                <w:sz w:val="21"/>
                <w:szCs w:val="21"/>
                <w:lang w:eastAsia="zh-CN"/>
              </w:rPr>
            </w:pPr>
            <w:r>
              <w:rPr>
                <w:rFonts w:eastAsia="宋体"/>
                <w:b/>
                <w:color w:val="FFFFFF" w:themeColor="background1"/>
                <w:sz w:val="21"/>
                <w:szCs w:val="21"/>
                <w:lang w:eastAsia="zh-CN"/>
                <w14:textFill>
                  <w14:solidFill>
                    <w14:schemeClr w14:val="bg1"/>
                  </w14:solidFill>
                </w14:textFill>
              </w:rPr>
              <w:t>维度III</w:t>
            </w:r>
            <w:r>
              <w:rPr>
                <w:rFonts w:hint="eastAsia" w:ascii="Songti SC Bold" w:hAnsi="Songti SC Bold" w:eastAsia="Songti SC Bold" w:cs="Songti SC Bold"/>
                <w:b/>
                <w:color w:val="FFFFFF" w:themeColor="background1"/>
                <w:sz w:val="24"/>
                <w:lang w:eastAsia="zh-CN"/>
                <w14:textFill>
                  <w14:solidFill>
                    <w14:schemeClr w14:val="bg1"/>
                  </w14:solidFill>
                </w14:textFill>
              </w:rPr>
              <w:t>-</w:t>
            </w:r>
            <w:r>
              <w:rPr>
                <w:rFonts w:eastAsia="宋体"/>
                <w:b/>
                <w:color w:val="FFFFFF" w:themeColor="background1"/>
                <w:sz w:val="21"/>
                <w:szCs w:val="21"/>
                <w:lang w:eastAsia="zh-CN"/>
                <w14:textFill>
                  <w14:solidFill>
                    <w14:schemeClr w14:val="bg1"/>
                  </w14:solidFill>
                </w14:textFill>
              </w:rPr>
              <w:t>效率:在实践中接受金融服务的效率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2956" w:type="dxa"/>
            <w:gridSpan w:val="6"/>
            <w:shd w:val="clear" w:color="auto" w:fill="CCD4EA"/>
          </w:tcPr>
          <w:p>
            <w:pPr>
              <w:pStyle w:val="12"/>
              <w:spacing w:before="36"/>
              <w:rPr>
                <w:rFonts w:eastAsia="宋体"/>
                <w:b/>
                <w:sz w:val="21"/>
                <w:szCs w:val="21"/>
              </w:rPr>
            </w:pPr>
            <w:r>
              <w:rPr>
                <w:rFonts w:eastAsia="宋体"/>
                <w:b/>
                <w:sz w:val="21"/>
                <w:szCs w:val="21"/>
              </w:rPr>
              <w:t>3.1贷款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2956" w:type="dxa"/>
            <w:gridSpan w:val="6"/>
            <w:tcBorders>
              <w:bottom w:val="single" w:color="000000" w:sz="8" w:space="0"/>
            </w:tcBorders>
            <w:shd w:val="clear" w:color="auto" w:fill="E7EBF5"/>
            <w:vAlign w:val="center"/>
          </w:tcPr>
          <w:p>
            <w:pPr>
              <w:pStyle w:val="12"/>
              <w:spacing w:before="36"/>
              <w:ind w:left="439"/>
              <w:jc w:val="both"/>
              <w:rPr>
                <w:rFonts w:eastAsia="宋体"/>
                <w:b/>
                <w:sz w:val="21"/>
                <w:szCs w:val="21"/>
              </w:rPr>
            </w:pPr>
            <w:r>
              <w:rPr>
                <w:rFonts w:eastAsia="宋体"/>
                <w:b/>
                <w:sz w:val="21"/>
                <w:szCs w:val="21"/>
              </w:rPr>
              <w:t>3.1.1获得贷款的时间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5420" w:type="dxa"/>
            <w:tcBorders>
              <w:top w:val="single" w:color="000000" w:sz="8" w:space="0"/>
            </w:tcBorders>
            <w:vAlign w:val="center"/>
          </w:tcPr>
          <w:p>
            <w:pPr>
              <w:pStyle w:val="12"/>
              <w:spacing w:before="125"/>
              <w:jc w:val="both"/>
              <w:rPr>
                <w:rFonts w:eastAsia="宋体"/>
                <w:b/>
                <w:sz w:val="21"/>
                <w:szCs w:val="21"/>
              </w:rPr>
            </w:pPr>
            <w:r>
              <w:rPr>
                <w:rFonts w:eastAsia="宋体"/>
                <w:b/>
                <w:spacing w:val="-2"/>
                <w:sz w:val="21"/>
                <w:szCs w:val="21"/>
              </w:rPr>
              <w:t>指标</w:t>
            </w:r>
          </w:p>
        </w:tc>
        <w:tc>
          <w:tcPr>
            <w:tcW w:w="932" w:type="dxa"/>
            <w:tcBorders>
              <w:top w:val="single" w:color="000000" w:sz="8" w:space="0"/>
            </w:tcBorders>
            <w:vAlign w:val="center"/>
          </w:tcPr>
          <w:p>
            <w:pPr>
              <w:pStyle w:val="12"/>
              <w:spacing w:before="125"/>
              <w:ind w:left="0" w:right="147"/>
              <w:jc w:val="center"/>
              <w:rPr>
                <w:rFonts w:eastAsia="宋体"/>
                <w:b/>
                <w:sz w:val="21"/>
                <w:szCs w:val="21"/>
              </w:rPr>
            </w:pPr>
            <w:r>
              <w:rPr>
                <w:rFonts w:hint="eastAsia" w:eastAsia="宋体"/>
                <w:b/>
                <w:spacing w:val="-5"/>
                <w:sz w:val="21"/>
                <w:szCs w:val="21"/>
                <w:lang w:eastAsia="zh-CN"/>
              </w:rPr>
              <w:t>企业灵活度得分</w:t>
            </w:r>
          </w:p>
        </w:tc>
        <w:tc>
          <w:tcPr>
            <w:tcW w:w="829" w:type="dxa"/>
            <w:tcBorders>
              <w:top w:val="single" w:color="000000" w:sz="8" w:space="0"/>
            </w:tcBorders>
            <w:vAlign w:val="center"/>
          </w:tcPr>
          <w:p>
            <w:pPr>
              <w:pStyle w:val="12"/>
              <w:spacing w:before="125"/>
              <w:ind w:left="94" w:right="137"/>
              <w:jc w:val="center"/>
              <w:rPr>
                <w:rFonts w:eastAsia="宋体"/>
                <w:b/>
                <w:sz w:val="21"/>
                <w:szCs w:val="21"/>
                <w:lang w:eastAsia="zh-CN"/>
              </w:rPr>
            </w:pPr>
            <w:r>
              <w:rPr>
                <w:rFonts w:hint="eastAsia" w:eastAsia="宋体"/>
                <w:b/>
                <w:spacing w:val="-5"/>
                <w:sz w:val="21"/>
                <w:szCs w:val="21"/>
                <w:lang w:eastAsia="zh-CN"/>
              </w:rPr>
              <w:t>社会效益得分</w:t>
            </w:r>
          </w:p>
        </w:tc>
        <w:tc>
          <w:tcPr>
            <w:tcW w:w="737" w:type="dxa"/>
            <w:tcBorders>
              <w:top w:val="single" w:color="000000" w:sz="8" w:space="0"/>
            </w:tcBorders>
            <w:vAlign w:val="center"/>
          </w:tcPr>
          <w:p>
            <w:pPr>
              <w:pStyle w:val="12"/>
              <w:ind w:left="0" w:right="88"/>
              <w:jc w:val="center"/>
              <w:rPr>
                <w:rFonts w:eastAsia="宋体"/>
                <w:b/>
                <w:sz w:val="21"/>
                <w:szCs w:val="21"/>
              </w:rPr>
            </w:pPr>
            <w:r>
              <w:rPr>
                <w:rFonts w:hint="eastAsia" w:eastAsia="宋体"/>
                <w:b/>
                <w:spacing w:val="-2"/>
                <w:sz w:val="21"/>
                <w:szCs w:val="21"/>
                <w:lang w:eastAsia="zh-CN"/>
              </w:rPr>
              <w:t>总</w:t>
            </w:r>
            <w:r>
              <w:rPr>
                <w:rFonts w:eastAsia="宋体"/>
                <w:b/>
                <w:spacing w:val="-2"/>
                <w:sz w:val="21"/>
                <w:szCs w:val="21"/>
              </w:rPr>
              <w:t>分</w:t>
            </w:r>
          </w:p>
        </w:tc>
        <w:tc>
          <w:tcPr>
            <w:tcW w:w="973" w:type="dxa"/>
            <w:tcBorders>
              <w:top w:val="single" w:color="000000" w:sz="8" w:space="0"/>
            </w:tcBorders>
            <w:vAlign w:val="center"/>
          </w:tcPr>
          <w:p>
            <w:pPr>
              <w:pStyle w:val="12"/>
              <w:ind w:left="288" w:hanging="180"/>
              <w:jc w:val="center"/>
              <w:rPr>
                <w:rFonts w:eastAsia="宋体"/>
                <w:b/>
                <w:spacing w:val="-2"/>
                <w:w w:val="95"/>
                <w:sz w:val="21"/>
                <w:szCs w:val="21"/>
                <w:lang w:eastAsia="zh-CN"/>
              </w:rPr>
            </w:pPr>
            <w:r>
              <w:rPr>
                <w:rFonts w:hint="eastAsia" w:eastAsia="宋体"/>
                <w:b/>
                <w:spacing w:val="-2"/>
                <w:w w:val="95"/>
                <w:sz w:val="21"/>
                <w:szCs w:val="21"/>
                <w:lang w:eastAsia="zh-CN"/>
              </w:rPr>
              <w:t>调整后</w:t>
            </w:r>
          </w:p>
          <w:p>
            <w:pPr>
              <w:pStyle w:val="12"/>
              <w:ind w:left="288" w:hanging="180"/>
              <w:jc w:val="center"/>
              <w:rPr>
                <w:rFonts w:eastAsia="宋体"/>
                <w:b/>
                <w:sz w:val="21"/>
                <w:szCs w:val="21"/>
              </w:rPr>
            </w:pPr>
            <w:r>
              <w:rPr>
                <w:rFonts w:hint="eastAsia" w:eastAsia="宋体"/>
                <w:b/>
                <w:spacing w:val="-2"/>
                <w:w w:val="95"/>
                <w:sz w:val="21"/>
                <w:szCs w:val="21"/>
                <w:lang w:eastAsia="zh-CN"/>
              </w:rPr>
              <w:t>得分</w:t>
            </w:r>
          </w:p>
        </w:tc>
        <w:tc>
          <w:tcPr>
            <w:tcW w:w="4065" w:type="dxa"/>
            <w:tcBorders>
              <w:top w:val="single" w:color="000000" w:sz="8" w:space="0"/>
            </w:tcBorders>
            <w:vAlign w:val="center"/>
          </w:tcPr>
          <w:p>
            <w:pPr>
              <w:pStyle w:val="12"/>
              <w:spacing w:before="125"/>
              <w:ind w:left="104"/>
              <w:jc w:val="center"/>
              <w:rPr>
                <w:rFonts w:eastAsia="宋体"/>
                <w:b/>
                <w:sz w:val="21"/>
                <w:szCs w:val="21"/>
              </w:rPr>
            </w:pPr>
            <w:r>
              <w:rPr>
                <w:rFonts w:hint="eastAsia" w:eastAsia="宋体"/>
                <w:b/>
                <w:sz w:val="21"/>
                <w:szCs w:val="21"/>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20" w:type="dxa"/>
            <w:tcBorders>
              <w:bottom w:val="single" w:color="000000" w:sz="8" w:space="0"/>
            </w:tcBorders>
            <w:vAlign w:val="center"/>
          </w:tcPr>
          <w:p>
            <w:pPr>
              <w:pStyle w:val="12"/>
              <w:spacing w:before="115"/>
              <w:jc w:val="both"/>
              <w:rPr>
                <w:rFonts w:eastAsia="宋体"/>
                <w:sz w:val="21"/>
                <w:szCs w:val="21"/>
              </w:rPr>
            </w:pPr>
            <w:r>
              <w:rPr>
                <w:rFonts w:eastAsia="宋体"/>
                <w:sz w:val="21"/>
                <w:szCs w:val="21"/>
              </w:rPr>
              <w:t>获取</w:t>
            </w:r>
            <w:r>
              <w:rPr>
                <w:rFonts w:eastAsia="宋体"/>
                <w:sz w:val="21"/>
                <w:szCs w:val="21"/>
                <w:lang w:eastAsia="zh-CN"/>
              </w:rPr>
              <w:t>贷款的</w:t>
            </w:r>
            <w:r>
              <w:rPr>
                <w:rFonts w:eastAsia="宋体"/>
                <w:sz w:val="21"/>
                <w:szCs w:val="21"/>
              </w:rPr>
              <w:t>时间</w:t>
            </w:r>
          </w:p>
        </w:tc>
        <w:tc>
          <w:tcPr>
            <w:tcW w:w="932" w:type="dxa"/>
            <w:tcBorders>
              <w:bottom w:val="single" w:color="000000" w:sz="8" w:space="0"/>
            </w:tcBorders>
            <w:vAlign w:val="center"/>
          </w:tcPr>
          <w:p>
            <w:pPr>
              <w:pStyle w:val="12"/>
              <w:spacing w:before="115"/>
              <w:ind w:left="0" w:right="145"/>
              <w:jc w:val="center"/>
              <w:rPr>
                <w:rFonts w:eastAsia="宋体"/>
                <w:sz w:val="21"/>
                <w:szCs w:val="21"/>
              </w:rPr>
            </w:pPr>
            <w:r>
              <w:rPr>
                <w:rFonts w:eastAsia="宋体"/>
                <w:spacing w:val="-5"/>
                <w:sz w:val="21"/>
                <w:szCs w:val="21"/>
              </w:rPr>
              <w:t>25</w:t>
            </w:r>
          </w:p>
        </w:tc>
        <w:tc>
          <w:tcPr>
            <w:tcW w:w="829" w:type="dxa"/>
            <w:tcBorders>
              <w:bottom w:val="single" w:color="000000" w:sz="8" w:space="0"/>
            </w:tcBorders>
            <w:vAlign w:val="center"/>
          </w:tcPr>
          <w:p>
            <w:pPr>
              <w:pStyle w:val="12"/>
              <w:spacing w:before="115"/>
              <w:ind w:left="94" w:right="57"/>
              <w:jc w:val="center"/>
              <w:rPr>
                <w:rFonts w:eastAsia="宋体"/>
                <w:sz w:val="21"/>
                <w:szCs w:val="21"/>
                <w:lang w:eastAsia="zh-CN"/>
              </w:rPr>
            </w:pPr>
            <w:r>
              <w:rPr>
                <w:rFonts w:eastAsia="宋体"/>
                <w:spacing w:val="-4"/>
                <w:sz w:val="21"/>
                <w:szCs w:val="21"/>
                <w:lang w:eastAsia="zh-CN"/>
              </w:rPr>
              <w:t>不适用</w:t>
            </w:r>
          </w:p>
        </w:tc>
        <w:tc>
          <w:tcPr>
            <w:tcW w:w="737" w:type="dxa"/>
            <w:tcBorders>
              <w:bottom w:val="single" w:color="000000" w:sz="8" w:space="0"/>
            </w:tcBorders>
            <w:vAlign w:val="center"/>
          </w:tcPr>
          <w:p>
            <w:pPr>
              <w:pStyle w:val="12"/>
              <w:spacing w:before="115"/>
              <w:ind w:left="0" w:right="143"/>
              <w:jc w:val="center"/>
              <w:rPr>
                <w:rFonts w:eastAsia="宋体"/>
                <w:sz w:val="21"/>
                <w:szCs w:val="21"/>
              </w:rPr>
            </w:pPr>
            <w:r>
              <w:rPr>
                <w:rFonts w:eastAsia="宋体"/>
                <w:spacing w:val="-5"/>
                <w:sz w:val="21"/>
                <w:szCs w:val="21"/>
              </w:rPr>
              <w:t>25</w:t>
            </w:r>
          </w:p>
        </w:tc>
        <w:tc>
          <w:tcPr>
            <w:tcW w:w="973" w:type="dxa"/>
            <w:tcBorders>
              <w:bottom w:val="single" w:color="000000" w:sz="8" w:space="0"/>
            </w:tcBorders>
            <w:vAlign w:val="center"/>
          </w:tcPr>
          <w:p>
            <w:pPr>
              <w:pStyle w:val="12"/>
              <w:spacing w:before="115"/>
              <w:ind w:left="0" w:right="146"/>
              <w:jc w:val="center"/>
              <w:rPr>
                <w:rFonts w:eastAsia="宋体"/>
                <w:sz w:val="21"/>
                <w:szCs w:val="21"/>
              </w:rPr>
            </w:pPr>
            <w:r>
              <w:rPr>
                <w:rFonts w:eastAsia="宋体"/>
                <w:spacing w:val="-2"/>
                <w:sz w:val="21"/>
                <w:szCs w:val="21"/>
              </w:rPr>
              <w:t>12.50</w:t>
            </w:r>
          </w:p>
        </w:tc>
        <w:tc>
          <w:tcPr>
            <w:tcW w:w="4065" w:type="dxa"/>
            <w:tcBorders>
              <w:bottom w:val="single" w:color="000000" w:sz="8" w:space="0"/>
            </w:tcBorders>
            <w:vAlign w:val="center"/>
          </w:tcPr>
          <w:p>
            <w:pPr>
              <w:pStyle w:val="12"/>
              <w:ind w:left="104" w:right="270"/>
              <w:jc w:val="both"/>
              <w:rPr>
                <w:rFonts w:eastAsia="宋体"/>
                <w:sz w:val="21"/>
                <w:szCs w:val="21"/>
              </w:rPr>
            </w:pPr>
            <w:r>
              <w:rPr>
                <w:rFonts w:hint="eastAsia" w:eastAsia="宋体"/>
                <w:sz w:val="21"/>
                <w:szCs w:val="21"/>
              </w:rPr>
              <w:t xml:space="preserve">Beck, Demirgüç-Kunt, and Maksimovic </w:t>
            </w:r>
          </w:p>
          <w:p>
            <w:pPr>
              <w:pStyle w:val="12"/>
              <w:ind w:left="104" w:right="270"/>
              <w:jc w:val="both"/>
              <w:rPr>
                <w:rFonts w:eastAsia="宋体"/>
                <w:sz w:val="21"/>
                <w:szCs w:val="21"/>
              </w:rPr>
            </w:pPr>
            <w:r>
              <w:rPr>
                <w:rFonts w:hint="eastAsia" w:eastAsia="宋体"/>
                <w:sz w:val="21"/>
                <w:szCs w:val="21"/>
              </w:rPr>
              <w:t>(2005)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2956" w:type="dxa"/>
            <w:gridSpan w:val="6"/>
            <w:tcBorders>
              <w:top w:val="single" w:color="000000" w:sz="8" w:space="0"/>
              <w:bottom w:val="single" w:color="000000" w:sz="8" w:space="0"/>
            </w:tcBorders>
            <w:shd w:val="clear" w:color="auto" w:fill="E7EBF5"/>
            <w:vAlign w:val="center"/>
          </w:tcPr>
          <w:p>
            <w:pPr>
              <w:pStyle w:val="12"/>
              <w:spacing w:before="33"/>
              <w:ind w:left="439"/>
              <w:jc w:val="both"/>
              <w:rPr>
                <w:rFonts w:eastAsia="宋体"/>
                <w:b/>
                <w:sz w:val="21"/>
                <w:szCs w:val="21"/>
              </w:rPr>
            </w:pPr>
            <w:r>
              <w:rPr>
                <w:rFonts w:eastAsia="宋体"/>
                <w:b/>
                <w:sz w:val="21"/>
                <w:szCs w:val="21"/>
              </w:rPr>
              <w:t>3.1.2获得贷款的成本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20" w:type="dxa"/>
            <w:tcBorders>
              <w:top w:val="single" w:color="000000" w:sz="8" w:space="0"/>
              <w:bottom w:val="single" w:color="000000" w:sz="8" w:space="0"/>
            </w:tcBorders>
            <w:vAlign w:val="center"/>
          </w:tcPr>
          <w:p>
            <w:pPr>
              <w:pStyle w:val="12"/>
              <w:spacing w:before="115"/>
              <w:jc w:val="both"/>
              <w:rPr>
                <w:rFonts w:eastAsia="宋体"/>
                <w:sz w:val="21"/>
                <w:szCs w:val="21"/>
              </w:rPr>
            </w:pPr>
            <w:r>
              <w:rPr>
                <w:rFonts w:eastAsia="宋体"/>
                <w:sz w:val="21"/>
                <w:szCs w:val="21"/>
              </w:rPr>
              <w:t>获得贷款的成本</w:t>
            </w:r>
          </w:p>
        </w:tc>
        <w:tc>
          <w:tcPr>
            <w:tcW w:w="932" w:type="dxa"/>
            <w:tcBorders>
              <w:top w:val="single" w:color="000000" w:sz="8" w:space="0"/>
              <w:bottom w:val="single" w:color="000000" w:sz="8" w:space="0"/>
            </w:tcBorders>
            <w:vAlign w:val="center"/>
          </w:tcPr>
          <w:p>
            <w:pPr>
              <w:pStyle w:val="12"/>
              <w:spacing w:before="115"/>
              <w:ind w:left="0" w:right="145"/>
              <w:jc w:val="center"/>
              <w:rPr>
                <w:rFonts w:eastAsia="宋体"/>
                <w:sz w:val="21"/>
                <w:szCs w:val="21"/>
              </w:rPr>
            </w:pPr>
            <w:r>
              <w:rPr>
                <w:rFonts w:eastAsia="宋体"/>
                <w:spacing w:val="-5"/>
                <w:sz w:val="21"/>
                <w:szCs w:val="21"/>
              </w:rPr>
              <w:t>25</w:t>
            </w:r>
          </w:p>
        </w:tc>
        <w:tc>
          <w:tcPr>
            <w:tcW w:w="829" w:type="dxa"/>
            <w:tcBorders>
              <w:top w:val="single" w:color="000000" w:sz="8" w:space="0"/>
              <w:bottom w:val="single" w:color="000000" w:sz="8" w:space="0"/>
            </w:tcBorders>
            <w:vAlign w:val="center"/>
          </w:tcPr>
          <w:p>
            <w:pPr>
              <w:pStyle w:val="12"/>
              <w:spacing w:before="115"/>
              <w:ind w:left="94" w:right="57"/>
              <w:jc w:val="center"/>
              <w:rPr>
                <w:rFonts w:eastAsia="宋体"/>
                <w:sz w:val="21"/>
                <w:szCs w:val="21"/>
                <w:lang w:eastAsia="zh-CN"/>
              </w:rPr>
            </w:pPr>
            <w:r>
              <w:rPr>
                <w:rFonts w:eastAsia="宋体"/>
                <w:spacing w:val="-4"/>
                <w:sz w:val="21"/>
                <w:szCs w:val="21"/>
                <w:lang w:eastAsia="zh-CN"/>
              </w:rPr>
              <w:t>不适用</w:t>
            </w:r>
          </w:p>
        </w:tc>
        <w:tc>
          <w:tcPr>
            <w:tcW w:w="737" w:type="dxa"/>
            <w:tcBorders>
              <w:top w:val="single" w:color="000000" w:sz="8" w:space="0"/>
              <w:bottom w:val="single" w:color="000000" w:sz="8" w:space="0"/>
            </w:tcBorders>
            <w:vAlign w:val="center"/>
          </w:tcPr>
          <w:p>
            <w:pPr>
              <w:pStyle w:val="12"/>
              <w:spacing w:before="115"/>
              <w:ind w:left="0" w:right="143"/>
              <w:jc w:val="center"/>
              <w:rPr>
                <w:rFonts w:eastAsia="宋体"/>
                <w:sz w:val="21"/>
                <w:szCs w:val="21"/>
              </w:rPr>
            </w:pPr>
            <w:r>
              <w:rPr>
                <w:rFonts w:eastAsia="宋体"/>
                <w:spacing w:val="-5"/>
                <w:sz w:val="21"/>
                <w:szCs w:val="21"/>
              </w:rPr>
              <w:t>25</w:t>
            </w:r>
          </w:p>
        </w:tc>
        <w:tc>
          <w:tcPr>
            <w:tcW w:w="973" w:type="dxa"/>
            <w:tcBorders>
              <w:top w:val="single" w:color="000000" w:sz="8" w:space="0"/>
              <w:bottom w:val="single" w:color="000000" w:sz="8" w:space="0"/>
            </w:tcBorders>
            <w:vAlign w:val="center"/>
          </w:tcPr>
          <w:p>
            <w:pPr>
              <w:pStyle w:val="12"/>
              <w:spacing w:before="115"/>
              <w:ind w:left="0" w:right="146"/>
              <w:jc w:val="center"/>
              <w:rPr>
                <w:rFonts w:eastAsia="宋体"/>
                <w:sz w:val="21"/>
                <w:szCs w:val="21"/>
              </w:rPr>
            </w:pPr>
            <w:r>
              <w:rPr>
                <w:rFonts w:eastAsia="宋体"/>
                <w:spacing w:val="-2"/>
                <w:sz w:val="21"/>
                <w:szCs w:val="21"/>
              </w:rPr>
              <w:t>12.50</w:t>
            </w:r>
          </w:p>
        </w:tc>
        <w:tc>
          <w:tcPr>
            <w:tcW w:w="4065" w:type="dxa"/>
            <w:tcBorders>
              <w:top w:val="single" w:color="000000" w:sz="8" w:space="0"/>
              <w:bottom w:val="single" w:color="000000" w:sz="8" w:space="0"/>
            </w:tcBorders>
            <w:vAlign w:val="center"/>
          </w:tcPr>
          <w:p>
            <w:pPr>
              <w:pStyle w:val="12"/>
              <w:ind w:left="104" w:right="270"/>
              <w:jc w:val="both"/>
              <w:rPr>
                <w:rFonts w:eastAsia="宋体"/>
                <w:sz w:val="21"/>
                <w:szCs w:val="21"/>
              </w:rPr>
            </w:pPr>
            <w:r>
              <w:rPr>
                <w:rFonts w:hint="eastAsia" w:eastAsia="宋体"/>
                <w:sz w:val="21"/>
                <w:szCs w:val="21"/>
              </w:rPr>
              <w:t xml:space="preserve">Beck, Demirgüç-Kunt, and Maksimovic </w:t>
            </w:r>
          </w:p>
          <w:p>
            <w:pPr>
              <w:pStyle w:val="12"/>
              <w:ind w:left="104" w:right="270"/>
              <w:jc w:val="both"/>
              <w:rPr>
                <w:rFonts w:eastAsia="宋体"/>
                <w:sz w:val="21"/>
                <w:szCs w:val="21"/>
              </w:rPr>
            </w:pPr>
            <w:r>
              <w:rPr>
                <w:rFonts w:hint="eastAsia" w:eastAsia="宋体"/>
                <w:sz w:val="21"/>
                <w:szCs w:val="21"/>
              </w:rPr>
              <w:t>(2005)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2956" w:type="dxa"/>
            <w:gridSpan w:val="6"/>
            <w:tcBorders>
              <w:top w:val="single" w:color="000000" w:sz="8" w:space="0"/>
              <w:bottom w:val="single" w:color="000000" w:sz="8" w:space="0"/>
            </w:tcBorders>
            <w:shd w:val="clear" w:color="auto" w:fill="E7EBF5"/>
            <w:vAlign w:val="center"/>
          </w:tcPr>
          <w:p>
            <w:pPr>
              <w:pStyle w:val="12"/>
              <w:spacing w:before="36"/>
              <w:ind w:left="439"/>
              <w:jc w:val="both"/>
              <w:rPr>
                <w:rFonts w:eastAsia="宋体"/>
                <w:b/>
                <w:sz w:val="21"/>
                <w:szCs w:val="21"/>
                <w:lang w:eastAsia="zh-CN"/>
              </w:rPr>
            </w:pPr>
            <w:r>
              <w:rPr>
                <w:rFonts w:eastAsia="宋体"/>
                <w:b/>
                <w:sz w:val="21"/>
                <w:szCs w:val="21"/>
                <w:lang w:eastAsia="zh-CN"/>
              </w:rPr>
              <w:t>3.1.3担保利息与信用数据的效率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trPr>
        <w:tc>
          <w:tcPr>
            <w:tcW w:w="5420" w:type="dxa"/>
            <w:tcBorders>
              <w:top w:val="single" w:color="000000" w:sz="8" w:space="0"/>
              <w:bottom w:val="single" w:color="000000" w:sz="8" w:space="0"/>
            </w:tcBorders>
            <w:vAlign w:val="center"/>
          </w:tcPr>
          <w:p>
            <w:pPr>
              <w:pStyle w:val="12"/>
              <w:spacing w:before="189"/>
              <w:jc w:val="both"/>
              <w:rPr>
                <w:rFonts w:eastAsia="宋体"/>
                <w:sz w:val="21"/>
                <w:szCs w:val="21"/>
                <w:lang w:eastAsia="zh-CN"/>
              </w:rPr>
            </w:pPr>
            <w:r>
              <w:rPr>
                <w:rFonts w:eastAsia="宋体"/>
                <w:sz w:val="21"/>
                <w:szCs w:val="21"/>
                <w:lang w:eastAsia="zh-CN"/>
              </w:rPr>
              <w:t>担保权益与信用数据更新效率</w:t>
            </w:r>
          </w:p>
        </w:tc>
        <w:tc>
          <w:tcPr>
            <w:tcW w:w="932" w:type="dxa"/>
            <w:tcBorders>
              <w:top w:val="single" w:color="000000" w:sz="8" w:space="0"/>
              <w:bottom w:val="single" w:color="000000" w:sz="8" w:space="0"/>
            </w:tcBorders>
            <w:vAlign w:val="center"/>
          </w:tcPr>
          <w:p>
            <w:pPr>
              <w:pStyle w:val="12"/>
              <w:spacing w:before="189"/>
              <w:ind w:left="0" w:right="145"/>
              <w:jc w:val="center"/>
              <w:rPr>
                <w:rFonts w:eastAsia="宋体"/>
                <w:sz w:val="21"/>
                <w:szCs w:val="21"/>
              </w:rPr>
            </w:pPr>
            <w:r>
              <w:rPr>
                <w:rFonts w:eastAsia="宋体"/>
                <w:spacing w:val="-5"/>
                <w:sz w:val="21"/>
                <w:szCs w:val="21"/>
              </w:rPr>
              <w:t>25</w:t>
            </w:r>
          </w:p>
        </w:tc>
        <w:tc>
          <w:tcPr>
            <w:tcW w:w="829" w:type="dxa"/>
            <w:tcBorders>
              <w:top w:val="single" w:color="000000" w:sz="8" w:space="0"/>
              <w:bottom w:val="single" w:color="000000" w:sz="8" w:space="0"/>
            </w:tcBorders>
            <w:vAlign w:val="center"/>
          </w:tcPr>
          <w:p>
            <w:pPr>
              <w:pStyle w:val="12"/>
              <w:spacing w:before="189"/>
              <w:ind w:left="94" w:right="57"/>
              <w:jc w:val="center"/>
              <w:rPr>
                <w:rFonts w:eastAsia="宋体"/>
                <w:sz w:val="21"/>
                <w:szCs w:val="21"/>
                <w:lang w:eastAsia="zh-CN"/>
              </w:rPr>
            </w:pPr>
            <w:r>
              <w:rPr>
                <w:rFonts w:eastAsia="宋体"/>
                <w:spacing w:val="-4"/>
                <w:sz w:val="21"/>
                <w:szCs w:val="21"/>
                <w:lang w:eastAsia="zh-CN"/>
              </w:rPr>
              <w:t>不适用</w:t>
            </w:r>
          </w:p>
        </w:tc>
        <w:tc>
          <w:tcPr>
            <w:tcW w:w="737" w:type="dxa"/>
            <w:tcBorders>
              <w:top w:val="single" w:color="000000" w:sz="8" w:space="0"/>
              <w:bottom w:val="single" w:color="000000" w:sz="8" w:space="0"/>
            </w:tcBorders>
            <w:vAlign w:val="center"/>
          </w:tcPr>
          <w:p>
            <w:pPr>
              <w:pStyle w:val="12"/>
              <w:spacing w:before="189"/>
              <w:ind w:left="0" w:right="143"/>
              <w:jc w:val="center"/>
              <w:rPr>
                <w:rFonts w:eastAsia="宋体"/>
                <w:sz w:val="21"/>
                <w:szCs w:val="21"/>
              </w:rPr>
            </w:pPr>
            <w:r>
              <w:rPr>
                <w:rFonts w:eastAsia="宋体"/>
                <w:spacing w:val="-5"/>
                <w:sz w:val="21"/>
                <w:szCs w:val="21"/>
              </w:rPr>
              <w:t>25</w:t>
            </w:r>
          </w:p>
        </w:tc>
        <w:tc>
          <w:tcPr>
            <w:tcW w:w="973" w:type="dxa"/>
            <w:tcBorders>
              <w:top w:val="single" w:color="000000" w:sz="8" w:space="0"/>
              <w:bottom w:val="single" w:color="000000" w:sz="8" w:space="0"/>
            </w:tcBorders>
            <w:vAlign w:val="center"/>
          </w:tcPr>
          <w:p>
            <w:pPr>
              <w:pStyle w:val="12"/>
              <w:spacing w:before="189"/>
              <w:ind w:left="0" w:right="146"/>
              <w:jc w:val="center"/>
              <w:rPr>
                <w:rFonts w:eastAsia="宋体"/>
                <w:sz w:val="21"/>
                <w:szCs w:val="21"/>
              </w:rPr>
            </w:pPr>
            <w:r>
              <w:rPr>
                <w:rFonts w:eastAsia="宋体"/>
                <w:spacing w:val="-2"/>
                <w:sz w:val="21"/>
                <w:szCs w:val="21"/>
              </w:rPr>
              <w:t>12.50</w:t>
            </w:r>
          </w:p>
        </w:tc>
        <w:tc>
          <w:tcPr>
            <w:tcW w:w="4065" w:type="dxa"/>
            <w:tcBorders>
              <w:top w:val="single" w:color="000000" w:sz="8" w:space="0"/>
              <w:bottom w:val="single" w:color="000000" w:sz="8" w:space="0"/>
            </w:tcBorders>
            <w:vAlign w:val="center"/>
          </w:tcPr>
          <w:p>
            <w:pPr>
              <w:pStyle w:val="12"/>
              <w:spacing w:before="82"/>
              <w:ind w:left="104"/>
              <w:jc w:val="both"/>
              <w:rPr>
                <w:rFonts w:eastAsia="宋体"/>
                <w:sz w:val="21"/>
                <w:szCs w:val="21"/>
                <w:lang w:eastAsia="zh-CN"/>
              </w:rPr>
            </w:pPr>
            <w:r>
              <w:rPr>
                <w:rFonts w:hint="eastAsia" w:eastAsia="宋体"/>
                <w:sz w:val="21"/>
                <w:szCs w:val="21"/>
                <w:lang w:eastAsia="zh-CN"/>
              </w:rPr>
              <w:t xml:space="preserve">UNCITRAL (2010, 2014, 2019); </w:t>
            </w:r>
          </w:p>
          <w:p>
            <w:pPr>
              <w:pStyle w:val="12"/>
              <w:spacing w:before="82"/>
              <w:ind w:left="104"/>
              <w:jc w:val="both"/>
              <w:rPr>
                <w:rFonts w:eastAsia="宋体"/>
                <w:sz w:val="21"/>
                <w:szCs w:val="21"/>
              </w:rPr>
            </w:pPr>
            <w:r>
              <w:rPr>
                <w:rFonts w:hint="eastAsia" w:eastAsia="宋体"/>
                <w:sz w:val="21"/>
                <w:szCs w:val="21"/>
                <w:lang w:eastAsia="zh-CN"/>
              </w:rPr>
              <w:t>World Bank Group (2011, 2019a)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2956" w:type="dxa"/>
            <w:gridSpan w:val="6"/>
            <w:tcBorders>
              <w:top w:val="single" w:color="000000" w:sz="8" w:space="0"/>
              <w:bottom w:val="single" w:color="000000" w:sz="8" w:space="0"/>
            </w:tcBorders>
            <w:shd w:val="clear" w:color="auto" w:fill="E7EBF5"/>
            <w:vAlign w:val="center"/>
          </w:tcPr>
          <w:p>
            <w:pPr>
              <w:pStyle w:val="12"/>
              <w:spacing w:before="36"/>
              <w:ind w:left="439"/>
              <w:jc w:val="both"/>
              <w:rPr>
                <w:rFonts w:eastAsia="宋体"/>
                <w:b/>
                <w:sz w:val="21"/>
                <w:szCs w:val="21"/>
                <w:lang w:eastAsia="zh-CN"/>
              </w:rPr>
            </w:pPr>
            <w:r>
              <w:rPr>
                <w:rFonts w:eastAsia="宋体"/>
                <w:b/>
                <w:sz w:val="21"/>
                <w:szCs w:val="21"/>
                <w:lang w:eastAsia="zh-CN"/>
              </w:rPr>
              <w:t>3.1.4获得贷款和其他银行服务的性别差距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20" w:type="dxa"/>
            <w:tcBorders>
              <w:top w:val="single" w:color="000000" w:sz="8" w:space="0"/>
              <w:bottom w:val="single" w:color="000000" w:sz="8" w:space="0"/>
            </w:tcBorders>
            <w:vAlign w:val="center"/>
          </w:tcPr>
          <w:p>
            <w:pPr>
              <w:pStyle w:val="12"/>
              <w:ind w:left="0"/>
              <w:jc w:val="both"/>
              <w:rPr>
                <w:rFonts w:eastAsia="宋体"/>
                <w:sz w:val="21"/>
                <w:szCs w:val="21"/>
                <w:lang w:eastAsia="zh-CN"/>
              </w:rPr>
            </w:pPr>
          </w:p>
          <w:p>
            <w:pPr>
              <w:pStyle w:val="12"/>
              <w:jc w:val="both"/>
              <w:rPr>
                <w:rFonts w:eastAsia="宋体"/>
                <w:sz w:val="21"/>
                <w:szCs w:val="21"/>
                <w:lang w:eastAsia="zh-CN"/>
              </w:rPr>
            </w:pPr>
            <w:r>
              <w:rPr>
                <w:rFonts w:eastAsia="宋体"/>
                <w:sz w:val="21"/>
                <w:szCs w:val="21"/>
                <w:lang w:eastAsia="zh-CN"/>
              </w:rPr>
              <w:t>在获得贷款和其他银行服务方面的性别差距</w:t>
            </w:r>
          </w:p>
        </w:tc>
        <w:tc>
          <w:tcPr>
            <w:tcW w:w="932" w:type="dxa"/>
            <w:tcBorders>
              <w:top w:val="single" w:color="000000" w:sz="8" w:space="0"/>
              <w:bottom w:val="single" w:color="000000" w:sz="8" w:space="0"/>
            </w:tcBorders>
            <w:vAlign w:val="center"/>
          </w:tcPr>
          <w:p>
            <w:pPr>
              <w:pStyle w:val="12"/>
              <w:ind w:left="0"/>
              <w:jc w:val="center"/>
              <w:rPr>
                <w:rFonts w:eastAsia="宋体"/>
                <w:sz w:val="21"/>
                <w:szCs w:val="21"/>
                <w:lang w:eastAsia="zh-CN"/>
              </w:rPr>
            </w:pPr>
          </w:p>
          <w:p>
            <w:pPr>
              <w:pStyle w:val="12"/>
              <w:ind w:left="0" w:right="145"/>
              <w:jc w:val="center"/>
              <w:rPr>
                <w:rFonts w:eastAsia="宋体"/>
                <w:sz w:val="21"/>
                <w:szCs w:val="21"/>
              </w:rPr>
            </w:pPr>
            <w:r>
              <w:rPr>
                <w:rFonts w:eastAsia="宋体"/>
                <w:spacing w:val="-5"/>
                <w:sz w:val="21"/>
                <w:szCs w:val="21"/>
              </w:rPr>
              <w:t>25</w:t>
            </w:r>
          </w:p>
        </w:tc>
        <w:tc>
          <w:tcPr>
            <w:tcW w:w="829" w:type="dxa"/>
            <w:tcBorders>
              <w:top w:val="single" w:color="000000" w:sz="8" w:space="0"/>
              <w:bottom w:val="single" w:color="000000" w:sz="8" w:space="0"/>
            </w:tcBorders>
            <w:vAlign w:val="center"/>
          </w:tcPr>
          <w:p>
            <w:pPr>
              <w:pStyle w:val="12"/>
              <w:ind w:left="0"/>
              <w:jc w:val="center"/>
              <w:rPr>
                <w:rFonts w:eastAsia="宋体"/>
                <w:sz w:val="21"/>
                <w:szCs w:val="21"/>
              </w:rPr>
            </w:pPr>
          </w:p>
          <w:p>
            <w:pPr>
              <w:pStyle w:val="12"/>
              <w:ind w:left="94" w:right="57"/>
              <w:jc w:val="center"/>
              <w:rPr>
                <w:rFonts w:eastAsia="宋体"/>
                <w:sz w:val="21"/>
                <w:szCs w:val="21"/>
                <w:lang w:eastAsia="zh-CN"/>
              </w:rPr>
            </w:pPr>
            <w:r>
              <w:rPr>
                <w:rFonts w:eastAsia="宋体"/>
                <w:spacing w:val="-4"/>
                <w:sz w:val="21"/>
                <w:szCs w:val="21"/>
                <w:lang w:eastAsia="zh-CN"/>
              </w:rPr>
              <w:t>不适用</w:t>
            </w:r>
          </w:p>
        </w:tc>
        <w:tc>
          <w:tcPr>
            <w:tcW w:w="737" w:type="dxa"/>
            <w:tcBorders>
              <w:top w:val="single" w:color="000000" w:sz="8" w:space="0"/>
              <w:bottom w:val="single" w:color="000000" w:sz="8" w:space="0"/>
            </w:tcBorders>
            <w:vAlign w:val="center"/>
          </w:tcPr>
          <w:p>
            <w:pPr>
              <w:pStyle w:val="12"/>
              <w:ind w:left="0"/>
              <w:jc w:val="center"/>
              <w:rPr>
                <w:rFonts w:eastAsia="宋体"/>
                <w:sz w:val="21"/>
                <w:szCs w:val="21"/>
              </w:rPr>
            </w:pPr>
          </w:p>
          <w:p>
            <w:pPr>
              <w:pStyle w:val="12"/>
              <w:ind w:left="0" w:right="143"/>
              <w:jc w:val="center"/>
              <w:rPr>
                <w:rFonts w:eastAsia="宋体"/>
                <w:sz w:val="21"/>
                <w:szCs w:val="21"/>
              </w:rPr>
            </w:pPr>
            <w:r>
              <w:rPr>
                <w:rFonts w:eastAsia="宋体"/>
                <w:spacing w:val="-5"/>
                <w:sz w:val="21"/>
                <w:szCs w:val="21"/>
              </w:rPr>
              <w:t>25</w:t>
            </w:r>
          </w:p>
        </w:tc>
        <w:tc>
          <w:tcPr>
            <w:tcW w:w="973" w:type="dxa"/>
            <w:tcBorders>
              <w:top w:val="single" w:color="000000" w:sz="8" w:space="0"/>
              <w:bottom w:val="single" w:color="000000" w:sz="8" w:space="0"/>
            </w:tcBorders>
            <w:vAlign w:val="center"/>
          </w:tcPr>
          <w:p>
            <w:pPr>
              <w:pStyle w:val="12"/>
              <w:ind w:left="0"/>
              <w:jc w:val="center"/>
              <w:rPr>
                <w:rFonts w:eastAsia="宋体"/>
                <w:sz w:val="21"/>
                <w:szCs w:val="21"/>
              </w:rPr>
            </w:pPr>
          </w:p>
          <w:p>
            <w:pPr>
              <w:pStyle w:val="12"/>
              <w:ind w:left="0" w:right="146"/>
              <w:jc w:val="center"/>
              <w:rPr>
                <w:rFonts w:eastAsia="宋体"/>
                <w:sz w:val="21"/>
                <w:szCs w:val="21"/>
              </w:rPr>
            </w:pPr>
            <w:r>
              <w:rPr>
                <w:rFonts w:eastAsia="宋体"/>
                <w:spacing w:val="-2"/>
                <w:sz w:val="21"/>
                <w:szCs w:val="21"/>
              </w:rPr>
              <w:t>12.50</w:t>
            </w:r>
          </w:p>
        </w:tc>
        <w:tc>
          <w:tcPr>
            <w:tcW w:w="4065" w:type="dxa"/>
            <w:tcBorders>
              <w:top w:val="single" w:color="000000" w:sz="8" w:space="0"/>
              <w:bottom w:val="single" w:color="000000" w:sz="8" w:space="0"/>
            </w:tcBorders>
            <w:vAlign w:val="center"/>
          </w:tcPr>
          <w:p>
            <w:pPr>
              <w:pStyle w:val="12"/>
              <w:ind w:left="104" w:right="359"/>
              <w:jc w:val="both"/>
              <w:rPr>
                <w:rFonts w:eastAsia="宋体"/>
                <w:sz w:val="21"/>
                <w:szCs w:val="21"/>
              </w:rPr>
            </w:pPr>
            <w:r>
              <w:rPr>
                <w:rFonts w:hint="eastAsia" w:eastAsia="宋体"/>
                <w:sz w:val="21"/>
                <w:szCs w:val="21"/>
              </w:rPr>
              <w:t>Beck, Demirgüç-Kunt, and Honohan (2009); Demirgüç-Kunt, Beck, and Honohan (2008);World Bank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20" w:type="dxa"/>
            <w:tcBorders>
              <w:top w:val="single" w:color="000000" w:sz="8" w:space="0"/>
              <w:bottom w:val="single" w:color="000000" w:sz="8" w:space="0"/>
              <w:right w:val="single" w:color="000000" w:sz="8" w:space="0"/>
            </w:tcBorders>
            <w:shd w:val="clear" w:color="auto" w:fill="FFC000"/>
          </w:tcPr>
          <w:p>
            <w:pPr>
              <w:pStyle w:val="12"/>
              <w:spacing w:before="36"/>
              <w:ind w:left="102"/>
              <w:rPr>
                <w:rFonts w:eastAsia="宋体"/>
                <w:b/>
                <w:sz w:val="21"/>
                <w:szCs w:val="21"/>
              </w:rPr>
            </w:pPr>
            <w:r>
              <w:rPr>
                <w:rFonts w:eastAsia="宋体"/>
                <w:b/>
                <w:sz w:val="21"/>
                <w:szCs w:val="21"/>
              </w:rPr>
              <w:t>3.1类总分</w:t>
            </w:r>
          </w:p>
        </w:tc>
        <w:tc>
          <w:tcPr>
            <w:tcW w:w="932" w:type="dxa"/>
            <w:tcBorders>
              <w:top w:val="single" w:color="000000" w:sz="8" w:space="0"/>
              <w:left w:val="single" w:color="000000" w:sz="8" w:space="0"/>
              <w:bottom w:val="single" w:color="000000" w:sz="8" w:space="0"/>
            </w:tcBorders>
            <w:shd w:val="clear" w:color="auto" w:fill="FFC000"/>
            <w:vAlign w:val="center"/>
          </w:tcPr>
          <w:p>
            <w:pPr>
              <w:pStyle w:val="12"/>
              <w:spacing w:before="36"/>
              <w:ind w:left="0" w:right="140"/>
              <w:jc w:val="center"/>
              <w:rPr>
                <w:rFonts w:eastAsia="宋体"/>
                <w:b/>
                <w:sz w:val="21"/>
                <w:szCs w:val="21"/>
              </w:rPr>
            </w:pPr>
            <w:r>
              <w:rPr>
                <w:rFonts w:eastAsia="宋体"/>
                <w:b/>
                <w:spacing w:val="-5"/>
                <w:sz w:val="21"/>
                <w:szCs w:val="21"/>
                <w:lang w:eastAsia="zh-CN"/>
              </w:rPr>
              <w:t>100</w:t>
            </w:r>
            <w:r>
              <w:rPr>
                <w:rFonts w:eastAsia="宋体"/>
                <w:b/>
                <w:spacing w:val="-5"/>
                <w:sz w:val="21"/>
                <w:szCs w:val="21"/>
              </w:rPr>
              <w:t>.</w:t>
            </w:r>
          </w:p>
        </w:tc>
        <w:tc>
          <w:tcPr>
            <w:tcW w:w="829" w:type="dxa"/>
            <w:tcBorders>
              <w:top w:val="single" w:color="000000" w:sz="8" w:space="0"/>
              <w:bottom w:val="single" w:color="000000" w:sz="8" w:space="0"/>
            </w:tcBorders>
            <w:shd w:val="clear" w:color="auto" w:fill="FFC000"/>
            <w:vAlign w:val="center"/>
          </w:tcPr>
          <w:p>
            <w:pPr>
              <w:pStyle w:val="12"/>
              <w:spacing w:before="36"/>
              <w:ind w:left="94" w:right="83"/>
              <w:jc w:val="center"/>
              <w:rPr>
                <w:rFonts w:eastAsia="宋体"/>
                <w:b/>
                <w:sz w:val="21"/>
                <w:szCs w:val="21"/>
                <w:lang w:eastAsia="zh-CN"/>
              </w:rPr>
            </w:pPr>
            <w:r>
              <w:rPr>
                <w:rFonts w:eastAsia="宋体"/>
                <w:b/>
                <w:spacing w:val="-4"/>
                <w:sz w:val="21"/>
                <w:szCs w:val="21"/>
                <w:lang w:eastAsia="zh-CN"/>
              </w:rPr>
              <w:t>不适用</w:t>
            </w:r>
          </w:p>
        </w:tc>
        <w:tc>
          <w:tcPr>
            <w:tcW w:w="737" w:type="dxa"/>
            <w:tcBorders>
              <w:top w:val="single" w:color="000000" w:sz="8" w:space="0"/>
              <w:bottom w:val="single" w:color="000000" w:sz="8" w:space="0"/>
            </w:tcBorders>
            <w:shd w:val="clear" w:color="auto" w:fill="FFC000"/>
            <w:vAlign w:val="center"/>
          </w:tcPr>
          <w:p>
            <w:pPr>
              <w:pStyle w:val="12"/>
              <w:spacing w:before="36"/>
              <w:ind w:left="0" w:right="143"/>
              <w:jc w:val="center"/>
              <w:rPr>
                <w:rFonts w:eastAsia="宋体"/>
                <w:b/>
                <w:sz w:val="21"/>
                <w:szCs w:val="21"/>
              </w:rPr>
            </w:pPr>
            <w:r>
              <w:rPr>
                <w:rFonts w:eastAsia="宋体"/>
                <w:b/>
                <w:spacing w:val="-5"/>
                <w:sz w:val="21"/>
                <w:szCs w:val="21"/>
                <w:lang w:eastAsia="zh-CN"/>
              </w:rPr>
              <w:t>100</w:t>
            </w:r>
            <w:r>
              <w:rPr>
                <w:rFonts w:eastAsia="宋体"/>
                <w:b/>
                <w:spacing w:val="-5"/>
                <w:sz w:val="21"/>
                <w:szCs w:val="21"/>
              </w:rPr>
              <w:t>.</w:t>
            </w:r>
          </w:p>
        </w:tc>
        <w:tc>
          <w:tcPr>
            <w:tcW w:w="973" w:type="dxa"/>
            <w:tcBorders>
              <w:top w:val="single" w:color="000000" w:sz="8" w:space="0"/>
              <w:bottom w:val="single" w:color="000000" w:sz="8" w:space="0"/>
            </w:tcBorders>
            <w:shd w:val="clear" w:color="auto" w:fill="FFC000"/>
            <w:vAlign w:val="center"/>
          </w:tcPr>
          <w:p>
            <w:pPr>
              <w:pStyle w:val="12"/>
              <w:spacing w:before="36"/>
              <w:ind w:left="0" w:right="180"/>
              <w:jc w:val="center"/>
              <w:rPr>
                <w:rFonts w:eastAsia="宋体"/>
                <w:b/>
                <w:sz w:val="21"/>
                <w:szCs w:val="21"/>
              </w:rPr>
            </w:pPr>
            <w:r>
              <w:rPr>
                <w:rFonts w:eastAsia="宋体"/>
                <w:b/>
                <w:spacing w:val="-4"/>
                <w:sz w:val="21"/>
                <w:szCs w:val="21"/>
              </w:rPr>
              <w:t>50.0</w:t>
            </w:r>
          </w:p>
        </w:tc>
        <w:tc>
          <w:tcPr>
            <w:tcW w:w="4065" w:type="dxa"/>
            <w:tcBorders>
              <w:top w:val="single" w:color="000000" w:sz="8" w:space="0"/>
              <w:bottom w:val="single" w:color="000000" w:sz="8" w:space="0"/>
            </w:tcBorders>
            <w:shd w:val="clear" w:color="auto" w:fill="FFC000"/>
          </w:tcPr>
          <w:p>
            <w:pPr>
              <w:pStyle w:val="12"/>
              <w:ind w:left="0"/>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2956" w:type="dxa"/>
            <w:gridSpan w:val="6"/>
            <w:tcBorders>
              <w:top w:val="single" w:color="000000" w:sz="8" w:space="0"/>
            </w:tcBorders>
            <w:shd w:val="clear" w:color="auto" w:fill="CCD4EA"/>
            <w:vAlign w:val="center"/>
          </w:tcPr>
          <w:p>
            <w:pPr>
              <w:pStyle w:val="12"/>
              <w:spacing w:before="36"/>
              <w:jc w:val="both"/>
              <w:rPr>
                <w:rFonts w:eastAsia="宋体"/>
                <w:b/>
                <w:sz w:val="21"/>
                <w:szCs w:val="21"/>
              </w:rPr>
            </w:pPr>
            <w:r>
              <w:rPr>
                <w:rFonts w:eastAsia="宋体"/>
                <w:b/>
                <w:sz w:val="21"/>
                <w:szCs w:val="21"/>
              </w:rPr>
              <w:t>3.2</w:t>
            </w:r>
            <w:r>
              <w:rPr>
                <w:rFonts w:eastAsia="宋体"/>
                <w:b/>
                <w:sz w:val="21"/>
                <w:szCs w:val="21"/>
                <w:lang w:eastAsia="zh-CN"/>
              </w:rPr>
              <w:t>电子</w:t>
            </w:r>
            <w:r>
              <w:rPr>
                <w:rFonts w:eastAsia="宋体"/>
                <w:b/>
                <w:sz w:val="21"/>
                <w:szCs w:val="21"/>
              </w:rPr>
              <w:t>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2956" w:type="dxa"/>
            <w:gridSpan w:val="6"/>
            <w:tcBorders>
              <w:bottom w:val="single" w:color="000000" w:sz="8" w:space="0"/>
            </w:tcBorders>
            <w:shd w:val="clear" w:color="auto" w:fill="E7EBF5"/>
            <w:vAlign w:val="center"/>
          </w:tcPr>
          <w:p>
            <w:pPr>
              <w:pStyle w:val="12"/>
              <w:spacing w:before="34"/>
              <w:ind w:left="439"/>
              <w:jc w:val="both"/>
              <w:rPr>
                <w:rFonts w:eastAsia="宋体"/>
                <w:b/>
                <w:sz w:val="21"/>
                <w:szCs w:val="21"/>
              </w:rPr>
            </w:pPr>
            <w:r>
              <w:rPr>
                <w:rFonts w:eastAsia="宋体"/>
                <w:b/>
                <w:sz w:val="21"/>
                <w:szCs w:val="21"/>
              </w:rPr>
              <w:t>3.2.1接收电子支付的成本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20" w:type="dxa"/>
            <w:tcBorders>
              <w:top w:val="single" w:color="000000" w:sz="8" w:space="0"/>
              <w:bottom w:val="single" w:color="000000" w:sz="8" w:space="0"/>
            </w:tcBorders>
            <w:vAlign w:val="center"/>
          </w:tcPr>
          <w:p>
            <w:pPr>
              <w:pStyle w:val="12"/>
              <w:spacing w:before="36"/>
              <w:jc w:val="both"/>
              <w:rPr>
                <w:rFonts w:eastAsia="宋体"/>
                <w:sz w:val="21"/>
                <w:szCs w:val="21"/>
              </w:rPr>
            </w:pPr>
            <w:r>
              <w:rPr>
                <w:rFonts w:eastAsia="宋体"/>
                <w:sz w:val="21"/>
                <w:szCs w:val="21"/>
              </w:rPr>
              <w:t>接收电子支付的成本</w:t>
            </w:r>
          </w:p>
        </w:tc>
        <w:tc>
          <w:tcPr>
            <w:tcW w:w="932" w:type="dxa"/>
            <w:tcBorders>
              <w:top w:val="single" w:color="000000" w:sz="8" w:space="0"/>
              <w:bottom w:val="single" w:color="000000" w:sz="8" w:space="0"/>
            </w:tcBorders>
            <w:vAlign w:val="center"/>
          </w:tcPr>
          <w:p>
            <w:pPr>
              <w:pStyle w:val="12"/>
              <w:spacing w:before="36"/>
              <w:ind w:left="0" w:right="147"/>
              <w:jc w:val="center"/>
              <w:rPr>
                <w:rFonts w:eastAsia="宋体"/>
                <w:sz w:val="21"/>
                <w:szCs w:val="21"/>
              </w:rPr>
            </w:pPr>
            <w:r>
              <w:rPr>
                <w:rFonts w:eastAsia="宋体"/>
                <w:spacing w:val="-4"/>
                <w:sz w:val="21"/>
                <w:szCs w:val="21"/>
              </w:rPr>
              <w:t>6.67</w:t>
            </w:r>
          </w:p>
        </w:tc>
        <w:tc>
          <w:tcPr>
            <w:tcW w:w="829" w:type="dxa"/>
            <w:tcBorders>
              <w:top w:val="single" w:color="000000" w:sz="8" w:space="0"/>
              <w:bottom w:val="single" w:color="000000" w:sz="8" w:space="0"/>
            </w:tcBorders>
            <w:vAlign w:val="center"/>
          </w:tcPr>
          <w:p>
            <w:pPr>
              <w:pStyle w:val="12"/>
              <w:spacing w:before="36"/>
              <w:ind w:left="94" w:right="57"/>
              <w:jc w:val="center"/>
              <w:rPr>
                <w:rFonts w:eastAsia="宋体"/>
                <w:sz w:val="21"/>
                <w:szCs w:val="21"/>
                <w:lang w:eastAsia="zh-CN"/>
              </w:rPr>
            </w:pPr>
            <w:r>
              <w:rPr>
                <w:rFonts w:eastAsia="宋体"/>
                <w:spacing w:val="-4"/>
                <w:sz w:val="21"/>
                <w:szCs w:val="21"/>
                <w:lang w:eastAsia="zh-CN"/>
              </w:rPr>
              <w:t>不适用</w:t>
            </w:r>
          </w:p>
        </w:tc>
        <w:tc>
          <w:tcPr>
            <w:tcW w:w="737" w:type="dxa"/>
            <w:tcBorders>
              <w:top w:val="single" w:color="000000" w:sz="8" w:space="0"/>
              <w:bottom w:val="single" w:color="000000" w:sz="8" w:space="0"/>
            </w:tcBorders>
            <w:vAlign w:val="center"/>
          </w:tcPr>
          <w:p>
            <w:pPr>
              <w:pStyle w:val="12"/>
              <w:spacing w:before="36"/>
              <w:ind w:left="0" w:right="143"/>
              <w:jc w:val="center"/>
              <w:rPr>
                <w:rFonts w:eastAsia="宋体"/>
                <w:sz w:val="21"/>
                <w:szCs w:val="21"/>
              </w:rPr>
            </w:pPr>
            <w:r>
              <w:rPr>
                <w:rFonts w:eastAsia="宋体"/>
                <w:spacing w:val="-2"/>
                <w:sz w:val="21"/>
                <w:szCs w:val="21"/>
              </w:rPr>
              <w:t>16.67</w:t>
            </w:r>
          </w:p>
        </w:tc>
        <w:tc>
          <w:tcPr>
            <w:tcW w:w="973" w:type="dxa"/>
            <w:tcBorders>
              <w:top w:val="single" w:color="000000" w:sz="8" w:space="0"/>
              <w:bottom w:val="single" w:color="000000" w:sz="8" w:space="0"/>
            </w:tcBorders>
            <w:vAlign w:val="center"/>
          </w:tcPr>
          <w:p>
            <w:pPr>
              <w:pStyle w:val="12"/>
              <w:spacing w:before="36"/>
              <w:ind w:left="0" w:right="148"/>
              <w:jc w:val="center"/>
              <w:rPr>
                <w:rFonts w:eastAsia="宋体"/>
                <w:sz w:val="21"/>
                <w:szCs w:val="21"/>
              </w:rPr>
            </w:pPr>
            <w:r>
              <w:rPr>
                <w:rFonts w:eastAsia="宋体"/>
                <w:spacing w:val="-4"/>
                <w:sz w:val="21"/>
                <w:szCs w:val="21"/>
              </w:rPr>
              <w:t>8.33</w:t>
            </w:r>
          </w:p>
        </w:tc>
        <w:tc>
          <w:tcPr>
            <w:tcW w:w="4065" w:type="dxa"/>
            <w:tcBorders>
              <w:top w:val="single" w:color="000000" w:sz="8" w:space="0"/>
              <w:bottom w:val="single" w:color="000000" w:sz="8" w:space="0"/>
            </w:tcBorders>
            <w:vAlign w:val="center"/>
          </w:tcPr>
          <w:p>
            <w:pPr>
              <w:pStyle w:val="12"/>
              <w:spacing w:before="36"/>
              <w:ind w:left="104"/>
              <w:jc w:val="both"/>
              <w:rPr>
                <w:rFonts w:eastAsia="宋体"/>
                <w:sz w:val="21"/>
                <w:szCs w:val="21"/>
              </w:rPr>
            </w:pPr>
            <w:r>
              <w:rPr>
                <w:rFonts w:hint="eastAsia" w:eastAsia="宋体"/>
                <w:sz w:val="21"/>
                <w:szCs w:val="21"/>
              </w:rPr>
              <w:t>World Bank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5420" w:type="dxa"/>
            <w:tcBorders>
              <w:top w:val="single" w:color="000000" w:sz="8" w:space="0"/>
              <w:bottom w:val="single" w:color="000000" w:sz="8" w:space="0"/>
              <w:right w:val="nil"/>
            </w:tcBorders>
            <w:shd w:val="clear" w:color="auto" w:fill="E7EBF5"/>
            <w:vAlign w:val="center"/>
          </w:tcPr>
          <w:p>
            <w:pPr>
              <w:pStyle w:val="12"/>
              <w:spacing w:before="36"/>
              <w:ind w:left="439"/>
              <w:jc w:val="both"/>
              <w:rPr>
                <w:rFonts w:eastAsia="宋体"/>
                <w:b/>
                <w:sz w:val="21"/>
                <w:szCs w:val="21"/>
              </w:rPr>
            </w:pPr>
            <w:r>
              <w:rPr>
                <w:rFonts w:eastAsia="宋体"/>
                <w:b/>
                <w:sz w:val="21"/>
                <w:szCs w:val="21"/>
              </w:rPr>
              <w:t>3.2.2电子支付成本</w:t>
            </w:r>
          </w:p>
        </w:tc>
        <w:tc>
          <w:tcPr>
            <w:tcW w:w="7536" w:type="dxa"/>
            <w:gridSpan w:val="5"/>
            <w:tcBorders>
              <w:top w:val="single" w:color="000000" w:sz="8" w:space="0"/>
              <w:left w:val="nil"/>
              <w:bottom w:val="single" w:color="000000" w:sz="8" w:space="0"/>
            </w:tcBorders>
            <w:shd w:val="clear" w:color="auto" w:fill="D9E1F3"/>
            <w:vAlign w:val="center"/>
          </w:tcPr>
          <w:p>
            <w:pPr>
              <w:pStyle w:val="12"/>
              <w:ind w:left="0"/>
              <w:jc w:val="both"/>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20" w:type="dxa"/>
            <w:tcBorders>
              <w:top w:val="single" w:color="000000" w:sz="8" w:space="0"/>
              <w:bottom w:val="single" w:color="000000" w:sz="8" w:space="0"/>
            </w:tcBorders>
            <w:vAlign w:val="center"/>
          </w:tcPr>
          <w:p>
            <w:pPr>
              <w:pStyle w:val="12"/>
              <w:spacing w:before="33"/>
              <w:jc w:val="both"/>
              <w:rPr>
                <w:rFonts w:eastAsia="宋体"/>
                <w:sz w:val="21"/>
                <w:szCs w:val="21"/>
              </w:rPr>
            </w:pPr>
            <w:r>
              <w:rPr>
                <w:rFonts w:eastAsia="宋体"/>
                <w:sz w:val="21"/>
                <w:szCs w:val="21"/>
              </w:rPr>
              <w:t>进行电子支付的成本</w:t>
            </w:r>
          </w:p>
        </w:tc>
        <w:tc>
          <w:tcPr>
            <w:tcW w:w="932" w:type="dxa"/>
            <w:tcBorders>
              <w:top w:val="single" w:color="000000" w:sz="8" w:space="0"/>
              <w:bottom w:val="single" w:color="000000" w:sz="8" w:space="0"/>
            </w:tcBorders>
            <w:vAlign w:val="center"/>
          </w:tcPr>
          <w:p>
            <w:pPr>
              <w:pStyle w:val="12"/>
              <w:spacing w:before="33"/>
              <w:ind w:left="0" w:right="144"/>
              <w:jc w:val="center"/>
              <w:rPr>
                <w:rFonts w:eastAsia="宋体"/>
                <w:sz w:val="21"/>
                <w:szCs w:val="21"/>
              </w:rPr>
            </w:pPr>
            <w:r>
              <w:rPr>
                <w:rFonts w:eastAsia="宋体"/>
                <w:spacing w:val="-2"/>
                <w:sz w:val="21"/>
                <w:szCs w:val="21"/>
              </w:rPr>
              <w:t>16.67</w:t>
            </w:r>
          </w:p>
        </w:tc>
        <w:tc>
          <w:tcPr>
            <w:tcW w:w="829" w:type="dxa"/>
            <w:tcBorders>
              <w:top w:val="single" w:color="000000" w:sz="8" w:space="0"/>
              <w:bottom w:val="single" w:color="000000" w:sz="8" w:space="0"/>
            </w:tcBorders>
            <w:vAlign w:val="center"/>
          </w:tcPr>
          <w:p>
            <w:pPr>
              <w:pStyle w:val="12"/>
              <w:spacing w:before="33"/>
              <w:ind w:left="94" w:right="57"/>
              <w:jc w:val="center"/>
              <w:rPr>
                <w:rFonts w:eastAsia="宋体"/>
                <w:sz w:val="21"/>
                <w:szCs w:val="21"/>
                <w:lang w:eastAsia="zh-CN"/>
              </w:rPr>
            </w:pPr>
            <w:r>
              <w:rPr>
                <w:rFonts w:eastAsia="宋体"/>
                <w:spacing w:val="-4"/>
                <w:sz w:val="21"/>
                <w:szCs w:val="21"/>
                <w:lang w:eastAsia="zh-CN"/>
              </w:rPr>
              <w:t>不适用</w:t>
            </w:r>
          </w:p>
        </w:tc>
        <w:tc>
          <w:tcPr>
            <w:tcW w:w="737" w:type="dxa"/>
            <w:tcBorders>
              <w:top w:val="single" w:color="000000" w:sz="8" w:space="0"/>
              <w:bottom w:val="single" w:color="000000" w:sz="8" w:space="0"/>
            </w:tcBorders>
            <w:vAlign w:val="center"/>
          </w:tcPr>
          <w:p>
            <w:pPr>
              <w:pStyle w:val="12"/>
              <w:spacing w:before="33"/>
              <w:ind w:left="0" w:right="143"/>
              <w:jc w:val="center"/>
              <w:rPr>
                <w:rFonts w:eastAsia="宋体"/>
                <w:sz w:val="21"/>
                <w:szCs w:val="21"/>
              </w:rPr>
            </w:pPr>
            <w:r>
              <w:rPr>
                <w:rFonts w:eastAsia="宋体"/>
                <w:spacing w:val="-2"/>
                <w:sz w:val="21"/>
                <w:szCs w:val="21"/>
              </w:rPr>
              <w:t>16.67</w:t>
            </w:r>
          </w:p>
        </w:tc>
        <w:tc>
          <w:tcPr>
            <w:tcW w:w="973" w:type="dxa"/>
            <w:tcBorders>
              <w:top w:val="single" w:color="000000" w:sz="8" w:space="0"/>
              <w:bottom w:val="single" w:color="000000" w:sz="8" w:space="0"/>
            </w:tcBorders>
            <w:vAlign w:val="center"/>
          </w:tcPr>
          <w:p>
            <w:pPr>
              <w:pStyle w:val="12"/>
              <w:spacing w:before="33"/>
              <w:ind w:left="0" w:right="148"/>
              <w:jc w:val="center"/>
              <w:rPr>
                <w:rFonts w:eastAsia="宋体"/>
                <w:sz w:val="21"/>
                <w:szCs w:val="21"/>
              </w:rPr>
            </w:pPr>
            <w:r>
              <w:rPr>
                <w:rFonts w:eastAsia="宋体"/>
                <w:spacing w:val="-4"/>
                <w:sz w:val="21"/>
                <w:szCs w:val="21"/>
              </w:rPr>
              <w:t>8.33</w:t>
            </w:r>
          </w:p>
        </w:tc>
        <w:tc>
          <w:tcPr>
            <w:tcW w:w="4065" w:type="dxa"/>
            <w:tcBorders>
              <w:top w:val="single" w:color="000000" w:sz="8" w:space="0"/>
              <w:bottom w:val="single" w:color="000000" w:sz="8" w:space="0"/>
            </w:tcBorders>
            <w:vAlign w:val="center"/>
          </w:tcPr>
          <w:p>
            <w:pPr>
              <w:pStyle w:val="12"/>
              <w:spacing w:before="33"/>
              <w:ind w:left="104"/>
              <w:jc w:val="both"/>
              <w:rPr>
                <w:rFonts w:eastAsia="宋体"/>
                <w:sz w:val="21"/>
                <w:szCs w:val="21"/>
              </w:rPr>
            </w:pPr>
            <w:r>
              <w:rPr>
                <w:rFonts w:hint="eastAsia" w:eastAsia="宋体"/>
                <w:sz w:val="21"/>
                <w:szCs w:val="21"/>
              </w:rPr>
              <w:t>World Bank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2956" w:type="dxa"/>
            <w:gridSpan w:val="6"/>
            <w:tcBorders>
              <w:top w:val="single" w:color="000000" w:sz="8" w:space="0"/>
              <w:bottom w:val="single" w:color="000000" w:sz="8" w:space="0"/>
            </w:tcBorders>
            <w:shd w:val="clear" w:color="auto" w:fill="E7EBF5"/>
            <w:vAlign w:val="center"/>
          </w:tcPr>
          <w:p>
            <w:pPr>
              <w:pStyle w:val="12"/>
              <w:spacing w:before="36"/>
              <w:ind w:left="439"/>
              <w:jc w:val="both"/>
              <w:rPr>
                <w:rFonts w:eastAsia="宋体"/>
                <w:b/>
                <w:sz w:val="21"/>
                <w:szCs w:val="21"/>
              </w:rPr>
            </w:pPr>
            <w:r>
              <w:rPr>
                <w:rFonts w:eastAsia="宋体"/>
                <w:b/>
                <w:sz w:val="21"/>
                <w:szCs w:val="21"/>
              </w:rPr>
              <w:t>3.2.3接收电子支付的时间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420" w:type="dxa"/>
            <w:tcBorders>
              <w:top w:val="single" w:color="000000" w:sz="8" w:space="0"/>
              <w:bottom w:val="single" w:color="000000" w:sz="8" w:space="0"/>
            </w:tcBorders>
            <w:vAlign w:val="center"/>
          </w:tcPr>
          <w:p>
            <w:pPr>
              <w:pStyle w:val="12"/>
              <w:spacing w:before="36"/>
              <w:jc w:val="both"/>
              <w:rPr>
                <w:rFonts w:eastAsia="宋体"/>
                <w:sz w:val="21"/>
                <w:szCs w:val="21"/>
              </w:rPr>
            </w:pPr>
            <w:r>
              <w:rPr>
                <w:rFonts w:eastAsia="宋体"/>
                <w:sz w:val="21"/>
                <w:szCs w:val="21"/>
              </w:rPr>
              <w:t>接收电子支付的时间</w:t>
            </w:r>
          </w:p>
        </w:tc>
        <w:tc>
          <w:tcPr>
            <w:tcW w:w="932" w:type="dxa"/>
            <w:tcBorders>
              <w:top w:val="single" w:color="000000" w:sz="8" w:space="0"/>
              <w:bottom w:val="single" w:color="000000" w:sz="8" w:space="0"/>
            </w:tcBorders>
            <w:vAlign w:val="center"/>
          </w:tcPr>
          <w:p>
            <w:pPr>
              <w:pStyle w:val="12"/>
              <w:spacing w:before="36"/>
              <w:ind w:left="0" w:right="144"/>
              <w:jc w:val="center"/>
              <w:rPr>
                <w:rFonts w:eastAsia="宋体"/>
                <w:sz w:val="21"/>
                <w:szCs w:val="21"/>
              </w:rPr>
            </w:pPr>
            <w:r>
              <w:rPr>
                <w:rFonts w:eastAsia="宋体"/>
                <w:spacing w:val="-2"/>
                <w:sz w:val="21"/>
                <w:szCs w:val="21"/>
              </w:rPr>
              <w:t>16.67</w:t>
            </w:r>
          </w:p>
        </w:tc>
        <w:tc>
          <w:tcPr>
            <w:tcW w:w="829" w:type="dxa"/>
            <w:tcBorders>
              <w:top w:val="single" w:color="000000" w:sz="8" w:space="0"/>
              <w:bottom w:val="single" w:color="000000" w:sz="8" w:space="0"/>
            </w:tcBorders>
            <w:vAlign w:val="center"/>
          </w:tcPr>
          <w:p>
            <w:pPr>
              <w:pStyle w:val="12"/>
              <w:spacing w:before="36"/>
              <w:ind w:left="94" w:right="57"/>
              <w:jc w:val="center"/>
              <w:rPr>
                <w:rFonts w:eastAsia="宋体"/>
                <w:sz w:val="21"/>
                <w:szCs w:val="21"/>
                <w:lang w:eastAsia="zh-CN"/>
              </w:rPr>
            </w:pPr>
            <w:r>
              <w:rPr>
                <w:rFonts w:eastAsia="宋体"/>
                <w:spacing w:val="-4"/>
                <w:sz w:val="21"/>
                <w:szCs w:val="21"/>
                <w:lang w:eastAsia="zh-CN"/>
              </w:rPr>
              <w:t>不适用</w:t>
            </w:r>
          </w:p>
        </w:tc>
        <w:tc>
          <w:tcPr>
            <w:tcW w:w="737" w:type="dxa"/>
            <w:tcBorders>
              <w:top w:val="single" w:color="000000" w:sz="8" w:space="0"/>
              <w:bottom w:val="single" w:color="000000" w:sz="8" w:space="0"/>
            </w:tcBorders>
            <w:vAlign w:val="center"/>
          </w:tcPr>
          <w:p>
            <w:pPr>
              <w:pStyle w:val="12"/>
              <w:spacing w:before="36"/>
              <w:ind w:left="0" w:right="143"/>
              <w:jc w:val="center"/>
              <w:rPr>
                <w:rFonts w:eastAsia="宋体"/>
                <w:sz w:val="21"/>
                <w:szCs w:val="21"/>
              </w:rPr>
            </w:pPr>
            <w:r>
              <w:rPr>
                <w:rFonts w:eastAsia="宋体"/>
                <w:spacing w:val="-2"/>
                <w:sz w:val="21"/>
                <w:szCs w:val="21"/>
              </w:rPr>
              <w:t>16.67</w:t>
            </w:r>
          </w:p>
        </w:tc>
        <w:tc>
          <w:tcPr>
            <w:tcW w:w="973" w:type="dxa"/>
            <w:tcBorders>
              <w:top w:val="single" w:color="000000" w:sz="8" w:space="0"/>
              <w:bottom w:val="single" w:color="000000" w:sz="8" w:space="0"/>
            </w:tcBorders>
            <w:vAlign w:val="center"/>
          </w:tcPr>
          <w:p>
            <w:pPr>
              <w:pStyle w:val="12"/>
              <w:spacing w:before="36"/>
              <w:ind w:left="0" w:right="148"/>
              <w:jc w:val="center"/>
              <w:rPr>
                <w:rFonts w:eastAsia="宋体"/>
                <w:sz w:val="21"/>
                <w:szCs w:val="21"/>
              </w:rPr>
            </w:pPr>
            <w:r>
              <w:rPr>
                <w:rFonts w:eastAsia="宋体"/>
                <w:spacing w:val="-4"/>
                <w:sz w:val="21"/>
                <w:szCs w:val="21"/>
              </w:rPr>
              <w:t>8.33</w:t>
            </w:r>
          </w:p>
        </w:tc>
        <w:tc>
          <w:tcPr>
            <w:tcW w:w="4065" w:type="dxa"/>
            <w:tcBorders>
              <w:top w:val="single" w:color="000000" w:sz="8" w:space="0"/>
              <w:bottom w:val="single" w:color="000000" w:sz="8" w:space="0"/>
            </w:tcBorders>
            <w:vAlign w:val="center"/>
          </w:tcPr>
          <w:p>
            <w:pPr>
              <w:pStyle w:val="12"/>
              <w:spacing w:before="36"/>
              <w:ind w:left="104"/>
              <w:jc w:val="both"/>
              <w:rPr>
                <w:rFonts w:eastAsia="宋体"/>
                <w:sz w:val="21"/>
                <w:szCs w:val="21"/>
              </w:rPr>
            </w:pPr>
            <w:r>
              <w:rPr>
                <w:rFonts w:hint="eastAsia" w:eastAsia="宋体"/>
                <w:sz w:val="21"/>
                <w:szCs w:val="21"/>
              </w:rPr>
              <w:t>World Bank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2956" w:type="dxa"/>
            <w:gridSpan w:val="6"/>
            <w:tcBorders>
              <w:top w:val="single" w:color="000000" w:sz="8" w:space="0"/>
              <w:bottom w:val="single" w:color="000000" w:sz="8" w:space="0"/>
            </w:tcBorders>
            <w:shd w:val="clear" w:color="auto" w:fill="E7EBF5"/>
            <w:vAlign w:val="center"/>
          </w:tcPr>
          <w:p>
            <w:pPr>
              <w:pStyle w:val="12"/>
              <w:spacing w:before="33"/>
              <w:ind w:left="439"/>
              <w:jc w:val="both"/>
              <w:rPr>
                <w:rFonts w:eastAsia="宋体"/>
                <w:b/>
                <w:sz w:val="21"/>
                <w:szCs w:val="21"/>
                <w:lang w:eastAsia="zh-CN"/>
              </w:rPr>
            </w:pPr>
            <w:r>
              <w:rPr>
                <w:rFonts w:eastAsia="宋体"/>
                <w:b/>
                <w:sz w:val="21"/>
                <w:szCs w:val="21"/>
                <w:lang w:eastAsia="zh-CN"/>
              </w:rPr>
              <w:t>3.2.4接收电子支付的使用水平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20" w:type="dxa"/>
            <w:tcBorders>
              <w:top w:val="single" w:color="000000" w:sz="8" w:space="0"/>
              <w:bottom w:val="single" w:color="000000" w:sz="8" w:space="0"/>
            </w:tcBorders>
            <w:vAlign w:val="center"/>
          </w:tcPr>
          <w:p>
            <w:pPr>
              <w:pStyle w:val="12"/>
              <w:spacing w:before="36"/>
              <w:jc w:val="both"/>
              <w:rPr>
                <w:rFonts w:eastAsia="宋体"/>
                <w:sz w:val="21"/>
                <w:szCs w:val="21"/>
                <w:lang w:eastAsia="zh-CN"/>
              </w:rPr>
            </w:pPr>
            <w:r>
              <w:rPr>
                <w:rFonts w:eastAsia="宋体"/>
                <w:sz w:val="21"/>
                <w:szCs w:val="21"/>
                <w:lang w:eastAsia="zh-CN"/>
              </w:rPr>
              <w:t>接收电子支付的使用水平</w:t>
            </w:r>
          </w:p>
        </w:tc>
        <w:tc>
          <w:tcPr>
            <w:tcW w:w="932" w:type="dxa"/>
            <w:tcBorders>
              <w:top w:val="single" w:color="000000" w:sz="8" w:space="0"/>
              <w:bottom w:val="single" w:color="000000" w:sz="8" w:space="0"/>
            </w:tcBorders>
            <w:vAlign w:val="center"/>
          </w:tcPr>
          <w:p>
            <w:pPr>
              <w:pStyle w:val="12"/>
              <w:spacing w:before="36"/>
              <w:ind w:left="0" w:right="144"/>
              <w:jc w:val="center"/>
              <w:rPr>
                <w:rFonts w:eastAsia="宋体"/>
                <w:sz w:val="21"/>
                <w:szCs w:val="21"/>
              </w:rPr>
            </w:pPr>
            <w:r>
              <w:rPr>
                <w:rFonts w:eastAsia="宋体"/>
                <w:spacing w:val="-2"/>
                <w:sz w:val="21"/>
                <w:szCs w:val="21"/>
              </w:rPr>
              <w:t>16.67</w:t>
            </w:r>
          </w:p>
        </w:tc>
        <w:tc>
          <w:tcPr>
            <w:tcW w:w="829" w:type="dxa"/>
            <w:tcBorders>
              <w:top w:val="single" w:color="000000" w:sz="8" w:space="0"/>
              <w:bottom w:val="single" w:color="000000" w:sz="8" w:space="0"/>
            </w:tcBorders>
            <w:vAlign w:val="center"/>
          </w:tcPr>
          <w:p>
            <w:pPr>
              <w:pStyle w:val="12"/>
              <w:spacing w:before="36"/>
              <w:ind w:left="94" w:right="57"/>
              <w:jc w:val="center"/>
              <w:rPr>
                <w:rFonts w:eastAsia="宋体"/>
                <w:sz w:val="21"/>
                <w:szCs w:val="21"/>
                <w:lang w:eastAsia="zh-CN"/>
              </w:rPr>
            </w:pPr>
            <w:r>
              <w:rPr>
                <w:rFonts w:eastAsia="宋体"/>
                <w:spacing w:val="-4"/>
                <w:sz w:val="21"/>
                <w:szCs w:val="21"/>
                <w:lang w:eastAsia="zh-CN"/>
              </w:rPr>
              <w:t>不适用</w:t>
            </w:r>
          </w:p>
        </w:tc>
        <w:tc>
          <w:tcPr>
            <w:tcW w:w="737" w:type="dxa"/>
            <w:tcBorders>
              <w:top w:val="single" w:color="000000" w:sz="8" w:space="0"/>
              <w:bottom w:val="single" w:color="000000" w:sz="8" w:space="0"/>
            </w:tcBorders>
            <w:vAlign w:val="center"/>
          </w:tcPr>
          <w:p>
            <w:pPr>
              <w:pStyle w:val="12"/>
              <w:spacing w:before="36"/>
              <w:ind w:left="0" w:right="143"/>
              <w:jc w:val="center"/>
              <w:rPr>
                <w:rFonts w:eastAsia="宋体"/>
                <w:sz w:val="21"/>
                <w:szCs w:val="21"/>
              </w:rPr>
            </w:pPr>
            <w:r>
              <w:rPr>
                <w:rFonts w:eastAsia="宋体"/>
                <w:spacing w:val="-2"/>
                <w:sz w:val="21"/>
                <w:szCs w:val="21"/>
              </w:rPr>
              <w:t>16.67</w:t>
            </w:r>
          </w:p>
        </w:tc>
        <w:tc>
          <w:tcPr>
            <w:tcW w:w="973" w:type="dxa"/>
            <w:tcBorders>
              <w:top w:val="single" w:color="000000" w:sz="8" w:space="0"/>
              <w:bottom w:val="single" w:color="000000" w:sz="8" w:space="0"/>
            </w:tcBorders>
            <w:vAlign w:val="center"/>
          </w:tcPr>
          <w:p>
            <w:pPr>
              <w:pStyle w:val="12"/>
              <w:spacing w:before="36"/>
              <w:ind w:left="0" w:right="148"/>
              <w:jc w:val="center"/>
              <w:rPr>
                <w:rFonts w:eastAsia="宋体"/>
                <w:sz w:val="21"/>
                <w:szCs w:val="21"/>
              </w:rPr>
            </w:pPr>
            <w:r>
              <w:rPr>
                <w:rFonts w:eastAsia="宋体"/>
                <w:spacing w:val="-4"/>
                <w:sz w:val="21"/>
                <w:szCs w:val="21"/>
              </w:rPr>
              <w:t>8.33</w:t>
            </w:r>
          </w:p>
        </w:tc>
        <w:tc>
          <w:tcPr>
            <w:tcW w:w="4065" w:type="dxa"/>
            <w:tcBorders>
              <w:top w:val="single" w:color="000000" w:sz="8" w:space="0"/>
              <w:bottom w:val="single" w:color="000000" w:sz="8" w:space="0"/>
            </w:tcBorders>
            <w:vAlign w:val="center"/>
          </w:tcPr>
          <w:p>
            <w:pPr>
              <w:pStyle w:val="12"/>
              <w:spacing w:before="36"/>
              <w:ind w:left="104"/>
              <w:jc w:val="both"/>
              <w:rPr>
                <w:rFonts w:eastAsia="宋体"/>
                <w:sz w:val="21"/>
                <w:szCs w:val="21"/>
              </w:rPr>
            </w:pPr>
            <w:r>
              <w:rPr>
                <w:rFonts w:hint="eastAsia" w:eastAsia="宋体"/>
                <w:sz w:val="21"/>
                <w:szCs w:val="21"/>
              </w:rPr>
              <w:t>World Bank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2956" w:type="dxa"/>
            <w:gridSpan w:val="6"/>
            <w:tcBorders>
              <w:top w:val="single" w:color="000000" w:sz="8" w:space="0"/>
              <w:bottom w:val="single" w:color="000000" w:sz="8" w:space="0"/>
            </w:tcBorders>
            <w:shd w:val="clear" w:color="auto" w:fill="E7EBF5"/>
            <w:vAlign w:val="center"/>
          </w:tcPr>
          <w:p>
            <w:pPr>
              <w:pStyle w:val="12"/>
              <w:spacing w:before="36"/>
              <w:ind w:left="439"/>
              <w:jc w:val="both"/>
              <w:rPr>
                <w:rFonts w:eastAsia="宋体"/>
                <w:b/>
                <w:sz w:val="21"/>
                <w:szCs w:val="21"/>
              </w:rPr>
            </w:pPr>
            <w:r>
              <w:rPr>
                <w:rFonts w:eastAsia="宋体"/>
                <w:b/>
                <w:sz w:val="21"/>
                <w:szCs w:val="21"/>
              </w:rPr>
              <w:t>3.2.5电子支付的使用水平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20" w:type="dxa"/>
            <w:tcBorders>
              <w:top w:val="single" w:color="000000" w:sz="8" w:space="0"/>
              <w:bottom w:val="single" w:color="000000" w:sz="8" w:space="0"/>
            </w:tcBorders>
            <w:vAlign w:val="center"/>
          </w:tcPr>
          <w:p>
            <w:pPr>
              <w:pStyle w:val="12"/>
              <w:spacing w:before="33"/>
              <w:jc w:val="both"/>
              <w:rPr>
                <w:rFonts w:eastAsia="宋体"/>
                <w:sz w:val="21"/>
                <w:szCs w:val="21"/>
                <w:lang w:eastAsia="zh-CN"/>
              </w:rPr>
            </w:pPr>
            <w:r>
              <w:rPr>
                <w:rFonts w:eastAsia="宋体"/>
                <w:sz w:val="21"/>
                <w:szCs w:val="21"/>
                <w:lang w:eastAsia="zh-CN"/>
              </w:rPr>
              <w:t>进行电子支付的使用水平</w:t>
            </w:r>
          </w:p>
        </w:tc>
        <w:tc>
          <w:tcPr>
            <w:tcW w:w="932" w:type="dxa"/>
            <w:tcBorders>
              <w:top w:val="single" w:color="000000" w:sz="8" w:space="0"/>
              <w:bottom w:val="single" w:color="000000" w:sz="8" w:space="0"/>
            </w:tcBorders>
          </w:tcPr>
          <w:p>
            <w:pPr>
              <w:pStyle w:val="12"/>
              <w:spacing w:before="33"/>
              <w:ind w:left="0" w:right="144"/>
              <w:jc w:val="center"/>
              <w:rPr>
                <w:rFonts w:eastAsia="宋体"/>
                <w:sz w:val="21"/>
                <w:szCs w:val="21"/>
              </w:rPr>
            </w:pPr>
            <w:r>
              <w:rPr>
                <w:rFonts w:eastAsia="宋体"/>
                <w:spacing w:val="-2"/>
                <w:sz w:val="21"/>
                <w:szCs w:val="21"/>
              </w:rPr>
              <w:t>16.67</w:t>
            </w:r>
          </w:p>
        </w:tc>
        <w:tc>
          <w:tcPr>
            <w:tcW w:w="829" w:type="dxa"/>
            <w:tcBorders>
              <w:top w:val="single" w:color="000000" w:sz="8" w:space="0"/>
              <w:bottom w:val="single" w:color="000000" w:sz="8" w:space="0"/>
            </w:tcBorders>
          </w:tcPr>
          <w:p>
            <w:pPr>
              <w:pStyle w:val="12"/>
              <w:spacing w:before="33"/>
              <w:ind w:left="94" w:right="57"/>
              <w:jc w:val="center"/>
              <w:rPr>
                <w:rFonts w:eastAsia="宋体"/>
                <w:sz w:val="21"/>
                <w:szCs w:val="21"/>
                <w:lang w:eastAsia="zh-CN"/>
              </w:rPr>
            </w:pPr>
            <w:r>
              <w:rPr>
                <w:rFonts w:eastAsia="宋体"/>
                <w:spacing w:val="-4"/>
                <w:sz w:val="21"/>
                <w:szCs w:val="21"/>
                <w:lang w:eastAsia="zh-CN"/>
              </w:rPr>
              <w:t>不适用</w:t>
            </w:r>
          </w:p>
        </w:tc>
        <w:tc>
          <w:tcPr>
            <w:tcW w:w="737" w:type="dxa"/>
            <w:tcBorders>
              <w:top w:val="single" w:color="000000" w:sz="8" w:space="0"/>
              <w:bottom w:val="single" w:color="000000" w:sz="8" w:space="0"/>
            </w:tcBorders>
          </w:tcPr>
          <w:p>
            <w:pPr>
              <w:pStyle w:val="12"/>
              <w:spacing w:before="33"/>
              <w:ind w:left="0" w:right="143"/>
              <w:jc w:val="center"/>
              <w:rPr>
                <w:rFonts w:eastAsia="宋体"/>
                <w:sz w:val="21"/>
                <w:szCs w:val="21"/>
              </w:rPr>
            </w:pPr>
            <w:r>
              <w:rPr>
                <w:rFonts w:eastAsia="宋体"/>
                <w:spacing w:val="-2"/>
                <w:sz w:val="21"/>
                <w:szCs w:val="21"/>
              </w:rPr>
              <w:t>16.67</w:t>
            </w:r>
          </w:p>
        </w:tc>
        <w:tc>
          <w:tcPr>
            <w:tcW w:w="973" w:type="dxa"/>
            <w:tcBorders>
              <w:top w:val="single" w:color="000000" w:sz="8" w:space="0"/>
              <w:bottom w:val="single" w:color="000000" w:sz="8" w:space="0"/>
            </w:tcBorders>
          </w:tcPr>
          <w:p>
            <w:pPr>
              <w:pStyle w:val="12"/>
              <w:spacing w:before="33"/>
              <w:ind w:left="0" w:right="148"/>
              <w:jc w:val="center"/>
              <w:rPr>
                <w:rFonts w:eastAsia="宋体"/>
                <w:sz w:val="21"/>
                <w:szCs w:val="21"/>
              </w:rPr>
            </w:pPr>
            <w:r>
              <w:rPr>
                <w:rFonts w:eastAsia="宋体"/>
                <w:spacing w:val="-4"/>
                <w:sz w:val="21"/>
                <w:szCs w:val="21"/>
              </w:rPr>
              <w:t>8.33</w:t>
            </w:r>
          </w:p>
        </w:tc>
        <w:tc>
          <w:tcPr>
            <w:tcW w:w="4065" w:type="dxa"/>
            <w:tcBorders>
              <w:top w:val="single" w:color="000000" w:sz="8" w:space="0"/>
              <w:bottom w:val="single" w:color="000000" w:sz="8" w:space="0"/>
            </w:tcBorders>
          </w:tcPr>
          <w:p>
            <w:pPr>
              <w:pStyle w:val="12"/>
              <w:spacing w:before="33"/>
              <w:ind w:left="104"/>
              <w:rPr>
                <w:rFonts w:eastAsia="宋体"/>
                <w:sz w:val="21"/>
                <w:szCs w:val="21"/>
              </w:rPr>
            </w:pPr>
            <w:r>
              <w:rPr>
                <w:rFonts w:hint="eastAsia" w:eastAsia="宋体"/>
                <w:sz w:val="21"/>
                <w:szCs w:val="21"/>
              </w:rPr>
              <w:t>World Bank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2956" w:type="dxa"/>
            <w:gridSpan w:val="6"/>
            <w:tcBorders>
              <w:top w:val="single" w:color="000000" w:sz="8" w:space="0"/>
              <w:bottom w:val="single" w:color="000000" w:sz="8" w:space="0"/>
            </w:tcBorders>
            <w:shd w:val="clear" w:color="auto" w:fill="E7EBF5"/>
            <w:vAlign w:val="center"/>
          </w:tcPr>
          <w:p>
            <w:pPr>
              <w:pStyle w:val="12"/>
              <w:spacing w:before="36"/>
              <w:ind w:left="439"/>
              <w:jc w:val="both"/>
              <w:rPr>
                <w:rFonts w:eastAsia="宋体"/>
                <w:b/>
                <w:sz w:val="21"/>
                <w:szCs w:val="21"/>
                <w:lang w:eastAsia="zh-CN"/>
              </w:rPr>
            </w:pPr>
            <w:r>
              <w:rPr>
                <w:rFonts w:eastAsia="宋体"/>
                <w:b/>
                <w:sz w:val="21"/>
                <w:szCs w:val="21"/>
                <w:lang w:eastAsia="zh-CN"/>
              </w:rPr>
              <w:t>3.2.6电子支付使用方面的性别差异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5420" w:type="dxa"/>
            <w:tcBorders>
              <w:top w:val="single" w:color="000000" w:sz="8" w:space="0"/>
              <w:bottom w:val="single" w:color="000000" w:sz="8" w:space="0"/>
            </w:tcBorders>
            <w:vAlign w:val="center"/>
          </w:tcPr>
          <w:p>
            <w:pPr>
              <w:pStyle w:val="12"/>
              <w:spacing w:before="132"/>
              <w:jc w:val="both"/>
              <w:rPr>
                <w:rFonts w:eastAsia="宋体"/>
                <w:sz w:val="21"/>
                <w:szCs w:val="21"/>
                <w:lang w:eastAsia="zh-CN"/>
              </w:rPr>
            </w:pPr>
            <w:r>
              <w:rPr>
                <w:rFonts w:eastAsia="宋体"/>
                <w:sz w:val="21"/>
                <w:szCs w:val="21"/>
                <w:lang w:eastAsia="zh-CN"/>
              </w:rPr>
              <w:t>使用电子支付的性别差异</w:t>
            </w:r>
          </w:p>
        </w:tc>
        <w:tc>
          <w:tcPr>
            <w:tcW w:w="932" w:type="dxa"/>
            <w:tcBorders>
              <w:top w:val="single" w:color="000000" w:sz="8" w:space="0"/>
              <w:bottom w:val="single" w:color="000000" w:sz="8" w:space="0"/>
            </w:tcBorders>
          </w:tcPr>
          <w:p>
            <w:pPr>
              <w:pStyle w:val="12"/>
              <w:spacing w:before="132"/>
              <w:ind w:left="0" w:right="144"/>
              <w:jc w:val="center"/>
              <w:rPr>
                <w:rFonts w:eastAsia="宋体"/>
                <w:sz w:val="21"/>
                <w:szCs w:val="21"/>
              </w:rPr>
            </w:pPr>
            <w:r>
              <w:rPr>
                <w:rFonts w:eastAsia="宋体"/>
                <w:spacing w:val="-2"/>
                <w:sz w:val="21"/>
                <w:szCs w:val="21"/>
              </w:rPr>
              <w:t>16.67</w:t>
            </w:r>
          </w:p>
        </w:tc>
        <w:tc>
          <w:tcPr>
            <w:tcW w:w="829" w:type="dxa"/>
            <w:tcBorders>
              <w:top w:val="single" w:color="000000" w:sz="8" w:space="0"/>
              <w:bottom w:val="single" w:color="000000" w:sz="8" w:space="0"/>
            </w:tcBorders>
          </w:tcPr>
          <w:p>
            <w:pPr>
              <w:pStyle w:val="12"/>
              <w:spacing w:before="132"/>
              <w:ind w:left="94" w:right="57"/>
              <w:jc w:val="center"/>
              <w:rPr>
                <w:rFonts w:eastAsia="宋体"/>
                <w:sz w:val="21"/>
                <w:szCs w:val="21"/>
                <w:lang w:eastAsia="zh-CN"/>
              </w:rPr>
            </w:pPr>
            <w:r>
              <w:rPr>
                <w:rFonts w:eastAsia="宋体"/>
                <w:spacing w:val="-4"/>
                <w:sz w:val="21"/>
                <w:szCs w:val="21"/>
                <w:lang w:eastAsia="zh-CN"/>
              </w:rPr>
              <w:t>不适用</w:t>
            </w:r>
          </w:p>
        </w:tc>
        <w:tc>
          <w:tcPr>
            <w:tcW w:w="737" w:type="dxa"/>
            <w:tcBorders>
              <w:top w:val="single" w:color="000000" w:sz="8" w:space="0"/>
              <w:bottom w:val="single" w:color="000000" w:sz="8" w:space="0"/>
            </w:tcBorders>
          </w:tcPr>
          <w:p>
            <w:pPr>
              <w:pStyle w:val="12"/>
              <w:spacing w:before="132"/>
              <w:ind w:left="0" w:right="143"/>
              <w:jc w:val="center"/>
              <w:rPr>
                <w:rFonts w:eastAsia="宋体"/>
                <w:sz w:val="21"/>
                <w:szCs w:val="21"/>
              </w:rPr>
            </w:pPr>
            <w:r>
              <w:rPr>
                <w:rFonts w:eastAsia="宋体"/>
                <w:spacing w:val="-2"/>
                <w:sz w:val="21"/>
                <w:szCs w:val="21"/>
              </w:rPr>
              <w:t>16.67</w:t>
            </w:r>
          </w:p>
        </w:tc>
        <w:tc>
          <w:tcPr>
            <w:tcW w:w="973" w:type="dxa"/>
            <w:tcBorders>
              <w:top w:val="single" w:color="000000" w:sz="8" w:space="0"/>
              <w:bottom w:val="single" w:color="000000" w:sz="8" w:space="0"/>
            </w:tcBorders>
          </w:tcPr>
          <w:p>
            <w:pPr>
              <w:pStyle w:val="12"/>
              <w:spacing w:before="132"/>
              <w:ind w:left="0" w:right="148"/>
              <w:jc w:val="center"/>
              <w:rPr>
                <w:rFonts w:eastAsia="宋体"/>
                <w:sz w:val="21"/>
                <w:szCs w:val="21"/>
              </w:rPr>
            </w:pPr>
            <w:r>
              <w:rPr>
                <w:rFonts w:eastAsia="宋体"/>
                <w:spacing w:val="-4"/>
                <w:sz w:val="21"/>
                <w:szCs w:val="21"/>
              </w:rPr>
              <w:t>8.33</w:t>
            </w:r>
          </w:p>
        </w:tc>
        <w:tc>
          <w:tcPr>
            <w:tcW w:w="4065" w:type="dxa"/>
            <w:tcBorders>
              <w:top w:val="single" w:color="000000" w:sz="8" w:space="0"/>
              <w:bottom w:val="single" w:color="000000" w:sz="8" w:space="0"/>
            </w:tcBorders>
          </w:tcPr>
          <w:p>
            <w:pPr>
              <w:pStyle w:val="12"/>
              <w:spacing w:before="13"/>
              <w:ind w:left="104"/>
              <w:rPr>
                <w:rFonts w:eastAsia="宋体"/>
                <w:sz w:val="21"/>
                <w:szCs w:val="21"/>
              </w:rPr>
            </w:pPr>
            <w:r>
              <w:rPr>
                <w:rFonts w:hint="eastAsia" w:eastAsia="宋体"/>
                <w:sz w:val="21"/>
                <w:szCs w:val="21"/>
              </w:rPr>
              <w:t>Pazarbasioglu et al. (2020); World Bank Group and World Economic Forum (2016)</w:t>
            </w:r>
          </w:p>
        </w:tc>
      </w:tr>
    </w:tbl>
    <w:p>
      <w:pPr>
        <w:rPr>
          <w:rFonts w:eastAsia="宋体"/>
          <w:sz w:val="21"/>
          <w:szCs w:val="21"/>
        </w:rPr>
      </w:pPr>
    </w:p>
    <w:tbl>
      <w:tblPr>
        <w:tblStyle w:val="8"/>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20"/>
        <w:gridCol w:w="932"/>
        <w:gridCol w:w="634"/>
        <w:gridCol w:w="932"/>
        <w:gridCol w:w="973"/>
        <w:gridCol w:w="40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20" w:type="dxa"/>
            <w:tcBorders>
              <w:top w:val="nil"/>
              <w:bottom w:val="single" w:color="000000" w:sz="8" w:space="0"/>
            </w:tcBorders>
            <w:shd w:val="clear" w:color="auto" w:fill="FFC000"/>
            <w:vAlign w:val="center"/>
          </w:tcPr>
          <w:p>
            <w:pPr>
              <w:pStyle w:val="12"/>
              <w:spacing w:before="34"/>
              <w:jc w:val="both"/>
              <w:rPr>
                <w:rFonts w:eastAsia="宋体"/>
                <w:b/>
                <w:sz w:val="21"/>
                <w:szCs w:val="21"/>
              </w:rPr>
            </w:pPr>
            <w:r>
              <w:rPr>
                <w:rFonts w:eastAsia="宋体"/>
                <w:b/>
                <w:sz w:val="21"/>
                <w:szCs w:val="21"/>
              </w:rPr>
              <w:t>3.2类总分</w:t>
            </w:r>
          </w:p>
        </w:tc>
        <w:tc>
          <w:tcPr>
            <w:tcW w:w="932" w:type="dxa"/>
            <w:tcBorders>
              <w:top w:val="nil"/>
              <w:bottom w:val="single" w:color="000000" w:sz="8" w:space="0"/>
            </w:tcBorders>
            <w:shd w:val="clear" w:color="auto" w:fill="FFC000"/>
            <w:vAlign w:val="center"/>
          </w:tcPr>
          <w:p>
            <w:pPr>
              <w:pStyle w:val="12"/>
              <w:spacing w:before="34"/>
              <w:ind w:left="0" w:right="145"/>
              <w:jc w:val="center"/>
              <w:rPr>
                <w:rFonts w:eastAsia="宋体"/>
                <w:b/>
                <w:sz w:val="21"/>
                <w:szCs w:val="21"/>
                <w:lang w:eastAsia="zh-CN"/>
              </w:rPr>
            </w:pPr>
            <w:r>
              <w:rPr>
                <w:rFonts w:eastAsia="宋体"/>
                <w:b/>
                <w:sz w:val="21"/>
                <w:szCs w:val="21"/>
                <w:lang w:eastAsia="zh-CN"/>
              </w:rPr>
              <w:t>100</w:t>
            </w:r>
          </w:p>
        </w:tc>
        <w:tc>
          <w:tcPr>
            <w:tcW w:w="634" w:type="dxa"/>
            <w:tcBorders>
              <w:top w:val="nil"/>
              <w:bottom w:val="single" w:color="000000" w:sz="8" w:space="0"/>
            </w:tcBorders>
            <w:shd w:val="clear" w:color="auto" w:fill="FFC000"/>
            <w:vAlign w:val="center"/>
          </w:tcPr>
          <w:p>
            <w:pPr>
              <w:pStyle w:val="12"/>
              <w:spacing w:before="34"/>
              <w:ind w:left="94" w:right="83"/>
              <w:jc w:val="center"/>
              <w:rPr>
                <w:rFonts w:eastAsia="宋体"/>
                <w:b/>
                <w:sz w:val="21"/>
                <w:szCs w:val="21"/>
                <w:lang w:eastAsia="zh-CN"/>
              </w:rPr>
            </w:pPr>
            <w:r>
              <w:rPr>
                <w:rFonts w:eastAsia="宋体"/>
                <w:b/>
                <w:spacing w:val="-4"/>
                <w:sz w:val="21"/>
                <w:szCs w:val="21"/>
                <w:lang w:eastAsia="zh-CN"/>
              </w:rPr>
              <w:t>不适用</w:t>
            </w:r>
          </w:p>
        </w:tc>
        <w:tc>
          <w:tcPr>
            <w:tcW w:w="932" w:type="dxa"/>
            <w:tcBorders>
              <w:top w:val="nil"/>
              <w:bottom w:val="single" w:color="000000" w:sz="8" w:space="0"/>
            </w:tcBorders>
            <w:shd w:val="clear" w:color="auto" w:fill="FFC000"/>
            <w:vAlign w:val="center"/>
          </w:tcPr>
          <w:p>
            <w:pPr>
              <w:pStyle w:val="12"/>
              <w:spacing w:before="34"/>
              <w:ind w:left="0" w:right="143"/>
              <w:jc w:val="center"/>
              <w:rPr>
                <w:rFonts w:eastAsia="宋体"/>
                <w:b/>
                <w:sz w:val="21"/>
                <w:szCs w:val="21"/>
              </w:rPr>
            </w:pPr>
            <w:r>
              <w:rPr>
                <w:rFonts w:eastAsia="宋体"/>
                <w:b/>
                <w:spacing w:val="-5"/>
                <w:sz w:val="21"/>
                <w:szCs w:val="21"/>
                <w:lang w:eastAsia="zh-CN"/>
              </w:rPr>
              <w:t>100</w:t>
            </w:r>
            <w:r>
              <w:rPr>
                <w:rFonts w:eastAsia="宋体"/>
                <w:b/>
                <w:spacing w:val="-5"/>
                <w:sz w:val="21"/>
                <w:szCs w:val="21"/>
              </w:rPr>
              <w:t>.</w:t>
            </w:r>
          </w:p>
        </w:tc>
        <w:tc>
          <w:tcPr>
            <w:tcW w:w="973" w:type="dxa"/>
            <w:tcBorders>
              <w:top w:val="nil"/>
              <w:bottom w:val="single" w:color="000000" w:sz="8" w:space="0"/>
            </w:tcBorders>
            <w:shd w:val="clear" w:color="auto" w:fill="FFC000"/>
            <w:vAlign w:val="center"/>
          </w:tcPr>
          <w:p>
            <w:pPr>
              <w:pStyle w:val="12"/>
              <w:spacing w:before="34"/>
              <w:ind w:left="0" w:right="146"/>
              <w:jc w:val="center"/>
              <w:rPr>
                <w:rFonts w:eastAsia="宋体"/>
                <w:b/>
                <w:sz w:val="21"/>
                <w:szCs w:val="21"/>
              </w:rPr>
            </w:pPr>
            <w:r>
              <w:rPr>
                <w:rFonts w:eastAsia="宋体"/>
                <w:b/>
                <w:spacing w:val="-2"/>
                <w:sz w:val="21"/>
                <w:szCs w:val="21"/>
              </w:rPr>
              <w:t>50.00</w:t>
            </w:r>
          </w:p>
        </w:tc>
        <w:tc>
          <w:tcPr>
            <w:tcW w:w="4065" w:type="dxa"/>
            <w:tcBorders>
              <w:top w:val="nil"/>
              <w:bottom w:val="single" w:color="000000" w:sz="8" w:space="0"/>
            </w:tcBorders>
            <w:shd w:val="clear" w:color="auto" w:fill="FFC000"/>
          </w:tcPr>
          <w:p>
            <w:pPr>
              <w:pStyle w:val="12"/>
              <w:ind w:left="0"/>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5420" w:type="dxa"/>
            <w:tcBorders>
              <w:top w:val="single" w:color="000000" w:sz="8" w:space="0"/>
            </w:tcBorders>
            <w:shd w:val="clear" w:color="auto" w:fill="FFC000"/>
            <w:vAlign w:val="center"/>
          </w:tcPr>
          <w:p>
            <w:pPr>
              <w:pStyle w:val="12"/>
              <w:spacing w:before="36"/>
              <w:jc w:val="both"/>
              <w:rPr>
                <w:rFonts w:eastAsia="宋体"/>
                <w:b/>
                <w:sz w:val="21"/>
                <w:szCs w:val="21"/>
              </w:rPr>
            </w:pPr>
            <w:r>
              <w:rPr>
                <w:rFonts w:eastAsia="宋体"/>
                <w:b/>
                <w:sz w:val="21"/>
                <w:szCs w:val="21"/>
                <w:lang w:eastAsia="zh-CN"/>
              </w:rPr>
              <w:t>维度</w:t>
            </w:r>
            <w:r>
              <w:rPr>
                <w:rFonts w:hint="eastAsia" w:eastAsia="宋体"/>
                <w:b/>
                <w:sz w:val="21"/>
                <w:szCs w:val="21"/>
                <w:lang w:eastAsia="zh-CN"/>
              </w:rPr>
              <w:t>III</w:t>
            </w:r>
            <w:r>
              <w:rPr>
                <w:rFonts w:eastAsia="宋体"/>
                <w:b/>
                <w:sz w:val="21"/>
                <w:szCs w:val="21"/>
              </w:rPr>
              <w:t>总分</w:t>
            </w:r>
          </w:p>
        </w:tc>
        <w:tc>
          <w:tcPr>
            <w:tcW w:w="932" w:type="dxa"/>
            <w:tcBorders>
              <w:top w:val="single" w:color="000000" w:sz="8" w:space="0"/>
            </w:tcBorders>
            <w:shd w:val="clear" w:color="auto" w:fill="FFC000"/>
            <w:vAlign w:val="center"/>
          </w:tcPr>
          <w:p>
            <w:pPr>
              <w:pStyle w:val="12"/>
              <w:spacing w:before="36"/>
              <w:ind w:left="0" w:right="145"/>
              <w:jc w:val="center"/>
              <w:rPr>
                <w:rFonts w:eastAsia="宋体"/>
                <w:b/>
                <w:sz w:val="21"/>
                <w:szCs w:val="21"/>
                <w:lang w:eastAsia="zh-CN"/>
              </w:rPr>
            </w:pPr>
            <w:r>
              <w:rPr>
                <w:rFonts w:eastAsia="宋体"/>
                <w:b/>
                <w:spacing w:val="-5"/>
                <w:sz w:val="21"/>
                <w:szCs w:val="21"/>
                <w:lang w:eastAsia="zh-CN"/>
              </w:rPr>
              <w:t>100</w:t>
            </w:r>
          </w:p>
        </w:tc>
        <w:tc>
          <w:tcPr>
            <w:tcW w:w="634" w:type="dxa"/>
            <w:tcBorders>
              <w:top w:val="single" w:color="000000" w:sz="8" w:space="0"/>
            </w:tcBorders>
            <w:shd w:val="clear" w:color="auto" w:fill="FFC000"/>
            <w:vAlign w:val="center"/>
          </w:tcPr>
          <w:p>
            <w:pPr>
              <w:pStyle w:val="12"/>
              <w:spacing w:before="36"/>
              <w:ind w:left="94" w:right="83"/>
              <w:jc w:val="center"/>
              <w:rPr>
                <w:rFonts w:eastAsia="宋体"/>
                <w:b/>
                <w:sz w:val="21"/>
                <w:szCs w:val="21"/>
                <w:lang w:eastAsia="zh-CN"/>
              </w:rPr>
            </w:pPr>
            <w:r>
              <w:rPr>
                <w:rFonts w:eastAsia="宋体"/>
                <w:b/>
                <w:spacing w:val="-4"/>
                <w:sz w:val="21"/>
                <w:szCs w:val="21"/>
                <w:lang w:eastAsia="zh-CN"/>
              </w:rPr>
              <w:t>不适用</w:t>
            </w:r>
          </w:p>
        </w:tc>
        <w:tc>
          <w:tcPr>
            <w:tcW w:w="932" w:type="dxa"/>
            <w:tcBorders>
              <w:top w:val="single" w:color="000000" w:sz="8" w:space="0"/>
            </w:tcBorders>
            <w:shd w:val="clear" w:color="auto" w:fill="FFC000"/>
            <w:vAlign w:val="center"/>
          </w:tcPr>
          <w:p>
            <w:pPr>
              <w:pStyle w:val="12"/>
              <w:spacing w:before="36"/>
              <w:ind w:left="0" w:right="143"/>
              <w:jc w:val="center"/>
              <w:rPr>
                <w:rFonts w:eastAsia="宋体"/>
                <w:b/>
                <w:sz w:val="21"/>
                <w:szCs w:val="21"/>
                <w:lang w:eastAsia="zh-CN"/>
              </w:rPr>
            </w:pPr>
            <w:r>
              <w:rPr>
                <w:rFonts w:eastAsia="宋体"/>
                <w:b/>
                <w:spacing w:val="-5"/>
                <w:sz w:val="21"/>
                <w:szCs w:val="21"/>
                <w:lang w:eastAsia="zh-CN"/>
              </w:rPr>
              <w:t>100</w:t>
            </w:r>
          </w:p>
        </w:tc>
        <w:tc>
          <w:tcPr>
            <w:tcW w:w="973" w:type="dxa"/>
            <w:tcBorders>
              <w:top w:val="single" w:color="000000" w:sz="8" w:space="0"/>
            </w:tcBorders>
            <w:shd w:val="clear" w:color="auto" w:fill="FFC000"/>
            <w:vAlign w:val="center"/>
          </w:tcPr>
          <w:p>
            <w:pPr>
              <w:pStyle w:val="12"/>
              <w:spacing w:before="36"/>
              <w:ind w:left="0" w:right="149"/>
              <w:jc w:val="center"/>
              <w:rPr>
                <w:rFonts w:eastAsia="宋体"/>
                <w:b/>
                <w:sz w:val="21"/>
                <w:szCs w:val="21"/>
              </w:rPr>
            </w:pPr>
            <w:r>
              <w:rPr>
                <w:rFonts w:eastAsia="宋体"/>
                <w:b/>
                <w:spacing w:val="-2"/>
                <w:sz w:val="21"/>
                <w:szCs w:val="21"/>
              </w:rPr>
              <w:t>100.00</w:t>
            </w:r>
          </w:p>
        </w:tc>
        <w:tc>
          <w:tcPr>
            <w:tcW w:w="4065" w:type="dxa"/>
            <w:tcBorders>
              <w:top w:val="single" w:color="000000" w:sz="8" w:space="0"/>
            </w:tcBorders>
            <w:shd w:val="clear" w:color="auto" w:fill="FFC000"/>
          </w:tcPr>
          <w:p>
            <w:pPr>
              <w:pStyle w:val="12"/>
              <w:ind w:left="0"/>
              <w:rPr>
                <w:rFonts w:eastAsia="宋体"/>
                <w:sz w:val="21"/>
                <w:szCs w:val="21"/>
              </w:rPr>
            </w:pPr>
          </w:p>
        </w:tc>
      </w:tr>
    </w:tbl>
    <w:p>
      <w:pPr>
        <w:spacing w:before="4"/>
        <w:ind w:left="102" w:right="522"/>
        <w:rPr>
          <w:rFonts w:eastAsia="宋体"/>
          <w:sz w:val="20"/>
          <w:lang w:eastAsia="zh-CN"/>
        </w:rPr>
      </w:pPr>
      <w:r>
        <w:rPr>
          <w:rFonts w:eastAsia="宋体"/>
          <w:i/>
          <w:sz w:val="20"/>
          <w:lang w:eastAsia="zh-CN"/>
        </w:rPr>
        <w:t>注:</w:t>
      </w:r>
      <w:r>
        <w:rPr>
          <w:rFonts w:eastAsia="宋体"/>
          <w:sz w:val="20"/>
          <w:lang w:eastAsia="zh-CN"/>
        </w:rPr>
        <w:t>n.a. =不适用(指对企业或社会的影响不明确或不存在的情况)。FFP =企业灵活度得分</w:t>
      </w:r>
      <w:r>
        <w:rPr>
          <w:rFonts w:hint="eastAsia" w:eastAsia="宋体"/>
          <w:sz w:val="20"/>
          <w:lang w:eastAsia="zh-CN"/>
        </w:rPr>
        <w:t>；</w:t>
      </w:r>
      <w:r>
        <w:rPr>
          <w:rFonts w:eastAsia="宋体"/>
          <w:sz w:val="20"/>
          <w:lang w:eastAsia="zh-CN"/>
        </w:rPr>
        <w:t>SBP =社会效益得分。</w:t>
      </w:r>
    </w:p>
    <w:p>
      <w:pPr>
        <w:rPr>
          <w:sz w:val="20"/>
          <w:lang w:eastAsia="zh-CN"/>
        </w:rPr>
        <w:sectPr>
          <w:pgSz w:w="15840" w:h="12240" w:orient="landscape"/>
          <w:pgMar w:top="1140" w:right="1040" w:bottom="280" w:left="1340" w:header="720" w:footer="720" w:gutter="0"/>
          <w:cols w:space="720" w:num="1"/>
        </w:sectPr>
      </w:pPr>
    </w:p>
    <w:p>
      <w:pPr>
        <w:spacing w:before="79"/>
        <w:ind w:left="200"/>
        <w:outlineLvl w:val="3"/>
        <w:rPr>
          <w:b/>
        </w:rPr>
      </w:pPr>
      <w:r>
        <w:rPr>
          <w:rFonts w:eastAsia="宋体"/>
          <w:b/>
          <w:spacing w:val="-2"/>
        </w:rPr>
        <w:t>参考文献</w:t>
      </w:r>
    </w:p>
    <w:p>
      <w:pPr>
        <w:pStyle w:val="5"/>
        <w:rPr>
          <w:b/>
        </w:rPr>
      </w:pPr>
    </w:p>
    <w:p>
      <w:pPr>
        <w:ind w:left="920" w:right="197" w:hanging="720"/>
        <w:jc w:val="both"/>
      </w:pPr>
      <w:r>
        <w:t xml:space="preserve">BCBS (Basel Committee on Banking Supervision). 2014. </w:t>
      </w:r>
      <w:r>
        <w:rPr>
          <w:i/>
        </w:rPr>
        <w:t>Sound Management of Risks Related to Money Laundering and Financing of Terrorism</w:t>
      </w:r>
      <w:r>
        <w:t>. January 2014.</w:t>
      </w:r>
    </w:p>
    <w:p>
      <w:pPr>
        <w:pStyle w:val="5"/>
        <w:spacing w:before="11"/>
        <w:rPr>
          <w:sz w:val="21"/>
        </w:rPr>
      </w:pPr>
    </w:p>
    <w:p>
      <w:pPr>
        <w:pStyle w:val="5"/>
        <w:ind w:left="920" w:right="200" w:hanging="720"/>
        <w:jc w:val="both"/>
      </w:pPr>
      <w:r>
        <w:t>Beck,</w:t>
      </w:r>
      <w:r>
        <w:rPr>
          <w:spacing w:val="-7"/>
        </w:rPr>
        <w:t xml:space="preserve"> </w:t>
      </w:r>
      <w:r>
        <w:t>T.,</w:t>
      </w:r>
      <w:r>
        <w:rPr>
          <w:spacing w:val="-8"/>
        </w:rPr>
        <w:t xml:space="preserve"> </w:t>
      </w:r>
      <w:r>
        <w:t>A.</w:t>
      </w:r>
      <w:r>
        <w:rPr>
          <w:spacing w:val="-7"/>
        </w:rPr>
        <w:t xml:space="preserve"> </w:t>
      </w:r>
      <w:r>
        <w:t>Demirgüç-Kunt,</w:t>
      </w:r>
      <w:r>
        <w:rPr>
          <w:spacing w:val="-7"/>
        </w:rPr>
        <w:t xml:space="preserve"> </w:t>
      </w:r>
      <w:r>
        <w:t>and</w:t>
      </w:r>
      <w:r>
        <w:rPr>
          <w:spacing w:val="-7"/>
        </w:rPr>
        <w:t xml:space="preserve"> </w:t>
      </w:r>
      <w:r>
        <w:t>P.</w:t>
      </w:r>
      <w:r>
        <w:rPr>
          <w:spacing w:val="-7"/>
        </w:rPr>
        <w:t xml:space="preserve"> </w:t>
      </w:r>
      <w:r>
        <w:t>Honohan.</w:t>
      </w:r>
      <w:r>
        <w:rPr>
          <w:spacing w:val="-7"/>
        </w:rPr>
        <w:t xml:space="preserve"> </w:t>
      </w:r>
      <w:r>
        <w:t>2009.</w:t>
      </w:r>
      <w:r>
        <w:rPr>
          <w:spacing w:val="-10"/>
        </w:rPr>
        <w:t xml:space="preserve"> </w:t>
      </w:r>
      <w:r>
        <w:t>"Access</w:t>
      </w:r>
      <w:r>
        <w:rPr>
          <w:spacing w:val="-6"/>
        </w:rPr>
        <w:t xml:space="preserve"> </w:t>
      </w:r>
      <w:r>
        <w:t>to</w:t>
      </w:r>
      <w:r>
        <w:rPr>
          <w:spacing w:val="-7"/>
        </w:rPr>
        <w:t xml:space="preserve"> </w:t>
      </w:r>
      <w:r>
        <w:t>Financial</w:t>
      </w:r>
      <w:r>
        <w:rPr>
          <w:spacing w:val="-6"/>
        </w:rPr>
        <w:t xml:space="preserve"> </w:t>
      </w:r>
      <w:r>
        <w:t>Services:</w:t>
      </w:r>
      <w:r>
        <w:rPr>
          <w:spacing w:val="-6"/>
        </w:rPr>
        <w:t xml:space="preserve"> </w:t>
      </w:r>
      <w:r>
        <w:t>Measurement,</w:t>
      </w:r>
      <w:r>
        <w:rPr>
          <w:spacing w:val="-7"/>
        </w:rPr>
        <w:t xml:space="preserve"> </w:t>
      </w:r>
      <w:r>
        <w:t xml:space="preserve">Impact, and Policies." </w:t>
      </w:r>
      <w:r>
        <w:rPr>
          <w:i/>
        </w:rPr>
        <w:t xml:space="preserve">World Bank Research Observer </w:t>
      </w:r>
      <w:r>
        <w:t>24 (1).</w:t>
      </w:r>
    </w:p>
    <w:p>
      <w:pPr>
        <w:pStyle w:val="5"/>
        <w:spacing w:before="11"/>
        <w:rPr>
          <w:sz w:val="21"/>
        </w:rPr>
      </w:pPr>
    </w:p>
    <w:p>
      <w:pPr>
        <w:pStyle w:val="5"/>
        <w:ind w:left="920" w:right="200" w:hanging="720"/>
        <w:jc w:val="both"/>
      </w:pPr>
      <w:r>
        <w:t>Beck,</w:t>
      </w:r>
      <w:r>
        <w:rPr>
          <w:spacing w:val="-10"/>
        </w:rPr>
        <w:t xml:space="preserve"> </w:t>
      </w:r>
      <w:r>
        <w:t>T.,</w:t>
      </w:r>
      <w:r>
        <w:rPr>
          <w:spacing w:val="-10"/>
        </w:rPr>
        <w:t xml:space="preserve"> </w:t>
      </w:r>
      <w:r>
        <w:t>A.</w:t>
      </w:r>
      <w:r>
        <w:rPr>
          <w:spacing w:val="-10"/>
        </w:rPr>
        <w:t xml:space="preserve"> </w:t>
      </w:r>
      <w:r>
        <w:t>Demirguc-Kunt,</w:t>
      </w:r>
      <w:r>
        <w:rPr>
          <w:spacing w:val="-10"/>
        </w:rPr>
        <w:t xml:space="preserve"> </w:t>
      </w:r>
      <w:r>
        <w:t>and</w:t>
      </w:r>
      <w:r>
        <w:rPr>
          <w:spacing w:val="-9"/>
        </w:rPr>
        <w:t xml:space="preserve"> </w:t>
      </w:r>
      <w:r>
        <w:t>V.</w:t>
      </w:r>
      <w:r>
        <w:rPr>
          <w:spacing w:val="-10"/>
        </w:rPr>
        <w:t xml:space="preserve"> </w:t>
      </w:r>
      <w:r>
        <w:t>Maksimovic.</w:t>
      </w:r>
      <w:r>
        <w:rPr>
          <w:spacing w:val="-9"/>
        </w:rPr>
        <w:t xml:space="preserve"> </w:t>
      </w:r>
      <w:r>
        <w:t>2005.</w:t>
      </w:r>
      <w:r>
        <w:rPr>
          <w:spacing w:val="-10"/>
        </w:rPr>
        <w:t xml:space="preserve"> </w:t>
      </w:r>
      <w:r>
        <w:t>"Financial</w:t>
      </w:r>
      <w:r>
        <w:rPr>
          <w:spacing w:val="-8"/>
        </w:rPr>
        <w:t xml:space="preserve"> </w:t>
      </w:r>
      <w:r>
        <w:t>and</w:t>
      </w:r>
      <w:r>
        <w:rPr>
          <w:spacing w:val="-10"/>
        </w:rPr>
        <w:t xml:space="preserve"> </w:t>
      </w:r>
      <w:r>
        <w:t>Legal</w:t>
      </w:r>
      <w:r>
        <w:rPr>
          <w:spacing w:val="-9"/>
        </w:rPr>
        <w:t xml:space="preserve"> </w:t>
      </w:r>
      <w:r>
        <w:t>Constraints</w:t>
      </w:r>
      <w:r>
        <w:rPr>
          <w:spacing w:val="-9"/>
        </w:rPr>
        <w:t xml:space="preserve"> </w:t>
      </w:r>
      <w:r>
        <w:t>to</w:t>
      </w:r>
      <w:r>
        <w:rPr>
          <w:spacing w:val="-10"/>
        </w:rPr>
        <w:t xml:space="preserve"> </w:t>
      </w:r>
      <w:r>
        <w:t>Growth:</w:t>
      </w:r>
      <w:r>
        <w:rPr>
          <w:spacing w:val="-9"/>
        </w:rPr>
        <w:t xml:space="preserve"> </w:t>
      </w:r>
      <w:r>
        <w:t>Does Firm Size Matter?"</w:t>
      </w:r>
      <w:r>
        <w:rPr>
          <w:spacing w:val="40"/>
        </w:rPr>
        <w:t xml:space="preserve"> </w:t>
      </w:r>
      <w:r>
        <w:rPr>
          <w:i/>
        </w:rPr>
        <w:t xml:space="preserve">Journal of Finance </w:t>
      </w:r>
      <w:r>
        <w:t>60 (1): 137–77.</w:t>
      </w:r>
    </w:p>
    <w:p>
      <w:pPr>
        <w:pStyle w:val="5"/>
        <w:spacing w:before="11"/>
        <w:rPr>
          <w:sz w:val="21"/>
        </w:rPr>
      </w:pPr>
    </w:p>
    <w:p>
      <w:pPr>
        <w:pStyle w:val="5"/>
        <w:spacing w:line="242" w:lineRule="auto"/>
        <w:ind w:left="920" w:right="196" w:hanging="720"/>
        <w:jc w:val="both"/>
      </w:pPr>
      <w:r>
        <w:t xml:space="preserve">Boar, C., S. Claessens, A. Kosse, R. Leckow, and T. Rice. 2021. </w:t>
      </w:r>
      <w:r>
        <w:rPr>
          <w:rFonts w:hint="eastAsia" w:eastAsia="宋体"/>
          <w:lang w:eastAsia="zh-CN"/>
        </w:rPr>
        <w:t>“</w:t>
      </w:r>
      <w:r>
        <w:t>Interoperability between Payment Systems across Borders.</w:t>
      </w:r>
      <w:r>
        <w:rPr>
          <w:rFonts w:hint="eastAsia" w:eastAsia="宋体"/>
          <w:lang w:eastAsia="zh-CN"/>
        </w:rPr>
        <w:t>”</w:t>
      </w:r>
      <w:r>
        <w:t xml:space="preserve"> </w:t>
      </w:r>
      <w:r>
        <w:rPr>
          <w:i/>
        </w:rPr>
        <w:t xml:space="preserve">BIS Bulletin </w:t>
      </w:r>
      <w:r>
        <w:t>No. 49. Bank for International Settlements.</w:t>
      </w:r>
    </w:p>
    <w:p>
      <w:pPr>
        <w:pStyle w:val="5"/>
        <w:spacing w:before="9"/>
        <w:rPr>
          <w:sz w:val="21"/>
        </w:rPr>
      </w:pPr>
    </w:p>
    <w:p>
      <w:pPr>
        <w:ind w:left="920" w:right="191" w:hanging="720"/>
        <w:jc w:val="both"/>
      </w:pPr>
      <w:r>
        <w:t>Brock,</w:t>
      </w:r>
      <w:r>
        <w:rPr>
          <w:spacing w:val="-12"/>
        </w:rPr>
        <w:t xml:space="preserve"> </w:t>
      </w:r>
      <w:r>
        <w:t>M.,</w:t>
      </w:r>
      <w:r>
        <w:rPr>
          <w:spacing w:val="-9"/>
        </w:rPr>
        <w:t xml:space="preserve"> </w:t>
      </w:r>
      <w:r>
        <w:t>and</w:t>
      </w:r>
      <w:r>
        <w:rPr>
          <w:spacing w:val="-10"/>
        </w:rPr>
        <w:t xml:space="preserve"> </w:t>
      </w:r>
      <w:r>
        <w:t>R.</w:t>
      </w:r>
      <w:r>
        <w:rPr>
          <w:spacing w:val="-10"/>
        </w:rPr>
        <w:t xml:space="preserve"> </w:t>
      </w:r>
      <w:r>
        <w:t>De</w:t>
      </w:r>
      <w:r>
        <w:rPr>
          <w:spacing w:val="-9"/>
        </w:rPr>
        <w:t xml:space="preserve"> </w:t>
      </w:r>
      <w:r>
        <w:t>Haas.</w:t>
      </w:r>
      <w:r>
        <w:rPr>
          <w:spacing w:val="-11"/>
        </w:rPr>
        <w:t xml:space="preserve"> </w:t>
      </w:r>
      <w:r>
        <w:t>2023.</w:t>
      </w:r>
      <w:r>
        <w:rPr>
          <w:spacing w:val="-10"/>
        </w:rPr>
        <w:t xml:space="preserve"> </w:t>
      </w:r>
      <w:r>
        <w:rPr>
          <w:rFonts w:hint="eastAsia" w:eastAsia="宋体"/>
          <w:lang w:eastAsia="zh-CN"/>
        </w:rPr>
        <w:t>“</w:t>
      </w:r>
      <w:r>
        <w:t>Discriminatory</w:t>
      </w:r>
      <w:r>
        <w:rPr>
          <w:spacing w:val="-10"/>
        </w:rPr>
        <w:t xml:space="preserve"> </w:t>
      </w:r>
      <w:r>
        <w:t>Lending:</w:t>
      </w:r>
      <w:r>
        <w:rPr>
          <w:spacing w:val="-9"/>
        </w:rPr>
        <w:t xml:space="preserve"> </w:t>
      </w:r>
      <w:r>
        <w:t>Evidence</w:t>
      </w:r>
      <w:r>
        <w:rPr>
          <w:spacing w:val="-10"/>
        </w:rPr>
        <w:t xml:space="preserve"> </w:t>
      </w:r>
      <w:r>
        <w:t>from</w:t>
      </w:r>
      <w:r>
        <w:rPr>
          <w:spacing w:val="-9"/>
        </w:rPr>
        <w:t xml:space="preserve"> </w:t>
      </w:r>
      <w:r>
        <w:t>Bankers</w:t>
      </w:r>
      <w:r>
        <w:rPr>
          <w:spacing w:val="-10"/>
        </w:rPr>
        <w:t xml:space="preserve"> </w:t>
      </w:r>
      <w:r>
        <w:t>in</w:t>
      </w:r>
      <w:r>
        <w:rPr>
          <w:spacing w:val="-10"/>
        </w:rPr>
        <w:t xml:space="preserve"> </w:t>
      </w:r>
      <w:r>
        <w:t>the</w:t>
      </w:r>
      <w:r>
        <w:rPr>
          <w:spacing w:val="-9"/>
        </w:rPr>
        <w:t xml:space="preserve"> </w:t>
      </w:r>
      <w:r>
        <w:t>Lab.</w:t>
      </w:r>
      <w:r>
        <w:rPr>
          <w:rFonts w:hint="eastAsia" w:eastAsia="宋体"/>
          <w:lang w:eastAsia="zh-CN"/>
        </w:rPr>
        <w:t>”</w:t>
      </w:r>
      <w:r>
        <w:rPr>
          <w:spacing w:val="-6"/>
        </w:rPr>
        <w:t xml:space="preserve"> </w:t>
      </w:r>
      <w:r>
        <w:rPr>
          <w:i/>
        </w:rPr>
        <w:t xml:space="preserve">American Economic Journal: Applied Economics, </w:t>
      </w:r>
      <w:r>
        <w:t>15 (2, April): 31–68.</w:t>
      </w:r>
    </w:p>
    <w:p>
      <w:pPr>
        <w:pStyle w:val="5"/>
        <w:spacing w:before="11"/>
        <w:rPr>
          <w:sz w:val="21"/>
        </w:rPr>
      </w:pPr>
    </w:p>
    <w:p>
      <w:pPr>
        <w:pStyle w:val="5"/>
        <w:spacing w:line="252" w:lineRule="exact"/>
        <w:ind w:left="200"/>
      </w:pPr>
      <w:r>
        <w:t>Campos,</w:t>
      </w:r>
      <w:r>
        <w:rPr>
          <w:spacing w:val="-3"/>
        </w:rPr>
        <w:t xml:space="preserve"> </w:t>
      </w:r>
      <w:r>
        <w:t>F.</w:t>
      </w:r>
      <w:r>
        <w:rPr>
          <w:spacing w:val="-2"/>
        </w:rPr>
        <w:t xml:space="preserve"> </w:t>
      </w:r>
      <w:r>
        <w:t>M.,</w:t>
      </w:r>
      <w:r>
        <w:rPr>
          <w:spacing w:val="-2"/>
        </w:rPr>
        <w:t xml:space="preserve"> </w:t>
      </w:r>
      <w:r>
        <w:t>M.</w:t>
      </w:r>
      <w:r>
        <w:rPr>
          <w:spacing w:val="-2"/>
        </w:rPr>
        <w:t xml:space="preserve"> </w:t>
      </w:r>
      <w:r>
        <w:t>Frese,</w:t>
      </w:r>
      <w:r>
        <w:rPr>
          <w:spacing w:val="-3"/>
        </w:rPr>
        <w:t xml:space="preserve"> </w:t>
      </w:r>
      <w:r>
        <w:t>M.</w:t>
      </w:r>
      <w:r>
        <w:rPr>
          <w:spacing w:val="-3"/>
        </w:rPr>
        <w:t xml:space="preserve"> </w:t>
      </w:r>
      <w:r>
        <w:t>Goldstein,</w:t>
      </w:r>
      <w:r>
        <w:rPr>
          <w:spacing w:val="-2"/>
        </w:rPr>
        <w:t xml:space="preserve"> </w:t>
      </w:r>
      <w:r>
        <w:t>L.</w:t>
      </w:r>
      <w:r>
        <w:rPr>
          <w:spacing w:val="-2"/>
        </w:rPr>
        <w:t xml:space="preserve"> </w:t>
      </w:r>
      <w:r>
        <w:t>Iacovone,</w:t>
      </w:r>
      <w:r>
        <w:rPr>
          <w:spacing w:val="-3"/>
        </w:rPr>
        <w:t xml:space="preserve"> </w:t>
      </w:r>
      <w:r>
        <w:t>D.</w:t>
      </w:r>
      <w:r>
        <w:rPr>
          <w:spacing w:val="-3"/>
        </w:rPr>
        <w:t xml:space="preserve"> </w:t>
      </w:r>
      <w:r>
        <w:t>F.</w:t>
      </w:r>
      <w:r>
        <w:rPr>
          <w:spacing w:val="-2"/>
        </w:rPr>
        <w:t xml:space="preserve"> </w:t>
      </w:r>
      <w:r>
        <w:t>Johnson,</w:t>
      </w:r>
      <w:r>
        <w:rPr>
          <w:spacing w:val="-2"/>
        </w:rPr>
        <w:t xml:space="preserve"> </w:t>
      </w:r>
      <w:r>
        <w:t>D.</w:t>
      </w:r>
      <w:r>
        <w:rPr>
          <w:spacing w:val="-2"/>
        </w:rPr>
        <w:t xml:space="preserve"> </w:t>
      </w:r>
      <w:r>
        <w:t>McKenzie,</w:t>
      </w:r>
      <w:r>
        <w:rPr>
          <w:spacing w:val="-2"/>
        </w:rPr>
        <w:t xml:space="preserve"> </w:t>
      </w:r>
      <w:r>
        <w:t>and</w:t>
      </w:r>
      <w:r>
        <w:rPr>
          <w:spacing w:val="-4"/>
        </w:rPr>
        <w:t xml:space="preserve"> </w:t>
      </w:r>
      <w:r>
        <w:t>M.</w:t>
      </w:r>
      <w:r>
        <w:rPr>
          <w:spacing w:val="-2"/>
        </w:rPr>
        <w:t xml:space="preserve"> Mensmann.</w:t>
      </w:r>
    </w:p>
    <w:p>
      <w:pPr>
        <w:pStyle w:val="5"/>
        <w:ind w:left="920"/>
      </w:pPr>
      <w:r>
        <w:t>2018.</w:t>
      </w:r>
      <w:r>
        <w:rPr>
          <w:spacing w:val="-1"/>
        </w:rPr>
        <w:t xml:space="preserve"> </w:t>
      </w:r>
      <w:r>
        <w:rPr>
          <w:rFonts w:hint="eastAsia" w:eastAsia="宋体"/>
          <w:lang w:eastAsia="zh-CN"/>
        </w:rPr>
        <w:t>“</w:t>
      </w:r>
      <w:r>
        <w:t>Personal Initiative Training Leads to Remarkable Growth of Women-Owned Small Businesses</w:t>
      </w:r>
      <w:r>
        <w:rPr>
          <w:spacing w:val="-4"/>
        </w:rPr>
        <w:t xml:space="preserve"> </w:t>
      </w:r>
      <w:r>
        <w:t>in</w:t>
      </w:r>
      <w:r>
        <w:rPr>
          <w:spacing w:val="-2"/>
        </w:rPr>
        <w:t xml:space="preserve"> </w:t>
      </w:r>
      <w:r>
        <w:t>Togo.</w:t>
      </w:r>
      <w:r>
        <w:rPr>
          <w:rFonts w:hint="eastAsia" w:eastAsia="宋体"/>
          <w:lang w:eastAsia="zh-CN"/>
        </w:rPr>
        <w:t>”</w:t>
      </w:r>
      <w:r>
        <w:rPr>
          <w:spacing w:val="-13"/>
        </w:rPr>
        <w:t xml:space="preserve"> </w:t>
      </w:r>
      <w:r>
        <w:t>Gender</w:t>
      </w:r>
      <w:r>
        <w:rPr>
          <w:spacing w:val="-2"/>
        </w:rPr>
        <w:t xml:space="preserve"> </w:t>
      </w:r>
      <w:r>
        <w:t>Innovation</w:t>
      </w:r>
      <w:r>
        <w:rPr>
          <w:spacing w:val="-2"/>
        </w:rPr>
        <w:t xml:space="preserve"> </w:t>
      </w:r>
      <w:r>
        <w:t>Lab</w:t>
      </w:r>
      <w:r>
        <w:rPr>
          <w:spacing w:val="-2"/>
        </w:rPr>
        <w:t xml:space="preserve"> </w:t>
      </w:r>
      <w:r>
        <w:t>Policy</w:t>
      </w:r>
      <w:r>
        <w:rPr>
          <w:spacing w:val="-2"/>
        </w:rPr>
        <w:t xml:space="preserve"> </w:t>
      </w:r>
      <w:r>
        <w:t>Brief</w:t>
      </w:r>
      <w:r>
        <w:rPr>
          <w:spacing w:val="-2"/>
        </w:rPr>
        <w:t xml:space="preserve"> </w:t>
      </w:r>
      <w:r>
        <w:t>No.</w:t>
      </w:r>
      <w:r>
        <w:rPr>
          <w:spacing w:val="-2"/>
        </w:rPr>
        <w:t xml:space="preserve"> </w:t>
      </w:r>
      <w:r>
        <w:t>22.</w:t>
      </w:r>
      <w:r>
        <w:rPr>
          <w:spacing w:val="-15"/>
        </w:rPr>
        <w:t xml:space="preserve"> </w:t>
      </w:r>
      <w:r>
        <w:t>World</w:t>
      </w:r>
      <w:r>
        <w:rPr>
          <w:spacing w:val="-2"/>
        </w:rPr>
        <w:t xml:space="preserve"> </w:t>
      </w:r>
      <w:r>
        <w:t>Bank,</w:t>
      </w:r>
      <w:r>
        <w:rPr>
          <w:spacing w:val="-7"/>
        </w:rPr>
        <w:t xml:space="preserve"> </w:t>
      </w:r>
      <w:r>
        <w:t>Washington,</w:t>
      </w:r>
      <w:r>
        <w:rPr>
          <w:spacing w:val="-2"/>
        </w:rPr>
        <w:t xml:space="preserve"> </w:t>
      </w:r>
      <w:r>
        <w:t>DC.</w:t>
      </w:r>
    </w:p>
    <w:p>
      <w:pPr>
        <w:pStyle w:val="5"/>
        <w:spacing w:before="1"/>
      </w:pPr>
    </w:p>
    <w:p>
      <w:pPr>
        <w:pStyle w:val="5"/>
        <w:ind w:left="920" w:right="197" w:hanging="720"/>
        <w:jc w:val="both"/>
      </w:pPr>
      <w:r>
        <w:t>Coelho,</w:t>
      </w:r>
      <w:r>
        <w:rPr>
          <w:spacing w:val="-14"/>
        </w:rPr>
        <w:t xml:space="preserve"> </w:t>
      </w:r>
      <w:r>
        <w:t>R.</w:t>
      </w:r>
      <w:r>
        <w:rPr>
          <w:spacing w:val="-14"/>
        </w:rPr>
        <w:t xml:space="preserve"> </w:t>
      </w:r>
      <w:r>
        <w:t>and</w:t>
      </w:r>
      <w:r>
        <w:rPr>
          <w:spacing w:val="-14"/>
        </w:rPr>
        <w:t xml:space="preserve"> </w:t>
      </w:r>
      <w:r>
        <w:t>F.</w:t>
      </w:r>
      <w:r>
        <w:rPr>
          <w:spacing w:val="-13"/>
        </w:rPr>
        <w:t xml:space="preserve"> </w:t>
      </w:r>
      <w:r>
        <w:t>Restoy.</w:t>
      </w:r>
      <w:r>
        <w:rPr>
          <w:spacing w:val="-14"/>
        </w:rPr>
        <w:t xml:space="preserve"> </w:t>
      </w:r>
      <w:r>
        <w:t>2022.</w:t>
      </w:r>
      <w:r>
        <w:rPr>
          <w:spacing w:val="-14"/>
        </w:rPr>
        <w:t xml:space="preserve"> </w:t>
      </w:r>
      <w:r>
        <w:rPr>
          <w:rFonts w:hint="eastAsia" w:eastAsia="宋体"/>
          <w:lang w:eastAsia="zh-CN"/>
        </w:rPr>
        <w:t>“</w:t>
      </w:r>
      <w:r>
        <w:t>The</w:t>
      </w:r>
      <w:r>
        <w:rPr>
          <w:spacing w:val="-14"/>
        </w:rPr>
        <w:t xml:space="preserve"> </w:t>
      </w:r>
      <w:r>
        <w:t>Regulatory</w:t>
      </w:r>
      <w:r>
        <w:rPr>
          <w:spacing w:val="-13"/>
        </w:rPr>
        <w:t xml:space="preserve"> </w:t>
      </w:r>
      <w:r>
        <w:t>Response</w:t>
      </w:r>
      <w:r>
        <w:rPr>
          <w:spacing w:val="-14"/>
        </w:rPr>
        <w:t xml:space="preserve"> </w:t>
      </w:r>
      <w:r>
        <w:t>to</w:t>
      </w:r>
      <w:r>
        <w:rPr>
          <w:spacing w:val="-14"/>
        </w:rPr>
        <w:t xml:space="preserve"> </w:t>
      </w:r>
      <w:r>
        <w:t>Climate</w:t>
      </w:r>
      <w:r>
        <w:rPr>
          <w:spacing w:val="-14"/>
        </w:rPr>
        <w:t xml:space="preserve"> </w:t>
      </w:r>
      <w:r>
        <w:t>Risks:</w:t>
      </w:r>
      <w:r>
        <w:rPr>
          <w:spacing w:val="-13"/>
        </w:rPr>
        <w:t xml:space="preserve"> </w:t>
      </w:r>
      <w:r>
        <w:t>Some</w:t>
      </w:r>
      <w:r>
        <w:rPr>
          <w:spacing w:val="-14"/>
        </w:rPr>
        <w:t xml:space="preserve"> </w:t>
      </w:r>
      <w:r>
        <w:t>Challenges.</w:t>
      </w:r>
      <w:r>
        <w:rPr>
          <w:rFonts w:hint="eastAsia" w:eastAsia="宋体"/>
          <w:lang w:eastAsia="zh-CN"/>
        </w:rPr>
        <w:t>”</w:t>
      </w:r>
      <w:r>
        <w:rPr>
          <w:spacing w:val="-14"/>
        </w:rPr>
        <w:t xml:space="preserve"> </w:t>
      </w:r>
      <w:r>
        <w:t>FSI</w:t>
      </w:r>
      <w:r>
        <w:rPr>
          <w:spacing w:val="-14"/>
        </w:rPr>
        <w:t xml:space="preserve"> </w:t>
      </w:r>
      <w:r>
        <w:t>Briefs No. 16. Bank for International Settlements.</w:t>
      </w:r>
    </w:p>
    <w:p>
      <w:pPr>
        <w:pStyle w:val="5"/>
      </w:pPr>
    </w:p>
    <w:p>
      <w:pPr>
        <w:pStyle w:val="5"/>
        <w:ind w:left="920" w:right="196" w:hanging="720"/>
        <w:jc w:val="both"/>
      </w:pPr>
      <w:r>
        <w:t>Cucagna,</w:t>
      </w:r>
      <w:r>
        <w:rPr>
          <w:spacing w:val="-5"/>
        </w:rPr>
        <w:t xml:space="preserve"> </w:t>
      </w:r>
      <w:r>
        <w:t>E.,</w:t>
      </w:r>
      <w:r>
        <w:rPr>
          <w:spacing w:val="-6"/>
        </w:rPr>
        <w:t xml:space="preserve"> </w:t>
      </w:r>
      <w:r>
        <w:t>L.</w:t>
      </w:r>
      <w:r>
        <w:rPr>
          <w:spacing w:val="-6"/>
        </w:rPr>
        <w:t xml:space="preserve"> </w:t>
      </w:r>
      <w:r>
        <w:t>Iacovone,</w:t>
      </w:r>
      <w:r>
        <w:rPr>
          <w:spacing w:val="-5"/>
        </w:rPr>
        <w:t xml:space="preserve"> </w:t>
      </w:r>
      <w:r>
        <w:t>and</w:t>
      </w:r>
      <w:r>
        <w:rPr>
          <w:spacing w:val="-6"/>
        </w:rPr>
        <w:t xml:space="preserve"> </w:t>
      </w:r>
      <w:r>
        <w:t>E.</w:t>
      </w:r>
      <w:r>
        <w:rPr>
          <w:spacing w:val="-6"/>
        </w:rPr>
        <w:t xml:space="preserve"> </w:t>
      </w:r>
      <w:r>
        <w:t>Rubiano-Matulevich.</w:t>
      </w:r>
      <w:r>
        <w:rPr>
          <w:spacing w:val="-7"/>
        </w:rPr>
        <w:t xml:space="preserve"> </w:t>
      </w:r>
      <w:r>
        <w:t>2020.</w:t>
      </w:r>
      <w:r>
        <w:rPr>
          <w:spacing w:val="-14"/>
        </w:rPr>
        <w:t xml:space="preserve"> </w:t>
      </w:r>
      <w:r>
        <w:rPr>
          <w:rFonts w:hint="eastAsia" w:eastAsia="宋体"/>
          <w:lang w:eastAsia="zh-CN"/>
        </w:rPr>
        <w:t>“</w:t>
      </w:r>
      <w:r>
        <w:t>Women</w:t>
      </w:r>
      <w:r>
        <w:rPr>
          <w:spacing w:val="-7"/>
        </w:rPr>
        <w:t xml:space="preserve"> </w:t>
      </w:r>
      <w:r>
        <w:t>Entrepreneurs</w:t>
      </w:r>
      <w:r>
        <w:rPr>
          <w:spacing w:val="-7"/>
        </w:rPr>
        <w:t xml:space="preserve"> </w:t>
      </w:r>
      <w:r>
        <w:t>in</w:t>
      </w:r>
      <w:r>
        <w:rPr>
          <w:spacing w:val="-6"/>
        </w:rPr>
        <w:t xml:space="preserve"> </w:t>
      </w:r>
      <w:r>
        <w:t>Mexico:</w:t>
      </w:r>
      <w:r>
        <w:rPr>
          <w:spacing w:val="-5"/>
        </w:rPr>
        <w:t xml:space="preserve"> </w:t>
      </w:r>
      <w:r>
        <w:t>Breaking Sectoral Segmentation and Increasing Profits.</w:t>
      </w:r>
      <w:r>
        <w:rPr>
          <w:rFonts w:hint="eastAsia" w:eastAsia="宋体"/>
          <w:lang w:eastAsia="zh-CN"/>
        </w:rPr>
        <w:t>”</w:t>
      </w:r>
      <w:r>
        <w:t xml:space="preserve"> World Bank, Washington, DC.</w:t>
      </w:r>
    </w:p>
    <w:p>
      <w:pPr>
        <w:pStyle w:val="5"/>
        <w:spacing w:before="11"/>
        <w:rPr>
          <w:sz w:val="21"/>
        </w:rPr>
      </w:pPr>
    </w:p>
    <w:p>
      <w:pPr>
        <w:ind w:left="920" w:right="198" w:hanging="720"/>
        <w:jc w:val="both"/>
      </w:pPr>
      <w:r>
        <w:t xml:space="preserve">Demirgüç-Kunt, A., T. Beck, and P. Honohan. 2008. </w:t>
      </w:r>
      <w:r>
        <w:rPr>
          <w:i/>
        </w:rPr>
        <w:t>Finance for All? Policies and Pitfalls in Expanding Access</w:t>
      </w:r>
      <w:r>
        <w:t>. Washington, DC: World Bank.</w:t>
      </w:r>
    </w:p>
    <w:p>
      <w:pPr>
        <w:pStyle w:val="5"/>
        <w:spacing w:before="11"/>
        <w:rPr>
          <w:sz w:val="21"/>
        </w:rPr>
      </w:pPr>
    </w:p>
    <w:p>
      <w:pPr>
        <w:ind w:left="920" w:right="194" w:hanging="720"/>
        <w:jc w:val="both"/>
      </w:pPr>
      <w:r>
        <w:t xml:space="preserve">European Supervisory Authorities (EIOPA, EBA, and ESMA). 2013. </w:t>
      </w:r>
      <w:r>
        <w:rPr>
          <w:i/>
        </w:rPr>
        <w:t>Preliminary Report on Anti-Money Laundering and Counter Financing of Terrorism Risk-based Supervision</w:t>
      </w:r>
      <w:r>
        <w:t xml:space="preserve">. JC-2013-72. October </w:t>
      </w:r>
      <w:r>
        <w:rPr>
          <w:spacing w:val="-2"/>
        </w:rPr>
        <w:t>2013.</w:t>
      </w:r>
    </w:p>
    <w:p>
      <w:pPr>
        <w:pStyle w:val="5"/>
        <w:spacing w:before="1"/>
      </w:pPr>
    </w:p>
    <w:p>
      <w:pPr>
        <w:pStyle w:val="5"/>
        <w:spacing w:line="252" w:lineRule="exact"/>
        <w:ind w:left="200"/>
      </w:pPr>
      <w:r>
        <w:t>European</w:t>
      </w:r>
      <w:r>
        <w:rPr>
          <w:spacing w:val="-5"/>
        </w:rPr>
        <w:t xml:space="preserve"> </w:t>
      </w:r>
      <w:r>
        <w:t>Parliament.</w:t>
      </w:r>
      <w:r>
        <w:rPr>
          <w:spacing w:val="-4"/>
        </w:rPr>
        <w:t xml:space="preserve"> </w:t>
      </w:r>
      <w:r>
        <w:t>2015.</w:t>
      </w:r>
      <w:r>
        <w:rPr>
          <w:spacing w:val="-7"/>
        </w:rPr>
        <w:t xml:space="preserve"> </w:t>
      </w:r>
      <w:r>
        <w:t>European</w:t>
      </w:r>
      <w:r>
        <w:rPr>
          <w:spacing w:val="-4"/>
        </w:rPr>
        <w:t xml:space="preserve"> </w:t>
      </w:r>
      <w:r>
        <w:t>Union</w:t>
      </w:r>
      <w:r>
        <w:rPr>
          <w:spacing w:val="-4"/>
        </w:rPr>
        <w:t xml:space="preserve"> </w:t>
      </w:r>
      <w:r>
        <w:t>Second</w:t>
      </w:r>
      <w:r>
        <w:rPr>
          <w:spacing w:val="-3"/>
        </w:rPr>
        <w:t xml:space="preserve"> </w:t>
      </w:r>
      <w:r>
        <w:t>Payment</w:t>
      </w:r>
      <w:r>
        <w:rPr>
          <w:spacing w:val="-3"/>
        </w:rPr>
        <w:t xml:space="preserve"> </w:t>
      </w:r>
      <w:r>
        <w:t>Services</w:t>
      </w:r>
      <w:r>
        <w:rPr>
          <w:spacing w:val="-5"/>
        </w:rPr>
        <w:t xml:space="preserve"> </w:t>
      </w:r>
      <w:r>
        <w:t>Directive</w:t>
      </w:r>
      <w:r>
        <w:rPr>
          <w:spacing w:val="-5"/>
        </w:rPr>
        <w:t xml:space="preserve"> </w:t>
      </w:r>
      <w:r>
        <w:rPr>
          <w:spacing w:val="-2"/>
        </w:rPr>
        <w:t>2015/2366.</w:t>
      </w:r>
    </w:p>
    <w:p>
      <w:pPr>
        <w:pStyle w:val="5"/>
        <w:spacing w:line="242" w:lineRule="auto"/>
        <w:ind w:left="920" w:right="191" w:hanging="720"/>
        <w:jc w:val="both"/>
      </w:pPr>
      <w:r>
        <w:t>FATF</w:t>
      </w:r>
      <w:r>
        <w:rPr>
          <w:spacing w:val="80"/>
        </w:rPr>
        <w:t xml:space="preserve"> </w:t>
      </w:r>
      <w:r>
        <w:t>(Financial</w:t>
      </w:r>
      <w:r>
        <w:rPr>
          <w:spacing w:val="80"/>
        </w:rPr>
        <w:t xml:space="preserve"> </w:t>
      </w:r>
      <w:r>
        <w:t>Action</w:t>
      </w:r>
      <w:r>
        <w:rPr>
          <w:spacing w:val="80"/>
        </w:rPr>
        <w:t xml:space="preserve"> </w:t>
      </w:r>
      <w:r>
        <w:t>Task</w:t>
      </w:r>
      <w:r>
        <w:rPr>
          <w:spacing w:val="80"/>
        </w:rPr>
        <w:t xml:space="preserve"> </w:t>
      </w:r>
      <w:r>
        <w:t>Force).</w:t>
      </w:r>
      <w:r>
        <w:rPr>
          <w:spacing w:val="80"/>
        </w:rPr>
        <w:t xml:space="preserve"> </w:t>
      </w:r>
      <w:r>
        <w:t>2014.</w:t>
      </w:r>
      <w:r>
        <w:rPr>
          <w:spacing w:val="80"/>
        </w:rPr>
        <w:t xml:space="preserve"> </w:t>
      </w:r>
      <w:r>
        <w:t>"Guidance</w:t>
      </w:r>
      <w:r>
        <w:rPr>
          <w:spacing w:val="80"/>
        </w:rPr>
        <w:t xml:space="preserve"> </w:t>
      </w:r>
      <w:r>
        <w:t>for</w:t>
      </w:r>
      <w:r>
        <w:rPr>
          <w:spacing w:val="80"/>
        </w:rPr>
        <w:t xml:space="preserve"> </w:t>
      </w:r>
      <w:r>
        <w:t>a</w:t>
      </w:r>
      <w:r>
        <w:rPr>
          <w:spacing w:val="80"/>
        </w:rPr>
        <w:t xml:space="preserve"> </w:t>
      </w:r>
      <w:r>
        <w:t>Risk-Based</w:t>
      </w:r>
      <w:r>
        <w:rPr>
          <w:spacing w:val="80"/>
        </w:rPr>
        <w:t xml:space="preserve"> </w:t>
      </w:r>
      <w:r>
        <w:t>Approach-Banking Sector." FATF, Paris.</w:t>
      </w:r>
    </w:p>
    <w:p>
      <w:pPr>
        <w:pStyle w:val="5"/>
        <w:spacing w:before="6"/>
        <w:rPr>
          <w:sz w:val="21"/>
        </w:rPr>
      </w:pPr>
    </w:p>
    <w:p>
      <w:pPr>
        <w:pStyle w:val="5"/>
        <w:ind w:left="200"/>
      </w:pPr>
      <w:r>
        <w:t>FATF</w:t>
      </w:r>
      <w:r>
        <w:rPr>
          <w:spacing w:val="-8"/>
        </w:rPr>
        <w:t xml:space="preserve"> </w:t>
      </w:r>
      <w:r>
        <w:t>(Financial</w:t>
      </w:r>
      <w:r>
        <w:rPr>
          <w:spacing w:val="-3"/>
        </w:rPr>
        <w:t xml:space="preserve"> </w:t>
      </w:r>
      <w:r>
        <w:t>Action</w:t>
      </w:r>
      <w:r>
        <w:rPr>
          <w:spacing w:val="-4"/>
        </w:rPr>
        <w:t xml:space="preserve"> </w:t>
      </w:r>
      <w:r>
        <w:t>Task</w:t>
      </w:r>
      <w:r>
        <w:rPr>
          <w:spacing w:val="-4"/>
        </w:rPr>
        <w:t xml:space="preserve"> </w:t>
      </w:r>
      <w:r>
        <w:t>Force).</w:t>
      </w:r>
      <w:r>
        <w:rPr>
          <w:spacing w:val="-7"/>
        </w:rPr>
        <w:t xml:space="preserve"> </w:t>
      </w:r>
      <w:r>
        <w:t>2020.</w:t>
      </w:r>
      <w:r>
        <w:rPr>
          <w:spacing w:val="-7"/>
        </w:rPr>
        <w:t xml:space="preserve"> </w:t>
      </w:r>
      <w:r>
        <w:rPr>
          <w:rFonts w:hint="eastAsia" w:eastAsia="宋体"/>
          <w:lang w:eastAsia="zh-CN"/>
        </w:rPr>
        <w:t>“</w:t>
      </w:r>
      <w:r>
        <w:t>Guidance</w:t>
      </w:r>
      <w:r>
        <w:rPr>
          <w:spacing w:val="-6"/>
        </w:rPr>
        <w:t xml:space="preserve"> </w:t>
      </w:r>
      <w:r>
        <w:t>on</w:t>
      </w:r>
      <w:r>
        <w:rPr>
          <w:spacing w:val="-5"/>
        </w:rPr>
        <w:t xml:space="preserve"> </w:t>
      </w:r>
      <w:r>
        <w:t>Digital</w:t>
      </w:r>
      <w:r>
        <w:rPr>
          <w:spacing w:val="-3"/>
        </w:rPr>
        <w:t xml:space="preserve"> </w:t>
      </w:r>
      <w:r>
        <w:t>Identity.</w:t>
      </w:r>
      <w:r>
        <w:rPr>
          <w:rFonts w:hint="eastAsia" w:eastAsia="宋体"/>
          <w:lang w:eastAsia="zh-CN"/>
        </w:rPr>
        <w:t>”</w:t>
      </w:r>
      <w:r>
        <w:rPr>
          <w:spacing w:val="-4"/>
        </w:rPr>
        <w:t xml:space="preserve"> </w:t>
      </w:r>
      <w:r>
        <w:t>FATF,</w:t>
      </w:r>
      <w:r>
        <w:rPr>
          <w:spacing w:val="-4"/>
        </w:rPr>
        <w:t xml:space="preserve"> </w:t>
      </w:r>
      <w:r>
        <w:rPr>
          <w:spacing w:val="-2"/>
        </w:rPr>
        <w:t>Paris.</w:t>
      </w:r>
    </w:p>
    <w:p>
      <w:pPr>
        <w:pStyle w:val="5"/>
      </w:pPr>
    </w:p>
    <w:p>
      <w:pPr>
        <w:ind w:left="920" w:right="192" w:hanging="720"/>
        <w:jc w:val="both"/>
      </w:pPr>
      <w:r>
        <w:t xml:space="preserve">FMO (Entrepreneurial Development Bank) and IFC (International Finance Corporation). 2020. </w:t>
      </w:r>
      <w:r>
        <w:rPr>
          <w:i/>
        </w:rPr>
        <w:t>Non- Financial Services: The Key to Unlocking</w:t>
      </w:r>
      <w:r>
        <w:rPr>
          <w:i/>
          <w:spacing w:val="-2"/>
        </w:rPr>
        <w:t xml:space="preserve"> </w:t>
      </w:r>
      <w:r>
        <w:rPr>
          <w:i/>
        </w:rPr>
        <w:t>the Growth</w:t>
      </w:r>
      <w:r>
        <w:rPr>
          <w:i/>
          <w:spacing w:val="-2"/>
        </w:rPr>
        <w:t xml:space="preserve"> </w:t>
      </w:r>
      <w:r>
        <w:rPr>
          <w:i/>
        </w:rPr>
        <w:t>Potential of Women-led</w:t>
      </w:r>
      <w:r>
        <w:rPr>
          <w:i/>
          <w:spacing w:val="-2"/>
        </w:rPr>
        <w:t xml:space="preserve"> </w:t>
      </w:r>
      <w:r>
        <w:rPr>
          <w:i/>
        </w:rPr>
        <w:t>Small and</w:t>
      </w:r>
      <w:r>
        <w:rPr>
          <w:i/>
          <w:spacing w:val="-2"/>
        </w:rPr>
        <w:t xml:space="preserve"> </w:t>
      </w:r>
      <w:r>
        <w:rPr>
          <w:i/>
        </w:rPr>
        <w:t>Medium Enterprises for Banks</w:t>
      </w:r>
      <w:r>
        <w:t>. FMO and IFC.</w:t>
      </w:r>
    </w:p>
    <w:p>
      <w:pPr>
        <w:pStyle w:val="5"/>
        <w:spacing w:before="1"/>
      </w:pPr>
    </w:p>
    <w:p>
      <w:pPr>
        <w:ind w:left="920" w:right="194" w:hanging="720"/>
        <w:jc w:val="both"/>
      </w:pPr>
      <w:r>
        <w:t xml:space="preserve">Giannetti, C., and N. Jentzsch. 2013. </w:t>
      </w:r>
      <w:r>
        <w:rPr>
          <w:rFonts w:hint="eastAsia" w:eastAsia="宋体"/>
          <w:lang w:eastAsia="zh-CN"/>
        </w:rPr>
        <w:t>“</w:t>
      </w:r>
      <w:r>
        <w:t>Credit Reporting, Financial Intermediation and Identification Systems: International Evidence.</w:t>
      </w:r>
      <w:r>
        <w:rPr>
          <w:rFonts w:hint="eastAsia" w:eastAsia="宋体"/>
          <w:lang w:eastAsia="zh-CN"/>
        </w:rPr>
        <w:t>”</w:t>
      </w:r>
      <w:r>
        <w:t xml:space="preserve"> </w:t>
      </w:r>
      <w:r>
        <w:rPr>
          <w:i/>
        </w:rPr>
        <w:t>Journal of International Money and Finance</w:t>
      </w:r>
      <w:r>
        <w:t>. 33: 60–80.</w:t>
      </w:r>
    </w:p>
    <w:p>
      <w:pPr>
        <w:pStyle w:val="5"/>
      </w:pPr>
    </w:p>
    <w:p>
      <w:pPr>
        <w:ind w:left="920" w:right="196" w:hanging="720"/>
        <w:jc w:val="both"/>
      </w:pPr>
      <w:r>
        <w:t xml:space="preserve">ICMA (International Capital Market Association). 2021. </w:t>
      </w:r>
      <w:r>
        <w:rPr>
          <w:i/>
        </w:rPr>
        <w:t>Handbook–Harmonised Framework for Impact Reporting</w:t>
      </w:r>
      <w:r>
        <w:t>. ICMA.</w:t>
      </w:r>
    </w:p>
    <w:p>
      <w:pPr>
        <w:jc w:val="both"/>
        <w:sectPr>
          <w:pgSz w:w="12240" w:h="15840"/>
          <w:pgMar w:top="1360" w:right="1240" w:bottom="280" w:left="1240" w:header="720" w:footer="720" w:gutter="0"/>
          <w:cols w:space="720" w:num="1"/>
        </w:sectPr>
      </w:pPr>
    </w:p>
    <w:p>
      <w:pPr>
        <w:pStyle w:val="5"/>
        <w:spacing w:before="79"/>
        <w:ind w:left="920" w:hanging="720"/>
      </w:pPr>
      <w:r>
        <w:t xml:space="preserve">IFC (International Finance Corporation). 2017. </w:t>
      </w:r>
      <w:r>
        <w:rPr>
          <w:rFonts w:hint="eastAsia" w:eastAsia="宋体"/>
          <w:lang w:eastAsia="zh-CN"/>
        </w:rPr>
        <w:t>“</w:t>
      </w:r>
      <w:r>
        <w:t>Gender Intelligence for Banks—Moving the Needle on Gender Equality.</w:t>
      </w:r>
      <w:r>
        <w:rPr>
          <w:rFonts w:hint="eastAsia" w:eastAsia="宋体"/>
          <w:lang w:eastAsia="zh-CN"/>
        </w:rPr>
        <w:t>”</w:t>
      </w:r>
      <w:r>
        <w:t xml:space="preserve"> World Bank Group, Washington, DC.</w:t>
      </w:r>
    </w:p>
    <w:p>
      <w:pPr>
        <w:pStyle w:val="5"/>
        <w:spacing w:before="10"/>
        <w:rPr>
          <w:sz w:val="21"/>
        </w:rPr>
      </w:pPr>
    </w:p>
    <w:p>
      <w:pPr>
        <w:spacing w:before="1"/>
        <w:ind w:left="920" w:right="195" w:hanging="720"/>
      </w:pPr>
      <w:r>
        <w:t xml:space="preserve">IFC (International Finance Corporation). 2020. </w:t>
      </w:r>
      <w:r>
        <w:rPr>
          <w:i/>
        </w:rPr>
        <w:t xml:space="preserve">The Basic Green Finance Reference Guide. </w:t>
      </w:r>
      <w:r>
        <w:t>Washington, DC: IFC.</w:t>
      </w:r>
    </w:p>
    <w:p>
      <w:pPr>
        <w:pStyle w:val="5"/>
        <w:spacing w:before="10"/>
        <w:rPr>
          <w:sz w:val="21"/>
        </w:rPr>
      </w:pPr>
    </w:p>
    <w:p>
      <w:pPr>
        <w:spacing w:before="1"/>
        <w:ind w:left="920" w:hanging="720"/>
        <w:rPr>
          <w:i/>
        </w:rPr>
      </w:pPr>
      <w:r>
        <w:t xml:space="preserve">LMA (Loan Market Association). 2021. </w:t>
      </w:r>
      <w:r>
        <w:rPr>
          <w:i/>
        </w:rPr>
        <w:t>Green Loan Principles. Supporting Environmentally Sustainable Economic Activity.</w:t>
      </w:r>
    </w:p>
    <w:p>
      <w:pPr>
        <w:pStyle w:val="5"/>
        <w:spacing w:before="1"/>
        <w:rPr>
          <w:i/>
        </w:rPr>
      </w:pPr>
    </w:p>
    <w:p>
      <w:pPr>
        <w:pStyle w:val="5"/>
        <w:spacing w:before="1"/>
        <w:ind w:left="920" w:hanging="720"/>
      </w:pPr>
      <w:r>
        <w:t xml:space="preserve">Martinez Peria, M. S., and S. Singh. 2014. </w:t>
      </w:r>
      <w:r>
        <w:rPr>
          <w:rFonts w:hint="eastAsia" w:eastAsia="宋体"/>
          <w:lang w:eastAsia="zh-CN"/>
        </w:rPr>
        <w:t>“</w:t>
      </w:r>
      <w:r>
        <w:t>The Impact of Credit Information Sharing Reforms on Firm Financing.</w:t>
      </w:r>
      <w:r>
        <w:rPr>
          <w:rFonts w:hint="eastAsia" w:eastAsia="宋体"/>
          <w:lang w:eastAsia="zh-CN"/>
        </w:rPr>
        <w:t>”</w:t>
      </w:r>
      <w:r>
        <w:t xml:space="preserve"> Policy Research Working Paper 7013. World Bank, Washington, DC.</w:t>
      </w:r>
    </w:p>
    <w:p>
      <w:pPr>
        <w:pStyle w:val="5"/>
        <w:spacing w:before="11"/>
        <w:rPr>
          <w:sz w:val="21"/>
        </w:rPr>
      </w:pPr>
    </w:p>
    <w:p>
      <w:pPr>
        <w:pStyle w:val="5"/>
        <w:ind w:left="920" w:hanging="720"/>
      </w:pPr>
      <w:r>
        <w:t>Nicholls,</w:t>
      </w:r>
      <w:r>
        <w:rPr>
          <w:spacing w:val="75"/>
        </w:rPr>
        <w:t xml:space="preserve"> </w:t>
      </w:r>
      <w:r>
        <w:t>A.</w:t>
      </w:r>
      <w:r>
        <w:rPr>
          <w:spacing w:val="75"/>
        </w:rPr>
        <w:t xml:space="preserve"> </w:t>
      </w:r>
      <w:r>
        <w:t>2019.</w:t>
      </w:r>
      <w:r>
        <w:rPr>
          <w:spacing w:val="75"/>
        </w:rPr>
        <w:t xml:space="preserve"> </w:t>
      </w:r>
      <w:r>
        <w:rPr>
          <w:rFonts w:hint="eastAsia" w:eastAsia="宋体"/>
          <w:lang w:eastAsia="zh-CN"/>
        </w:rPr>
        <w:t>“</w:t>
      </w:r>
      <w:r>
        <w:t>Policies,</w:t>
      </w:r>
      <w:r>
        <w:rPr>
          <w:spacing w:val="75"/>
        </w:rPr>
        <w:t xml:space="preserve"> </w:t>
      </w:r>
      <w:r>
        <w:t>Initiatives,</w:t>
      </w:r>
      <w:r>
        <w:rPr>
          <w:spacing w:val="75"/>
        </w:rPr>
        <w:t xml:space="preserve"> </w:t>
      </w:r>
      <w:r>
        <w:t>and</w:t>
      </w:r>
      <w:r>
        <w:rPr>
          <w:spacing w:val="75"/>
        </w:rPr>
        <w:t xml:space="preserve"> </w:t>
      </w:r>
      <w:r>
        <w:t>Regulations</w:t>
      </w:r>
      <w:r>
        <w:rPr>
          <w:spacing w:val="75"/>
        </w:rPr>
        <w:t xml:space="preserve"> </w:t>
      </w:r>
      <w:r>
        <w:t>Related</w:t>
      </w:r>
      <w:r>
        <w:rPr>
          <w:spacing w:val="75"/>
        </w:rPr>
        <w:t xml:space="preserve"> </w:t>
      </w:r>
      <w:r>
        <w:t>to</w:t>
      </w:r>
      <w:r>
        <w:rPr>
          <w:spacing w:val="75"/>
        </w:rPr>
        <w:t xml:space="preserve"> </w:t>
      </w:r>
      <w:r>
        <w:t>Sustainable</w:t>
      </w:r>
      <w:r>
        <w:rPr>
          <w:spacing w:val="75"/>
        </w:rPr>
        <w:t xml:space="preserve"> </w:t>
      </w:r>
      <w:r>
        <w:t>Finance.</w:t>
      </w:r>
      <w:r>
        <w:rPr>
          <w:rFonts w:hint="eastAsia" w:eastAsia="宋体"/>
          <w:lang w:eastAsia="zh-CN"/>
        </w:rPr>
        <w:t>”</w:t>
      </w:r>
      <w:r>
        <w:rPr>
          <w:spacing w:val="75"/>
        </w:rPr>
        <w:t xml:space="preserve"> </w:t>
      </w:r>
      <w:r>
        <w:t>Asian Development Outlook 2021 Background Paper.</w:t>
      </w:r>
    </w:p>
    <w:p>
      <w:pPr>
        <w:pStyle w:val="5"/>
        <w:spacing w:before="11"/>
        <w:rPr>
          <w:sz w:val="21"/>
        </w:rPr>
      </w:pPr>
    </w:p>
    <w:p>
      <w:pPr>
        <w:ind w:left="920" w:hanging="720"/>
      </w:pPr>
      <w:r>
        <w:t>OCC</w:t>
      </w:r>
      <w:r>
        <w:rPr>
          <w:spacing w:val="-4"/>
        </w:rPr>
        <w:t xml:space="preserve"> </w:t>
      </w:r>
      <w:r>
        <w:t>(Office</w:t>
      </w:r>
      <w:r>
        <w:rPr>
          <w:spacing w:val="-4"/>
        </w:rPr>
        <w:t xml:space="preserve"> </w:t>
      </w:r>
      <w:r>
        <w:t>of</w:t>
      </w:r>
      <w:r>
        <w:rPr>
          <w:spacing w:val="-4"/>
        </w:rPr>
        <w:t xml:space="preserve"> </w:t>
      </w:r>
      <w:r>
        <w:t>the</w:t>
      </w:r>
      <w:r>
        <w:rPr>
          <w:spacing w:val="-3"/>
        </w:rPr>
        <w:t xml:space="preserve"> </w:t>
      </w:r>
      <w:r>
        <w:t>Comptroller</w:t>
      </w:r>
      <w:r>
        <w:rPr>
          <w:spacing w:val="-2"/>
        </w:rPr>
        <w:t xml:space="preserve"> </w:t>
      </w:r>
      <w:r>
        <w:t>of</w:t>
      </w:r>
      <w:r>
        <w:rPr>
          <w:spacing w:val="-4"/>
        </w:rPr>
        <w:t xml:space="preserve"> </w:t>
      </w:r>
      <w:r>
        <w:t>the</w:t>
      </w:r>
      <w:r>
        <w:rPr>
          <w:spacing w:val="-4"/>
        </w:rPr>
        <w:t xml:space="preserve"> </w:t>
      </w:r>
      <w:r>
        <w:t>Currency).</w:t>
      </w:r>
      <w:r>
        <w:rPr>
          <w:spacing w:val="-6"/>
        </w:rPr>
        <w:t xml:space="preserve"> </w:t>
      </w:r>
      <w:r>
        <w:t>2021</w:t>
      </w:r>
      <w:r>
        <w:rPr>
          <w:i/>
        </w:rPr>
        <w:t>.</w:t>
      </w:r>
      <w:r>
        <w:rPr>
          <w:i/>
          <w:spacing w:val="-4"/>
        </w:rPr>
        <w:t xml:space="preserve"> </w:t>
      </w:r>
      <w:r>
        <w:rPr>
          <w:i/>
        </w:rPr>
        <w:t>Comptroller’s</w:t>
      </w:r>
      <w:r>
        <w:rPr>
          <w:i/>
          <w:spacing w:val="-3"/>
        </w:rPr>
        <w:t xml:space="preserve"> </w:t>
      </w:r>
      <w:r>
        <w:rPr>
          <w:i/>
        </w:rPr>
        <w:t>Handbook:</w:t>
      </w:r>
      <w:r>
        <w:rPr>
          <w:i/>
          <w:spacing w:val="-4"/>
        </w:rPr>
        <w:t xml:space="preserve"> </w:t>
      </w:r>
      <w:r>
        <w:rPr>
          <w:i/>
        </w:rPr>
        <w:t>Payment</w:t>
      </w:r>
      <w:r>
        <w:rPr>
          <w:i/>
          <w:spacing w:val="-3"/>
        </w:rPr>
        <w:t xml:space="preserve"> </w:t>
      </w:r>
      <w:r>
        <w:rPr>
          <w:i/>
        </w:rPr>
        <w:t>Systems</w:t>
      </w:r>
      <w:r>
        <w:t>, October 2021. OCC.</w:t>
      </w:r>
    </w:p>
    <w:p>
      <w:pPr>
        <w:pStyle w:val="5"/>
        <w:spacing w:before="11"/>
        <w:rPr>
          <w:sz w:val="21"/>
        </w:rPr>
      </w:pPr>
    </w:p>
    <w:p>
      <w:pPr>
        <w:pStyle w:val="5"/>
        <w:ind w:left="920" w:hanging="720"/>
      </w:pPr>
      <w:r>
        <w:t>Pazarbasioglu,</w:t>
      </w:r>
      <w:r>
        <w:rPr>
          <w:spacing w:val="-2"/>
        </w:rPr>
        <w:t xml:space="preserve"> </w:t>
      </w:r>
      <w:r>
        <w:t>C.,</w:t>
      </w:r>
      <w:r>
        <w:rPr>
          <w:spacing w:val="-2"/>
        </w:rPr>
        <w:t xml:space="preserve"> </w:t>
      </w:r>
      <w:r>
        <w:t>A.</w:t>
      </w:r>
      <w:r>
        <w:rPr>
          <w:spacing w:val="-2"/>
        </w:rPr>
        <w:t xml:space="preserve"> </w:t>
      </w:r>
      <w:r>
        <w:t>G.</w:t>
      </w:r>
      <w:r>
        <w:rPr>
          <w:spacing w:val="-2"/>
        </w:rPr>
        <w:t xml:space="preserve"> </w:t>
      </w:r>
      <w:r>
        <w:t>Mora,</w:t>
      </w:r>
      <w:r>
        <w:rPr>
          <w:spacing w:val="-4"/>
        </w:rPr>
        <w:t xml:space="preserve"> </w:t>
      </w:r>
      <w:r>
        <w:t>M.</w:t>
      </w:r>
      <w:r>
        <w:rPr>
          <w:spacing w:val="-2"/>
        </w:rPr>
        <w:t xml:space="preserve"> </w:t>
      </w:r>
      <w:r>
        <w:t>Uttamchandani,</w:t>
      </w:r>
      <w:r>
        <w:rPr>
          <w:spacing w:val="-2"/>
        </w:rPr>
        <w:t xml:space="preserve"> </w:t>
      </w:r>
      <w:r>
        <w:t>H.</w:t>
      </w:r>
      <w:r>
        <w:rPr>
          <w:spacing w:val="-5"/>
        </w:rPr>
        <w:t xml:space="preserve"> </w:t>
      </w:r>
      <w:r>
        <w:t>Natarajan,</w:t>
      </w:r>
      <w:r>
        <w:rPr>
          <w:spacing w:val="-2"/>
        </w:rPr>
        <w:t xml:space="preserve"> </w:t>
      </w:r>
      <w:r>
        <w:t>E.</w:t>
      </w:r>
      <w:r>
        <w:rPr>
          <w:spacing w:val="-2"/>
        </w:rPr>
        <w:t xml:space="preserve"> </w:t>
      </w:r>
      <w:r>
        <w:t>Feyen,</w:t>
      </w:r>
      <w:r>
        <w:rPr>
          <w:spacing w:val="-2"/>
        </w:rPr>
        <w:t xml:space="preserve"> </w:t>
      </w:r>
      <w:r>
        <w:t>and</w:t>
      </w:r>
      <w:r>
        <w:rPr>
          <w:spacing w:val="-2"/>
        </w:rPr>
        <w:t xml:space="preserve"> </w:t>
      </w:r>
      <w:r>
        <w:t>M.</w:t>
      </w:r>
      <w:r>
        <w:rPr>
          <w:spacing w:val="-2"/>
        </w:rPr>
        <w:t xml:space="preserve"> </w:t>
      </w:r>
      <w:r>
        <w:t>Saal.</w:t>
      </w:r>
      <w:r>
        <w:rPr>
          <w:spacing w:val="-5"/>
        </w:rPr>
        <w:t xml:space="preserve"> </w:t>
      </w:r>
      <w:r>
        <w:t xml:space="preserve">2020. </w:t>
      </w:r>
      <w:r>
        <w:rPr>
          <w:i/>
        </w:rPr>
        <w:t>Digital Financial Services</w:t>
      </w:r>
      <w:r>
        <w:t>. Washington, DC: World Bank Group.</w:t>
      </w:r>
    </w:p>
    <w:p>
      <w:pPr>
        <w:pStyle w:val="5"/>
        <w:spacing w:before="5"/>
        <w:rPr>
          <w:sz w:val="23"/>
        </w:rPr>
      </w:pPr>
    </w:p>
    <w:p>
      <w:pPr>
        <w:ind w:left="920" w:right="193" w:hanging="720"/>
        <w:jc w:val="both"/>
      </w:pPr>
      <w:r>
        <w:t xml:space="preserve">Resendiz, R. M. 2018. </w:t>
      </w:r>
      <w:r>
        <w:rPr>
          <w:rFonts w:hint="eastAsia" w:eastAsia="宋体"/>
          <w:lang w:eastAsia="zh-CN"/>
        </w:rPr>
        <w:t>“</w:t>
      </w:r>
      <w:r>
        <w:t>The Role of Payment Systems and Services in Financial Inclusion–The Latin American and Caribbean Perspective.</w:t>
      </w:r>
      <w:r>
        <w:rPr>
          <w:rFonts w:hint="eastAsia" w:eastAsia="宋体"/>
          <w:lang w:eastAsia="zh-CN"/>
        </w:rPr>
        <w:t>”</w:t>
      </w:r>
      <w:r>
        <w:t xml:space="preserve"> IFC Bulletins chapters in </w:t>
      </w:r>
      <w:r>
        <w:rPr>
          <w:i/>
        </w:rPr>
        <w:t>The Role of Data in Supporting Financial Inclusion Policy</w:t>
      </w:r>
      <w:r>
        <w:t>, vol. 47, edited by Bank for International Settlements.</w:t>
      </w:r>
    </w:p>
    <w:p>
      <w:pPr>
        <w:pStyle w:val="5"/>
        <w:spacing w:before="1"/>
      </w:pPr>
    </w:p>
    <w:p>
      <w:pPr>
        <w:pStyle w:val="5"/>
        <w:spacing w:line="252" w:lineRule="exact"/>
        <w:ind w:left="200"/>
        <w:rPr>
          <w:rFonts w:eastAsia="宋体"/>
          <w:lang w:eastAsia="zh-CN"/>
        </w:rPr>
      </w:pPr>
      <w:r>
        <w:t>Saparito,</w:t>
      </w:r>
      <w:r>
        <w:rPr>
          <w:spacing w:val="1"/>
        </w:rPr>
        <w:t xml:space="preserve"> </w:t>
      </w:r>
      <w:r>
        <w:t>P., A.</w:t>
      </w:r>
      <w:r>
        <w:rPr>
          <w:spacing w:val="3"/>
        </w:rPr>
        <w:t xml:space="preserve"> </w:t>
      </w:r>
      <w:r>
        <w:t>Elam, and</w:t>
      </w:r>
      <w:r>
        <w:rPr>
          <w:spacing w:val="-2"/>
        </w:rPr>
        <w:t xml:space="preserve"> </w:t>
      </w:r>
      <w:r>
        <w:t>C.</w:t>
      </w:r>
      <w:r>
        <w:rPr>
          <w:spacing w:val="3"/>
        </w:rPr>
        <w:t xml:space="preserve"> </w:t>
      </w:r>
      <w:r>
        <w:t>Brush.</w:t>
      </w:r>
      <w:r>
        <w:rPr>
          <w:spacing w:val="4"/>
        </w:rPr>
        <w:t xml:space="preserve"> </w:t>
      </w:r>
      <w:r>
        <w:t xml:space="preserve">2013. </w:t>
      </w:r>
      <w:r>
        <w:rPr>
          <w:rFonts w:hint="eastAsia" w:eastAsia="宋体"/>
          <w:lang w:eastAsia="zh-CN"/>
        </w:rPr>
        <w:t>“</w:t>
      </w:r>
      <w:r>
        <w:t>Bank–Firm</w:t>
      </w:r>
      <w:r>
        <w:rPr>
          <w:spacing w:val="4"/>
        </w:rPr>
        <w:t xml:space="preserve"> </w:t>
      </w:r>
      <w:r>
        <w:t>Relationships:</w:t>
      </w:r>
      <w:r>
        <w:rPr>
          <w:spacing w:val="4"/>
        </w:rPr>
        <w:t xml:space="preserve"> </w:t>
      </w:r>
      <w:r>
        <w:t>Do Perceptions</w:t>
      </w:r>
      <w:r>
        <w:rPr>
          <w:spacing w:val="3"/>
        </w:rPr>
        <w:t xml:space="preserve"> </w:t>
      </w:r>
      <w:r>
        <w:t>Vary by</w:t>
      </w:r>
      <w:r>
        <w:rPr>
          <w:spacing w:val="1"/>
        </w:rPr>
        <w:t xml:space="preserve"> </w:t>
      </w:r>
      <w:r>
        <w:rPr>
          <w:spacing w:val="-2"/>
        </w:rPr>
        <w:t>Gender?</w:t>
      </w:r>
      <w:r>
        <w:rPr>
          <w:rFonts w:hint="eastAsia" w:eastAsia="宋体"/>
          <w:spacing w:val="-2"/>
          <w:lang w:eastAsia="zh-CN"/>
        </w:rPr>
        <w:t>”</w:t>
      </w:r>
    </w:p>
    <w:p>
      <w:pPr>
        <w:spacing w:line="252" w:lineRule="exact"/>
        <w:ind w:left="920"/>
      </w:pPr>
      <w:r>
        <w:rPr>
          <w:i/>
        </w:rPr>
        <w:t>Entrepreneurship</w:t>
      </w:r>
      <w:r>
        <w:rPr>
          <w:i/>
          <w:spacing w:val="-4"/>
        </w:rPr>
        <w:t xml:space="preserve"> </w:t>
      </w:r>
      <w:r>
        <w:rPr>
          <w:i/>
        </w:rPr>
        <w:t>Theory</w:t>
      </w:r>
      <w:r>
        <w:rPr>
          <w:i/>
          <w:spacing w:val="-4"/>
        </w:rPr>
        <w:t xml:space="preserve"> </w:t>
      </w:r>
      <w:r>
        <w:rPr>
          <w:i/>
        </w:rPr>
        <w:t>and</w:t>
      </w:r>
      <w:r>
        <w:rPr>
          <w:i/>
          <w:spacing w:val="-3"/>
        </w:rPr>
        <w:t xml:space="preserve"> </w:t>
      </w:r>
      <w:r>
        <w:rPr>
          <w:i/>
        </w:rPr>
        <w:t>Practice</w:t>
      </w:r>
      <w:r>
        <w:rPr>
          <w:i/>
          <w:spacing w:val="-2"/>
        </w:rPr>
        <w:t xml:space="preserve"> </w:t>
      </w:r>
      <w:r>
        <w:t>37</w:t>
      </w:r>
      <w:r>
        <w:rPr>
          <w:spacing w:val="-6"/>
        </w:rPr>
        <w:t xml:space="preserve"> </w:t>
      </w:r>
      <w:r>
        <w:rPr>
          <w:spacing w:val="-4"/>
        </w:rPr>
        <w:t>(4).</w:t>
      </w:r>
    </w:p>
    <w:p>
      <w:pPr>
        <w:pStyle w:val="5"/>
      </w:pPr>
    </w:p>
    <w:p>
      <w:pPr>
        <w:ind w:left="920" w:right="196" w:hanging="720"/>
        <w:jc w:val="both"/>
      </w:pPr>
      <w:r>
        <w:t xml:space="preserve">TCFD (Task Force on Climate-related Financial Disclosures). 2021. 2021 </w:t>
      </w:r>
      <w:r>
        <w:rPr>
          <w:i/>
        </w:rPr>
        <w:t xml:space="preserve">Status Report: Task Force on Climate-related Financial Disclosures. </w:t>
      </w:r>
      <w:r>
        <w:t>TCFD. Financial Stability Board.</w:t>
      </w:r>
    </w:p>
    <w:p>
      <w:pPr>
        <w:pStyle w:val="5"/>
      </w:pPr>
    </w:p>
    <w:p>
      <w:pPr>
        <w:ind w:left="920" w:right="195" w:hanging="720"/>
      </w:pPr>
      <w:r>
        <w:t>UNCITRAL</w:t>
      </w:r>
      <w:r>
        <w:rPr>
          <w:spacing w:val="-4"/>
        </w:rPr>
        <w:t xml:space="preserve"> </w:t>
      </w:r>
      <w:r>
        <w:t>(United</w:t>
      </w:r>
      <w:r>
        <w:rPr>
          <w:spacing w:val="-4"/>
        </w:rPr>
        <w:t xml:space="preserve"> </w:t>
      </w:r>
      <w:r>
        <w:t>Nations</w:t>
      </w:r>
      <w:r>
        <w:rPr>
          <w:spacing w:val="-4"/>
        </w:rPr>
        <w:t xml:space="preserve"> </w:t>
      </w:r>
      <w:r>
        <w:t>Commission</w:t>
      </w:r>
      <w:r>
        <w:rPr>
          <w:spacing w:val="-4"/>
        </w:rPr>
        <w:t xml:space="preserve"> </w:t>
      </w:r>
      <w:r>
        <w:t>on</w:t>
      </w:r>
      <w:r>
        <w:rPr>
          <w:spacing w:val="-4"/>
        </w:rPr>
        <w:t xml:space="preserve"> </w:t>
      </w:r>
      <w:r>
        <w:t>International</w:t>
      </w:r>
      <w:r>
        <w:rPr>
          <w:spacing w:val="-3"/>
        </w:rPr>
        <w:t xml:space="preserve"> </w:t>
      </w:r>
      <w:r>
        <w:t>Trade</w:t>
      </w:r>
      <w:r>
        <w:rPr>
          <w:spacing w:val="-4"/>
        </w:rPr>
        <w:t xml:space="preserve"> </w:t>
      </w:r>
      <w:r>
        <w:t>Law).</w:t>
      </w:r>
      <w:r>
        <w:rPr>
          <w:spacing w:val="-4"/>
        </w:rPr>
        <w:t xml:space="preserve"> </w:t>
      </w:r>
      <w:r>
        <w:t>2010.</w:t>
      </w:r>
      <w:r>
        <w:rPr>
          <w:spacing w:val="-4"/>
        </w:rPr>
        <w:t xml:space="preserve"> </w:t>
      </w:r>
      <w:r>
        <w:rPr>
          <w:i/>
        </w:rPr>
        <w:t>UNCITRAL</w:t>
      </w:r>
      <w:r>
        <w:rPr>
          <w:i/>
          <w:spacing w:val="-5"/>
        </w:rPr>
        <w:t xml:space="preserve"> </w:t>
      </w:r>
      <w:r>
        <w:rPr>
          <w:i/>
        </w:rPr>
        <w:t xml:space="preserve">Legislative Guide on Secured Transactions. </w:t>
      </w:r>
      <w:r>
        <w:t>United Nations.</w:t>
      </w:r>
    </w:p>
    <w:p>
      <w:pPr>
        <w:pStyle w:val="5"/>
        <w:spacing w:before="11"/>
        <w:rPr>
          <w:sz w:val="21"/>
        </w:rPr>
      </w:pPr>
    </w:p>
    <w:p>
      <w:pPr>
        <w:spacing w:line="242" w:lineRule="auto"/>
        <w:ind w:left="920" w:hanging="720"/>
      </w:pPr>
      <w:r>
        <w:t>UNCITRAL</w:t>
      </w:r>
      <w:r>
        <w:rPr>
          <w:spacing w:val="-4"/>
        </w:rPr>
        <w:t xml:space="preserve"> </w:t>
      </w:r>
      <w:r>
        <w:t>(United</w:t>
      </w:r>
      <w:r>
        <w:rPr>
          <w:spacing w:val="-3"/>
        </w:rPr>
        <w:t xml:space="preserve"> </w:t>
      </w:r>
      <w:r>
        <w:t>Nations</w:t>
      </w:r>
      <w:r>
        <w:rPr>
          <w:spacing w:val="-3"/>
        </w:rPr>
        <w:t xml:space="preserve"> </w:t>
      </w:r>
      <w:r>
        <w:t>Commission</w:t>
      </w:r>
      <w:r>
        <w:rPr>
          <w:spacing w:val="-3"/>
        </w:rPr>
        <w:t xml:space="preserve"> </w:t>
      </w:r>
      <w:r>
        <w:t>on</w:t>
      </w:r>
      <w:r>
        <w:rPr>
          <w:spacing w:val="-3"/>
        </w:rPr>
        <w:t xml:space="preserve"> </w:t>
      </w:r>
      <w:r>
        <w:t>International Trade</w:t>
      </w:r>
      <w:r>
        <w:rPr>
          <w:spacing w:val="-3"/>
        </w:rPr>
        <w:t xml:space="preserve"> </w:t>
      </w:r>
      <w:r>
        <w:t>Law).</w:t>
      </w:r>
      <w:r>
        <w:rPr>
          <w:spacing w:val="-3"/>
        </w:rPr>
        <w:t xml:space="preserve"> </w:t>
      </w:r>
      <w:r>
        <w:t>2014.</w:t>
      </w:r>
      <w:r>
        <w:rPr>
          <w:spacing w:val="-3"/>
        </w:rPr>
        <w:t xml:space="preserve"> </w:t>
      </w:r>
      <w:r>
        <w:rPr>
          <w:i/>
        </w:rPr>
        <w:t>UNCITRAL</w:t>
      </w:r>
      <w:r>
        <w:rPr>
          <w:i/>
          <w:spacing w:val="-4"/>
        </w:rPr>
        <w:t xml:space="preserve"> </w:t>
      </w:r>
      <w:r>
        <w:rPr>
          <w:i/>
        </w:rPr>
        <w:t>Guide</w:t>
      </w:r>
      <w:r>
        <w:rPr>
          <w:i/>
          <w:spacing w:val="-5"/>
        </w:rPr>
        <w:t xml:space="preserve"> </w:t>
      </w:r>
      <w:r>
        <w:rPr>
          <w:i/>
        </w:rPr>
        <w:t>on</w:t>
      </w:r>
      <w:r>
        <w:rPr>
          <w:i/>
          <w:spacing w:val="-3"/>
        </w:rPr>
        <w:t xml:space="preserve"> </w:t>
      </w:r>
      <w:r>
        <w:rPr>
          <w:i/>
        </w:rPr>
        <w:t xml:space="preserve">the Implementation of a Security Rights Registry. </w:t>
      </w:r>
      <w:r>
        <w:t>United Nations.</w:t>
      </w:r>
    </w:p>
    <w:p>
      <w:pPr>
        <w:pStyle w:val="5"/>
        <w:spacing w:before="9"/>
        <w:rPr>
          <w:sz w:val="21"/>
        </w:rPr>
      </w:pPr>
    </w:p>
    <w:p>
      <w:pPr>
        <w:ind w:left="920" w:right="243" w:hanging="720"/>
        <w:jc w:val="both"/>
      </w:pPr>
      <w:r>
        <w:t>UNCITRAL</w:t>
      </w:r>
      <w:r>
        <w:rPr>
          <w:spacing w:val="-3"/>
        </w:rPr>
        <w:t xml:space="preserve"> </w:t>
      </w:r>
      <w:r>
        <w:t>(United</w:t>
      </w:r>
      <w:r>
        <w:rPr>
          <w:spacing w:val="-3"/>
        </w:rPr>
        <w:t xml:space="preserve"> </w:t>
      </w:r>
      <w:r>
        <w:t>Nations</w:t>
      </w:r>
      <w:r>
        <w:rPr>
          <w:spacing w:val="-3"/>
        </w:rPr>
        <w:t xml:space="preserve"> </w:t>
      </w:r>
      <w:r>
        <w:t>Commission</w:t>
      </w:r>
      <w:r>
        <w:rPr>
          <w:spacing w:val="-3"/>
        </w:rPr>
        <w:t xml:space="preserve"> </w:t>
      </w:r>
      <w:r>
        <w:t>on</w:t>
      </w:r>
      <w:r>
        <w:rPr>
          <w:spacing w:val="-3"/>
        </w:rPr>
        <w:t xml:space="preserve"> </w:t>
      </w:r>
      <w:r>
        <w:t>International</w:t>
      </w:r>
      <w:r>
        <w:rPr>
          <w:spacing w:val="-3"/>
        </w:rPr>
        <w:t xml:space="preserve"> </w:t>
      </w:r>
      <w:r>
        <w:t>Trade</w:t>
      </w:r>
      <w:r>
        <w:rPr>
          <w:spacing w:val="-3"/>
        </w:rPr>
        <w:t xml:space="preserve"> </w:t>
      </w:r>
      <w:r>
        <w:t>Law).</w:t>
      </w:r>
      <w:r>
        <w:rPr>
          <w:spacing w:val="-3"/>
        </w:rPr>
        <w:t xml:space="preserve"> </w:t>
      </w:r>
      <w:r>
        <w:t>2019.</w:t>
      </w:r>
      <w:r>
        <w:rPr>
          <w:spacing w:val="-3"/>
        </w:rPr>
        <w:t xml:space="preserve"> </w:t>
      </w:r>
      <w:r>
        <w:rPr>
          <w:i/>
        </w:rPr>
        <w:t>UNCITRAL</w:t>
      </w:r>
      <w:r>
        <w:rPr>
          <w:i/>
          <w:spacing w:val="-4"/>
        </w:rPr>
        <w:t xml:space="preserve"> </w:t>
      </w:r>
      <w:r>
        <w:rPr>
          <w:i/>
        </w:rPr>
        <w:t>Model</w:t>
      </w:r>
      <w:r>
        <w:rPr>
          <w:i/>
          <w:spacing w:val="-3"/>
        </w:rPr>
        <w:t xml:space="preserve"> </w:t>
      </w:r>
      <w:r>
        <w:rPr>
          <w:i/>
        </w:rPr>
        <w:t>Law</w:t>
      </w:r>
      <w:r>
        <w:rPr>
          <w:i/>
          <w:spacing w:val="-4"/>
        </w:rPr>
        <w:t xml:space="preserve"> </w:t>
      </w:r>
      <w:r>
        <w:rPr>
          <w:i/>
        </w:rPr>
        <w:t xml:space="preserve">on Secured Transactions. </w:t>
      </w:r>
      <w:r>
        <w:t>United Nations.</w:t>
      </w:r>
    </w:p>
    <w:p>
      <w:pPr>
        <w:pStyle w:val="5"/>
        <w:spacing w:before="11"/>
        <w:rPr>
          <w:sz w:val="21"/>
        </w:rPr>
      </w:pPr>
    </w:p>
    <w:p>
      <w:pPr>
        <w:ind w:left="920" w:right="196" w:hanging="720"/>
        <w:jc w:val="both"/>
      </w:pPr>
      <w:r>
        <w:t xml:space="preserve">World Bank. 2014. </w:t>
      </w:r>
      <w:r>
        <w:rPr>
          <w:i/>
        </w:rPr>
        <w:t>Global Financial Development Report 2014: Financial Inclusion</w:t>
      </w:r>
      <w:r>
        <w:t>. Washington, DC: World Bank.</w:t>
      </w:r>
    </w:p>
    <w:p>
      <w:pPr>
        <w:pStyle w:val="5"/>
        <w:spacing w:before="11"/>
        <w:rPr>
          <w:sz w:val="21"/>
        </w:rPr>
      </w:pPr>
    </w:p>
    <w:p>
      <w:pPr>
        <w:ind w:left="200"/>
      </w:pPr>
      <w:r>
        <w:t>World</w:t>
      </w:r>
      <w:r>
        <w:rPr>
          <w:spacing w:val="-7"/>
        </w:rPr>
        <w:t xml:space="preserve"> </w:t>
      </w:r>
      <w:r>
        <w:t>Bank.</w:t>
      </w:r>
      <w:r>
        <w:rPr>
          <w:spacing w:val="-5"/>
        </w:rPr>
        <w:t xml:space="preserve"> </w:t>
      </w:r>
      <w:r>
        <w:t>2016.</w:t>
      </w:r>
      <w:r>
        <w:rPr>
          <w:spacing w:val="-3"/>
        </w:rPr>
        <w:t xml:space="preserve"> </w:t>
      </w:r>
      <w:r>
        <w:rPr>
          <w:i/>
        </w:rPr>
        <w:t>Payment</w:t>
      </w:r>
      <w:r>
        <w:rPr>
          <w:i/>
          <w:spacing w:val="-3"/>
        </w:rPr>
        <w:t xml:space="preserve"> </w:t>
      </w:r>
      <w:r>
        <w:rPr>
          <w:i/>
        </w:rPr>
        <w:t>Aspects</w:t>
      </w:r>
      <w:r>
        <w:rPr>
          <w:i/>
          <w:spacing w:val="-3"/>
        </w:rPr>
        <w:t xml:space="preserve"> </w:t>
      </w:r>
      <w:r>
        <w:rPr>
          <w:i/>
        </w:rPr>
        <w:t>of</w:t>
      </w:r>
      <w:r>
        <w:rPr>
          <w:i/>
          <w:spacing w:val="-3"/>
        </w:rPr>
        <w:t xml:space="preserve"> </w:t>
      </w:r>
      <w:r>
        <w:rPr>
          <w:i/>
        </w:rPr>
        <w:t>Financial</w:t>
      </w:r>
      <w:r>
        <w:rPr>
          <w:i/>
          <w:spacing w:val="-5"/>
        </w:rPr>
        <w:t xml:space="preserve"> </w:t>
      </w:r>
      <w:r>
        <w:rPr>
          <w:i/>
        </w:rPr>
        <w:t>Inclusion</w:t>
      </w:r>
      <w:r>
        <w:t>.</w:t>
      </w:r>
      <w:r>
        <w:rPr>
          <w:spacing w:val="-14"/>
        </w:rPr>
        <w:t xml:space="preserve"> </w:t>
      </w:r>
      <w:r>
        <w:t>Washington,</w:t>
      </w:r>
      <w:r>
        <w:rPr>
          <w:spacing w:val="-3"/>
        </w:rPr>
        <w:t xml:space="preserve"> </w:t>
      </w:r>
      <w:r>
        <w:t>DC:</w:t>
      </w:r>
      <w:r>
        <w:rPr>
          <w:spacing w:val="-5"/>
        </w:rPr>
        <w:t xml:space="preserve"> </w:t>
      </w:r>
      <w:r>
        <w:t>World</w:t>
      </w:r>
      <w:r>
        <w:rPr>
          <w:spacing w:val="-3"/>
        </w:rPr>
        <w:t xml:space="preserve"> </w:t>
      </w:r>
      <w:r>
        <w:rPr>
          <w:spacing w:val="-2"/>
        </w:rPr>
        <w:t>Bank.</w:t>
      </w:r>
    </w:p>
    <w:p>
      <w:pPr>
        <w:pStyle w:val="5"/>
      </w:pPr>
    </w:p>
    <w:p>
      <w:pPr>
        <w:ind w:left="920" w:right="195" w:hanging="720"/>
        <w:jc w:val="both"/>
      </w:pPr>
      <w:r>
        <w:t xml:space="preserve">World Bank. 2020. </w:t>
      </w:r>
      <w:r>
        <w:rPr>
          <w:i/>
        </w:rPr>
        <w:t>Payment Aspects of Financial Inclusion in the Fintech Era</w:t>
      </w:r>
      <w:r>
        <w:t>.</w:t>
      </w:r>
      <w:r>
        <w:rPr>
          <w:spacing w:val="-14"/>
        </w:rPr>
        <w:t xml:space="preserve"> </w:t>
      </w:r>
      <w:r>
        <w:t>Washington, DC: World Bank Group.</w:t>
      </w:r>
    </w:p>
    <w:p>
      <w:pPr>
        <w:pStyle w:val="5"/>
      </w:pPr>
    </w:p>
    <w:p>
      <w:pPr>
        <w:ind w:left="920" w:right="196" w:hanging="720"/>
        <w:jc w:val="both"/>
      </w:pPr>
      <w:r>
        <w:t>World Bank. 2021.</w:t>
      </w:r>
      <w:r>
        <w:rPr>
          <w:spacing w:val="-13"/>
        </w:rPr>
        <w:t xml:space="preserve"> </w:t>
      </w:r>
      <w:r>
        <w:rPr>
          <w:i/>
        </w:rPr>
        <w:t>Toolkits for Policymakers to Green the Financial System</w:t>
      </w:r>
      <w:r>
        <w:t xml:space="preserve">. Washington, DC: World </w:t>
      </w:r>
      <w:r>
        <w:rPr>
          <w:spacing w:val="-2"/>
        </w:rPr>
        <w:t>Bank.</w:t>
      </w:r>
    </w:p>
    <w:p>
      <w:pPr>
        <w:jc w:val="both"/>
        <w:sectPr>
          <w:pgSz w:w="12240" w:h="15840"/>
          <w:pgMar w:top="1360" w:right="1240" w:bottom="280" w:left="1240" w:header="720" w:footer="720" w:gutter="0"/>
          <w:cols w:space="720" w:num="1"/>
        </w:sectPr>
      </w:pPr>
    </w:p>
    <w:p>
      <w:pPr>
        <w:spacing w:before="79"/>
        <w:ind w:left="920" w:hanging="720"/>
      </w:pPr>
      <w:r>
        <w:t>World</w:t>
      </w:r>
      <w:r>
        <w:rPr>
          <w:spacing w:val="-6"/>
        </w:rPr>
        <w:t xml:space="preserve"> </w:t>
      </w:r>
      <w:r>
        <w:t>Bank.</w:t>
      </w:r>
      <w:r>
        <w:rPr>
          <w:spacing w:val="-8"/>
        </w:rPr>
        <w:t xml:space="preserve"> </w:t>
      </w:r>
      <w:r>
        <w:t>2021.</w:t>
      </w:r>
      <w:r>
        <w:rPr>
          <w:spacing w:val="-6"/>
        </w:rPr>
        <w:t xml:space="preserve"> </w:t>
      </w:r>
      <w:r>
        <w:rPr>
          <w:i/>
        </w:rPr>
        <w:t>Considerations</w:t>
      </w:r>
      <w:r>
        <w:rPr>
          <w:i/>
          <w:spacing w:val="-5"/>
        </w:rPr>
        <w:t xml:space="preserve"> </w:t>
      </w:r>
      <w:r>
        <w:rPr>
          <w:i/>
        </w:rPr>
        <w:t>and</w:t>
      </w:r>
      <w:r>
        <w:rPr>
          <w:i/>
          <w:spacing w:val="-6"/>
        </w:rPr>
        <w:t xml:space="preserve"> </w:t>
      </w:r>
      <w:r>
        <w:rPr>
          <w:i/>
        </w:rPr>
        <w:t>Lessons</w:t>
      </w:r>
      <w:r>
        <w:rPr>
          <w:i/>
          <w:spacing w:val="-5"/>
        </w:rPr>
        <w:t xml:space="preserve"> </w:t>
      </w:r>
      <w:r>
        <w:rPr>
          <w:i/>
        </w:rPr>
        <w:t>for</w:t>
      </w:r>
      <w:r>
        <w:rPr>
          <w:i/>
          <w:spacing w:val="-5"/>
        </w:rPr>
        <w:t xml:space="preserve"> </w:t>
      </w:r>
      <w:r>
        <w:rPr>
          <w:i/>
        </w:rPr>
        <w:t>the</w:t>
      </w:r>
      <w:r>
        <w:rPr>
          <w:i/>
          <w:spacing w:val="-8"/>
        </w:rPr>
        <w:t xml:space="preserve"> </w:t>
      </w:r>
      <w:r>
        <w:rPr>
          <w:i/>
        </w:rPr>
        <w:t>Development</w:t>
      </w:r>
      <w:r>
        <w:rPr>
          <w:i/>
          <w:spacing w:val="-7"/>
        </w:rPr>
        <w:t xml:space="preserve"> </w:t>
      </w:r>
      <w:r>
        <w:rPr>
          <w:i/>
        </w:rPr>
        <w:t>and</w:t>
      </w:r>
      <w:r>
        <w:rPr>
          <w:i/>
          <w:spacing w:val="-8"/>
        </w:rPr>
        <w:t xml:space="preserve"> </w:t>
      </w:r>
      <w:r>
        <w:rPr>
          <w:i/>
        </w:rPr>
        <w:t>Implementation</w:t>
      </w:r>
      <w:r>
        <w:rPr>
          <w:i/>
          <w:spacing w:val="-8"/>
        </w:rPr>
        <w:t xml:space="preserve"> </w:t>
      </w:r>
      <w:r>
        <w:rPr>
          <w:i/>
        </w:rPr>
        <w:t>of</w:t>
      </w:r>
      <w:r>
        <w:rPr>
          <w:i/>
          <w:spacing w:val="-5"/>
        </w:rPr>
        <w:t xml:space="preserve"> </w:t>
      </w:r>
      <w:r>
        <w:rPr>
          <w:i/>
        </w:rPr>
        <w:t>Fast</w:t>
      </w:r>
      <w:r>
        <w:rPr>
          <w:i/>
          <w:spacing w:val="-4"/>
        </w:rPr>
        <w:t xml:space="preserve"> </w:t>
      </w:r>
      <w:r>
        <w:rPr>
          <w:i/>
        </w:rPr>
        <w:t xml:space="preserve">Payment Systems. </w:t>
      </w:r>
      <w:r>
        <w:t>World Bank Fast Payments Toolkit–Main Report. Washington, DC: World Bank.</w:t>
      </w:r>
    </w:p>
    <w:p>
      <w:pPr>
        <w:pStyle w:val="5"/>
        <w:spacing w:before="10"/>
        <w:rPr>
          <w:sz w:val="21"/>
        </w:rPr>
      </w:pPr>
    </w:p>
    <w:p>
      <w:pPr>
        <w:spacing w:before="1"/>
        <w:ind w:left="920" w:right="195" w:hanging="720"/>
      </w:pPr>
      <w:r>
        <w:t>World</w:t>
      </w:r>
      <w:r>
        <w:rPr>
          <w:spacing w:val="-6"/>
        </w:rPr>
        <w:t xml:space="preserve"> </w:t>
      </w:r>
      <w:r>
        <w:t>Bank.</w:t>
      </w:r>
      <w:r>
        <w:rPr>
          <w:spacing w:val="-6"/>
        </w:rPr>
        <w:t xml:space="preserve"> </w:t>
      </w:r>
      <w:r>
        <w:t>2022.</w:t>
      </w:r>
      <w:r>
        <w:rPr>
          <w:spacing w:val="-8"/>
        </w:rPr>
        <w:t xml:space="preserve"> </w:t>
      </w:r>
      <w:r>
        <w:rPr>
          <w:i/>
        </w:rPr>
        <w:t>Supporting</w:t>
      </w:r>
      <w:r>
        <w:rPr>
          <w:i/>
          <w:spacing w:val="-8"/>
        </w:rPr>
        <w:t xml:space="preserve"> </w:t>
      </w:r>
      <w:r>
        <w:rPr>
          <w:i/>
        </w:rPr>
        <w:t>Women</w:t>
      </w:r>
      <w:r>
        <w:rPr>
          <w:i/>
          <w:spacing w:val="-8"/>
        </w:rPr>
        <w:t xml:space="preserve"> </w:t>
      </w:r>
      <w:r>
        <w:rPr>
          <w:i/>
        </w:rPr>
        <w:t>Entrepreneurs</w:t>
      </w:r>
      <w:r>
        <w:rPr>
          <w:i/>
          <w:spacing w:val="-7"/>
        </w:rPr>
        <w:t xml:space="preserve"> </w:t>
      </w:r>
      <w:r>
        <w:rPr>
          <w:i/>
        </w:rPr>
        <w:t>in</w:t>
      </w:r>
      <w:r>
        <w:rPr>
          <w:i/>
          <w:spacing w:val="-6"/>
        </w:rPr>
        <w:t xml:space="preserve"> </w:t>
      </w:r>
      <w:r>
        <w:rPr>
          <w:i/>
        </w:rPr>
        <w:t>Developing</w:t>
      </w:r>
      <w:r>
        <w:rPr>
          <w:i/>
          <w:spacing w:val="-8"/>
        </w:rPr>
        <w:t xml:space="preserve"> </w:t>
      </w:r>
      <w:r>
        <w:rPr>
          <w:i/>
        </w:rPr>
        <w:t>Countries:</w:t>
      </w:r>
      <w:r>
        <w:rPr>
          <w:i/>
          <w:spacing w:val="-10"/>
        </w:rPr>
        <w:t xml:space="preserve"> </w:t>
      </w:r>
      <w:r>
        <w:rPr>
          <w:i/>
        </w:rPr>
        <w:t>What</w:t>
      </w:r>
      <w:r>
        <w:rPr>
          <w:i/>
          <w:spacing w:val="-7"/>
        </w:rPr>
        <w:t xml:space="preserve"> </w:t>
      </w:r>
      <w:r>
        <w:rPr>
          <w:i/>
        </w:rPr>
        <w:t>Works?</w:t>
      </w:r>
      <w:r>
        <w:rPr>
          <w:i/>
          <w:spacing w:val="-8"/>
        </w:rPr>
        <w:t xml:space="preserve"> </w:t>
      </w:r>
      <w:r>
        <w:rPr>
          <w:i/>
        </w:rPr>
        <w:t>A</w:t>
      </w:r>
      <w:r>
        <w:rPr>
          <w:i/>
          <w:spacing w:val="-6"/>
        </w:rPr>
        <w:t xml:space="preserve"> </w:t>
      </w:r>
      <w:r>
        <w:rPr>
          <w:i/>
        </w:rPr>
        <w:t>Review</w:t>
      </w:r>
      <w:r>
        <w:rPr>
          <w:i/>
          <w:spacing w:val="-6"/>
        </w:rPr>
        <w:t xml:space="preserve"> </w:t>
      </w:r>
      <w:r>
        <w:rPr>
          <w:i/>
        </w:rPr>
        <w:t>of the Evidence Base and WE-FI’s Theory of Change</w:t>
      </w:r>
      <w:r>
        <w:t>. Washington, DC: World Bank.</w:t>
      </w:r>
    </w:p>
    <w:p>
      <w:pPr>
        <w:pStyle w:val="5"/>
        <w:spacing w:before="53" w:line="506" w:lineRule="exact"/>
        <w:ind w:left="200"/>
      </w:pPr>
      <w:r>
        <w:t>World Bank Group.</w:t>
      </w:r>
      <w:r>
        <w:rPr>
          <w:spacing w:val="-1"/>
        </w:rPr>
        <w:t xml:space="preserve"> </w:t>
      </w:r>
      <w:r>
        <w:t>2011.</w:t>
      </w:r>
      <w:r>
        <w:rPr>
          <w:spacing w:val="-1"/>
        </w:rPr>
        <w:t xml:space="preserve"> </w:t>
      </w:r>
      <w:r>
        <w:t>General Principles for Credit Reporting. Washington,</w:t>
      </w:r>
      <w:r>
        <w:rPr>
          <w:spacing w:val="-1"/>
        </w:rPr>
        <w:t xml:space="preserve"> </w:t>
      </w:r>
      <w:r>
        <w:t>DC: World Bank Group. World</w:t>
      </w:r>
      <w:r>
        <w:rPr>
          <w:spacing w:val="21"/>
        </w:rPr>
        <w:t xml:space="preserve"> </w:t>
      </w:r>
      <w:r>
        <w:t>Bank</w:t>
      </w:r>
      <w:r>
        <w:rPr>
          <w:spacing w:val="21"/>
        </w:rPr>
        <w:t xml:space="preserve"> </w:t>
      </w:r>
      <w:r>
        <w:t>Group.</w:t>
      </w:r>
      <w:r>
        <w:rPr>
          <w:spacing w:val="21"/>
        </w:rPr>
        <w:t xml:space="preserve"> </w:t>
      </w:r>
      <w:r>
        <w:t>2017.</w:t>
      </w:r>
      <w:r>
        <w:rPr>
          <w:spacing w:val="18"/>
        </w:rPr>
        <w:t xml:space="preserve"> </w:t>
      </w:r>
      <w:r>
        <w:t>Good</w:t>
      </w:r>
      <w:r>
        <w:rPr>
          <w:spacing w:val="21"/>
        </w:rPr>
        <w:t xml:space="preserve"> </w:t>
      </w:r>
      <w:r>
        <w:t>Practices</w:t>
      </w:r>
      <w:r>
        <w:rPr>
          <w:spacing w:val="19"/>
        </w:rPr>
        <w:t xml:space="preserve"> </w:t>
      </w:r>
      <w:r>
        <w:t>for</w:t>
      </w:r>
      <w:r>
        <w:rPr>
          <w:spacing w:val="21"/>
        </w:rPr>
        <w:t xml:space="preserve"> </w:t>
      </w:r>
      <w:r>
        <w:t>Financial</w:t>
      </w:r>
      <w:r>
        <w:rPr>
          <w:spacing w:val="22"/>
        </w:rPr>
        <w:t xml:space="preserve"> </w:t>
      </w:r>
      <w:r>
        <w:t>Consumer</w:t>
      </w:r>
      <w:r>
        <w:rPr>
          <w:spacing w:val="21"/>
        </w:rPr>
        <w:t xml:space="preserve"> </w:t>
      </w:r>
      <w:r>
        <w:t>Protection.</w:t>
      </w:r>
      <w:r>
        <w:rPr>
          <w:spacing w:val="18"/>
        </w:rPr>
        <w:t xml:space="preserve"> </w:t>
      </w:r>
      <w:r>
        <w:t>Washington,</w:t>
      </w:r>
      <w:r>
        <w:rPr>
          <w:spacing w:val="21"/>
        </w:rPr>
        <w:t xml:space="preserve"> </w:t>
      </w:r>
      <w:r>
        <w:t>DC:</w:t>
      </w:r>
      <w:r>
        <w:rPr>
          <w:spacing w:val="19"/>
        </w:rPr>
        <w:t xml:space="preserve"> </w:t>
      </w:r>
      <w:r>
        <w:t>World</w:t>
      </w:r>
    </w:p>
    <w:p>
      <w:pPr>
        <w:pStyle w:val="5"/>
        <w:spacing w:line="201" w:lineRule="exact"/>
        <w:ind w:left="920"/>
      </w:pPr>
      <w:r>
        <w:t>Bank</w:t>
      </w:r>
      <w:r>
        <w:rPr>
          <w:spacing w:val="-1"/>
        </w:rPr>
        <w:t xml:space="preserve"> </w:t>
      </w:r>
      <w:r>
        <w:rPr>
          <w:spacing w:val="-2"/>
        </w:rPr>
        <w:t>Group.</w:t>
      </w:r>
    </w:p>
    <w:p>
      <w:pPr>
        <w:pStyle w:val="5"/>
        <w:spacing w:before="9"/>
        <w:rPr>
          <w:sz w:val="21"/>
        </w:rPr>
      </w:pPr>
    </w:p>
    <w:p>
      <w:pPr>
        <w:ind w:left="200"/>
      </w:pPr>
      <w:r>
        <w:t>World</w:t>
      </w:r>
      <w:r>
        <w:rPr>
          <w:spacing w:val="-5"/>
        </w:rPr>
        <w:t xml:space="preserve"> </w:t>
      </w:r>
      <w:r>
        <w:t>Bank</w:t>
      </w:r>
      <w:r>
        <w:rPr>
          <w:spacing w:val="-3"/>
        </w:rPr>
        <w:t xml:space="preserve"> </w:t>
      </w:r>
      <w:r>
        <w:t>Group.</w:t>
      </w:r>
      <w:r>
        <w:rPr>
          <w:spacing w:val="-6"/>
        </w:rPr>
        <w:t xml:space="preserve"> </w:t>
      </w:r>
      <w:r>
        <w:t>2019a.</w:t>
      </w:r>
      <w:r>
        <w:rPr>
          <w:spacing w:val="-6"/>
        </w:rPr>
        <w:t xml:space="preserve"> </w:t>
      </w:r>
      <w:r>
        <w:rPr>
          <w:i/>
        </w:rPr>
        <w:t>Credit</w:t>
      </w:r>
      <w:r>
        <w:rPr>
          <w:i/>
          <w:spacing w:val="-2"/>
        </w:rPr>
        <w:t xml:space="preserve"> </w:t>
      </w:r>
      <w:r>
        <w:rPr>
          <w:i/>
        </w:rPr>
        <w:t>Reporting</w:t>
      </w:r>
      <w:r>
        <w:rPr>
          <w:i/>
          <w:spacing w:val="-3"/>
        </w:rPr>
        <w:t xml:space="preserve"> </w:t>
      </w:r>
      <w:r>
        <w:rPr>
          <w:i/>
        </w:rPr>
        <w:t>Knowledge</w:t>
      </w:r>
      <w:r>
        <w:rPr>
          <w:i/>
          <w:spacing w:val="-3"/>
        </w:rPr>
        <w:t xml:space="preserve"> </w:t>
      </w:r>
      <w:r>
        <w:rPr>
          <w:i/>
        </w:rPr>
        <w:t>Guide</w:t>
      </w:r>
      <w:r>
        <w:t>.</w:t>
      </w:r>
      <w:r>
        <w:rPr>
          <w:spacing w:val="-5"/>
        </w:rPr>
        <w:t xml:space="preserve"> </w:t>
      </w:r>
      <w:r>
        <w:t>Washington,</w:t>
      </w:r>
      <w:r>
        <w:rPr>
          <w:spacing w:val="-3"/>
        </w:rPr>
        <w:t xml:space="preserve"> </w:t>
      </w:r>
      <w:r>
        <w:t>DC:</w:t>
      </w:r>
      <w:r>
        <w:rPr>
          <w:spacing w:val="-5"/>
        </w:rPr>
        <w:t xml:space="preserve"> </w:t>
      </w:r>
      <w:r>
        <w:t>World</w:t>
      </w:r>
      <w:r>
        <w:rPr>
          <w:spacing w:val="-2"/>
        </w:rPr>
        <w:t xml:space="preserve"> Bank.</w:t>
      </w:r>
    </w:p>
    <w:p>
      <w:pPr>
        <w:pStyle w:val="5"/>
        <w:spacing w:before="1"/>
      </w:pPr>
    </w:p>
    <w:p>
      <w:pPr>
        <w:ind w:left="920" w:hanging="720"/>
      </w:pPr>
      <w:r>
        <w:t>World</w:t>
      </w:r>
      <w:r>
        <w:rPr>
          <w:spacing w:val="-14"/>
        </w:rPr>
        <w:t xml:space="preserve"> </w:t>
      </w:r>
      <w:r>
        <w:t>Bank</w:t>
      </w:r>
      <w:r>
        <w:rPr>
          <w:spacing w:val="-14"/>
        </w:rPr>
        <w:t xml:space="preserve"> </w:t>
      </w:r>
      <w:r>
        <w:t>Group.</w:t>
      </w:r>
      <w:r>
        <w:rPr>
          <w:spacing w:val="-15"/>
        </w:rPr>
        <w:t xml:space="preserve"> </w:t>
      </w:r>
      <w:r>
        <w:t>2019b.</w:t>
      </w:r>
      <w:r>
        <w:rPr>
          <w:spacing w:val="-17"/>
        </w:rPr>
        <w:t xml:space="preserve"> </w:t>
      </w:r>
      <w:r>
        <w:rPr>
          <w:i/>
        </w:rPr>
        <w:t>Prudential</w:t>
      </w:r>
      <w:r>
        <w:rPr>
          <w:i/>
          <w:spacing w:val="-14"/>
        </w:rPr>
        <w:t xml:space="preserve"> </w:t>
      </w:r>
      <w:r>
        <w:rPr>
          <w:i/>
        </w:rPr>
        <w:t>Regulatory</w:t>
      </w:r>
      <w:r>
        <w:rPr>
          <w:i/>
          <w:spacing w:val="-14"/>
        </w:rPr>
        <w:t xml:space="preserve"> </w:t>
      </w:r>
      <w:r>
        <w:rPr>
          <w:i/>
        </w:rPr>
        <w:t>and</w:t>
      </w:r>
      <w:r>
        <w:rPr>
          <w:i/>
          <w:spacing w:val="-15"/>
        </w:rPr>
        <w:t xml:space="preserve"> </w:t>
      </w:r>
      <w:r>
        <w:rPr>
          <w:i/>
        </w:rPr>
        <w:t>Supervisory</w:t>
      </w:r>
      <w:r>
        <w:rPr>
          <w:i/>
          <w:spacing w:val="-13"/>
        </w:rPr>
        <w:t xml:space="preserve"> </w:t>
      </w:r>
      <w:r>
        <w:rPr>
          <w:i/>
        </w:rPr>
        <w:t>Practices</w:t>
      </w:r>
      <w:r>
        <w:rPr>
          <w:i/>
          <w:spacing w:val="-14"/>
        </w:rPr>
        <w:t xml:space="preserve"> </w:t>
      </w:r>
      <w:r>
        <w:rPr>
          <w:i/>
        </w:rPr>
        <w:t>for</w:t>
      </w:r>
      <w:r>
        <w:rPr>
          <w:i/>
          <w:spacing w:val="-14"/>
        </w:rPr>
        <w:t xml:space="preserve"> </w:t>
      </w:r>
      <w:r>
        <w:rPr>
          <w:i/>
        </w:rPr>
        <w:t>Fintech:</w:t>
      </w:r>
      <w:r>
        <w:rPr>
          <w:i/>
          <w:spacing w:val="-14"/>
        </w:rPr>
        <w:t xml:space="preserve"> </w:t>
      </w:r>
      <w:r>
        <w:rPr>
          <w:i/>
        </w:rPr>
        <w:t>Payments,</w:t>
      </w:r>
      <w:r>
        <w:rPr>
          <w:i/>
          <w:spacing w:val="-14"/>
        </w:rPr>
        <w:t xml:space="preserve"> </w:t>
      </w:r>
      <w:r>
        <w:rPr>
          <w:i/>
        </w:rPr>
        <w:t>Credit and Deposits</w:t>
      </w:r>
      <w:r>
        <w:t>. Washington, DC: World Bank Group.</w:t>
      </w:r>
    </w:p>
    <w:p>
      <w:pPr>
        <w:pStyle w:val="5"/>
        <w:spacing w:before="2"/>
      </w:pPr>
    </w:p>
    <w:p>
      <w:pPr>
        <w:ind w:left="920" w:hanging="720"/>
      </w:pPr>
      <w:r>
        <w:t xml:space="preserve">World Bank Group and World Economic Forum. 2016. </w:t>
      </w:r>
      <w:r>
        <w:rPr>
          <w:i/>
        </w:rPr>
        <w:t>Innovation in Electronic Payment Adoption: The Case of Small Retailers</w:t>
      </w:r>
      <w:r>
        <w:t>. Geneva: World Economic Forum and Washington, DC: World Bank.</w:t>
      </w:r>
    </w:p>
    <w:p>
      <w:pPr>
        <w:sectPr>
          <w:pgSz w:w="12240" w:h="15840"/>
          <w:pgMar w:top="1360" w:right="1240" w:bottom="280" w:left="1240" w:header="720" w:footer="720" w:gutter="0"/>
          <w:cols w:space="720" w:num="1"/>
        </w:sectPr>
      </w:pPr>
    </w:p>
    <w:p>
      <w:pPr>
        <w:pStyle w:val="3"/>
        <w:spacing w:after="240" w:afterLines="100"/>
        <w:jc w:val="center"/>
        <w:rPr>
          <w:rFonts w:eastAsia="宋体"/>
          <w:sz w:val="28"/>
          <w:szCs w:val="28"/>
        </w:rPr>
      </w:pPr>
      <w:r>
        <w:rPr>
          <w:rFonts w:ascii="Times New Roman" w:hAnsi="Times New Roman" w:eastAsia="宋体"/>
          <w:sz w:val="28"/>
          <w:szCs w:val="28"/>
          <w:lang w:eastAsia="zh-CN"/>
        </w:rPr>
        <w:t>附件B:金融服务-注释问卷</w:t>
      </w:r>
    </w:p>
    <w:p>
      <w:pPr>
        <w:pStyle w:val="5"/>
        <w:spacing w:line="400" w:lineRule="exact"/>
        <w:ind w:firstLine="560" w:firstLineChars="200"/>
        <w:jc w:val="both"/>
        <w:rPr>
          <w:rFonts w:eastAsia="宋体"/>
          <w:sz w:val="28"/>
          <w:szCs w:val="28"/>
          <w:lang w:eastAsia="zh-CN"/>
        </w:rPr>
      </w:pPr>
      <w:r>
        <w:rPr>
          <w:rFonts w:eastAsia="宋体"/>
          <w:sz w:val="28"/>
          <w:szCs w:val="28"/>
        </w:rPr>
        <w:t>附件B包括商业贷款、担保交易和担保品登记处、电子支付(电子支付)、绿色金融、性别金融和信贷局和登记处的运作的法规质量的术语表和注释问卷。</w:t>
      </w:r>
      <w:r>
        <w:rPr>
          <w:rFonts w:eastAsia="宋体"/>
          <w:sz w:val="28"/>
          <w:szCs w:val="28"/>
          <w:lang w:eastAsia="zh-CN"/>
        </w:rPr>
        <w:t>注释问卷提供了每个指标与相应问题之间的映射关系。由于存在多份问卷，《注释问卷》中的类别编号与《金融服务方法学说明》中的编号不匹配。</w:t>
      </w:r>
    </w:p>
    <w:p>
      <w:pPr>
        <w:pStyle w:val="5"/>
        <w:spacing w:line="400" w:lineRule="exact"/>
        <w:ind w:firstLine="560" w:firstLineChars="200"/>
        <w:rPr>
          <w:rFonts w:eastAsia="宋体"/>
          <w:sz w:val="28"/>
          <w:szCs w:val="28"/>
          <w:lang w:eastAsia="zh-CN"/>
        </w:rPr>
      </w:pPr>
    </w:p>
    <w:p>
      <w:pPr>
        <w:spacing w:line="400" w:lineRule="exact"/>
        <w:ind w:firstLine="554" w:firstLineChars="200"/>
        <w:jc w:val="center"/>
        <w:rPr>
          <w:rFonts w:eastAsia="宋体"/>
          <w:b/>
          <w:sz w:val="28"/>
          <w:szCs w:val="28"/>
          <w:lang w:eastAsia="zh-CN"/>
        </w:rPr>
      </w:pPr>
      <w:r>
        <w:rPr>
          <w:rFonts w:eastAsia="宋体"/>
          <w:b/>
          <w:spacing w:val="-2"/>
          <w:sz w:val="28"/>
          <w:szCs w:val="28"/>
          <w:lang w:eastAsia="zh-CN"/>
        </w:rPr>
        <w:t>术语表</w:t>
      </w: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建议/指导:</w:t>
      </w:r>
      <w:r>
        <w:rPr>
          <w:rFonts w:eastAsia="宋体"/>
          <w:sz w:val="28"/>
          <w:szCs w:val="28"/>
          <w:lang w:eastAsia="zh-CN"/>
        </w:rPr>
        <w:t>这涉及到与知识来源的直接互动，无论是面对面的还是数字交互的，比如商业教练（咨询师）、会计师和法律专家。</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拖欠:</w:t>
      </w:r>
      <w:r>
        <w:rPr>
          <w:rFonts w:eastAsia="宋体"/>
          <w:sz w:val="28"/>
          <w:szCs w:val="28"/>
          <w:lang w:eastAsia="zh-CN"/>
        </w:rPr>
        <w:t>在到期日之前没有支付的债务，意思是逾期付款。</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应收</w:t>
      </w:r>
      <w:r>
        <w:rPr>
          <w:rFonts w:eastAsia="宋体"/>
          <w:b/>
          <w:spacing w:val="-6"/>
          <w:sz w:val="28"/>
          <w:szCs w:val="28"/>
          <w:lang w:eastAsia="zh-CN"/>
        </w:rPr>
        <w:t>帐款</w:t>
      </w:r>
      <w:r>
        <w:rPr>
          <w:rFonts w:eastAsia="宋体"/>
          <w:b/>
          <w:sz w:val="28"/>
          <w:szCs w:val="28"/>
          <w:lang w:eastAsia="zh-CN"/>
        </w:rPr>
        <w:t>转让</w:t>
      </w:r>
      <w:r>
        <w:rPr>
          <w:rFonts w:eastAsia="宋体"/>
          <w:sz w:val="28"/>
          <w:szCs w:val="28"/>
          <w:lang w:eastAsia="zh-CN"/>
        </w:rPr>
        <w:t>:</w:t>
      </w:r>
      <w:r>
        <w:rPr>
          <w:rFonts w:eastAsia="宋体"/>
          <w:spacing w:val="-7"/>
          <w:sz w:val="28"/>
          <w:szCs w:val="28"/>
          <w:lang w:eastAsia="zh-CN"/>
        </w:rPr>
        <w:t>在应收帐款上建立担保权，以确保义务的履行。</w:t>
      </w:r>
      <w:r>
        <w:rPr>
          <w:rFonts w:eastAsia="宋体"/>
          <w:sz w:val="28"/>
          <w:szCs w:val="28"/>
          <w:lang w:eastAsia="zh-CN"/>
        </w:rPr>
        <w:t>虽然应收款的直接转让不是为了担保债务而进行的转让，但为方便参考，该术语包括在应收款转让中。例:公司/个人将其应收账款全部转让或出售给贷款公司，以换取贷款，贷款公司从应收账款中得到偿还。</w:t>
      </w:r>
    </w:p>
    <w:p>
      <w:pPr>
        <w:pStyle w:val="5"/>
        <w:spacing w:line="400" w:lineRule="exact"/>
        <w:ind w:firstLine="560" w:firstLineChars="200"/>
        <w:jc w:val="both"/>
        <w:rPr>
          <w:rFonts w:eastAsia="宋体"/>
          <w:sz w:val="28"/>
          <w:szCs w:val="28"/>
          <w:lang w:eastAsia="zh-CN"/>
        </w:rPr>
      </w:pPr>
    </w:p>
    <w:p>
      <w:pPr>
        <w:spacing w:line="400" w:lineRule="exact"/>
        <w:ind w:firstLine="562" w:firstLineChars="200"/>
        <w:jc w:val="both"/>
        <w:rPr>
          <w:rFonts w:eastAsia="宋体"/>
          <w:sz w:val="28"/>
          <w:szCs w:val="28"/>
          <w:lang w:eastAsia="zh-CN"/>
        </w:rPr>
      </w:pPr>
      <w:r>
        <w:rPr>
          <w:rFonts w:eastAsia="宋体"/>
          <w:b/>
          <w:sz w:val="28"/>
          <w:szCs w:val="28"/>
          <w:lang w:eastAsia="zh-CN"/>
        </w:rPr>
        <w:t>业务管理技术:</w:t>
      </w:r>
      <w:r>
        <w:rPr>
          <w:rFonts w:eastAsia="宋体"/>
          <w:sz w:val="28"/>
          <w:szCs w:val="28"/>
          <w:lang w:eastAsia="zh-CN"/>
        </w:rPr>
        <w:t>这涉及到财务管理解决方案，如现金流管理、工资、发票、会计。</w:t>
      </w:r>
    </w:p>
    <w:p>
      <w:pPr>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认证:</w:t>
      </w:r>
      <w:r>
        <w:rPr>
          <w:rFonts w:eastAsia="宋体"/>
          <w:sz w:val="28"/>
          <w:szCs w:val="28"/>
          <w:lang w:eastAsia="zh-CN"/>
        </w:rPr>
        <w:t>借款人可以根据外部绿色评估标准对其绿色贷款或相关绿色贷款框架进行认证。评估标准定义了标准，与这些标准的一致性由合格的第三方/认证机构进行测试。</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与气候相关的财务披露:</w:t>
      </w:r>
      <w:r>
        <w:rPr>
          <w:rFonts w:eastAsia="宋体"/>
          <w:sz w:val="28"/>
          <w:szCs w:val="28"/>
          <w:lang w:eastAsia="zh-CN"/>
        </w:rPr>
        <w:t>对于投资者和其他利益相关方做出更明智的决策变得越来越重要。随着气候变化对经济的影响日益显著，企业需要评估并披露其在应对气候变化时所面临的风险和机遇。通过透明和一致的信息披露，投资者可以更好地理解气候变化对他们的投资可能产生的潜在财务影响，而企业则可以积极管理气候风险并利用绿色增长机会。</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与气候相关</w:t>
      </w:r>
      <w:r>
        <w:rPr>
          <w:rFonts w:eastAsia="宋体"/>
          <w:sz w:val="28"/>
          <w:szCs w:val="28"/>
          <w:lang w:eastAsia="zh-CN"/>
        </w:rPr>
        <w:t>的</w:t>
      </w:r>
      <w:r>
        <w:rPr>
          <w:rFonts w:eastAsia="宋体"/>
          <w:b/>
          <w:spacing w:val="-13"/>
          <w:sz w:val="28"/>
          <w:szCs w:val="28"/>
          <w:lang w:eastAsia="zh-CN"/>
        </w:rPr>
        <w:t>风险</w:t>
      </w:r>
      <w:r>
        <w:rPr>
          <w:rFonts w:eastAsia="宋体"/>
          <w:b/>
          <w:sz w:val="28"/>
          <w:szCs w:val="28"/>
          <w:lang w:eastAsia="zh-CN"/>
        </w:rPr>
        <w:t>和</w:t>
      </w:r>
      <w:r>
        <w:rPr>
          <w:rFonts w:eastAsia="宋体"/>
          <w:b/>
          <w:spacing w:val="-14"/>
          <w:sz w:val="28"/>
          <w:szCs w:val="28"/>
          <w:lang w:eastAsia="zh-CN"/>
        </w:rPr>
        <w:t>环境</w:t>
      </w:r>
      <w:r>
        <w:rPr>
          <w:rFonts w:eastAsia="宋体"/>
          <w:spacing w:val="-13"/>
          <w:sz w:val="28"/>
          <w:szCs w:val="28"/>
          <w:lang w:eastAsia="zh-CN"/>
        </w:rPr>
        <w:t>风险</w:t>
      </w:r>
      <w:r>
        <w:rPr>
          <w:rFonts w:eastAsia="宋体"/>
          <w:sz w:val="28"/>
          <w:szCs w:val="28"/>
          <w:lang w:eastAsia="zh-CN"/>
        </w:rPr>
        <w:t>:包括物理风险和转型风险。物理风险是指气候变化(包括更频繁的极端天气事件和气候的逐渐变化)以及环境退化带来的金融影响。转型风险是指机构在向低碳和环境更可持续的经济调整过程中可能直接或间接造成的财务损失。</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抵押品</w:t>
      </w:r>
      <w:r>
        <w:rPr>
          <w:rFonts w:eastAsia="宋体"/>
          <w:b/>
          <w:spacing w:val="-9"/>
          <w:sz w:val="28"/>
          <w:szCs w:val="28"/>
          <w:lang w:eastAsia="zh-CN"/>
        </w:rPr>
        <w:t>登记:</w:t>
      </w:r>
      <w:r>
        <w:rPr>
          <w:rFonts w:eastAsia="宋体"/>
          <w:sz w:val="28"/>
          <w:szCs w:val="28"/>
          <w:lang w:eastAsia="zh-CN"/>
        </w:rPr>
        <w:t>也称为《联合国国际贸易法委员会担保权登记实施指南》中的担保权登记，是指经济体接收、储存和向公众提供有关动产担保权的某些信息的系统。</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顾问审查:</w:t>
      </w:r>
      <w:r>
        <w:rPr>
          <w:rFonts w:eastAsia="宋体"/>
          <w:sz w:val="28"/>
          <w:szCs w:val="28"/>
          <w:lang w:eastAsia="zh-CN"/>
        </w:rPr>
        <w:t>借款人可向在环境可持续性或绿色贷款管理的其他方面具有公认专业知识的顾问和/或机构寻求建议。</w:t>
      </w:r>
      <w:r>
        <w:rPr>
          <w:rFonts w:hint="eastAsia" w:eastAsia="宋体"/>
          <w:sz w:val="28"/>
          <w:szCs w:val="28"/>
          <w:lang w:eastAsia="zh-CN"/>
        </w:rPr>
        <w:t>“</w:t>
      </w:r>
      <w:r>
        <w:rPr>
          <w:rFonts w:eastAsia="宋体"/>
          <w:sz w:val="28"/>
          <w:szCs w:val="28"/>
          <w:lang w:eastAsia="zh-CN"/>
        </w:rPr>
        <w:t>第二方意见</w:t>
      </w:r>
      <w:r>
        <w:rPr>
          <w:rFonts w:hint="eastAsia" w:eastAsia="宋体"/>
          <w:sz w:val="28"/>
          <w:szCs w:val="28"/>
          <w:lang w:eastAsia="zh-CN"/>
        </w:rPr>
        <w:t>”</w:t>
      </w:r>
      <w:r>
        <w:rPr>
          <w:rFonts w:eastAsia="宋体"/>
          <w:sz w:val="28"/>
          <w:szCs w:val="28"/>
          <w:lang w:eastAsia="zh-CN"/>
        </w:rPr>
        <w:t>也可能属于这一类。</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信用</w:t>
      </w:r>
      <w:r>
        <w:rPr>
          <w:rFonts w:eastAsia="宋体"/>
          <w:b/>
          <w:spacing w:val="-4"/>
          <w:sz w:val="28"/>
          <w:szCs w:val="28"/>
          <w:lang w:eastAsia="zh-CN"/>
        </w:rPr>
        <w:t>局:</w:t>
      </w:r>
      <w:r>
        <w:rPr>
          <w:rFonts w:eastAsia="宋体"/>
          <w:sz w:val="28"/>
          <w:szCs w:val="28"/>
          <w:lang w:eastAsia="zh-CN"/>
        </w:rPr>
        <w:t>维护金融系统中借款人(个人或公司)信用数据库并促进债权人之间信用信息交换的私人公司或非营利组织。</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信用</w:t>
      </w:r>
      <w:r>
        <w:rPr>
          <w:rFonts w:eastAsia="宋体"/>
          <w:b/>
          <w:spacing w:val="-14"/>
          <w:sz w:val="28"/>
          <w:szCs w:val="28"/>
          <w:lang w:eastAsia="zh-CN"/>
        </w:rPr>
        <w:t>登记:</w:t>
      </w:r>
      <w:r>
        <w:rPr>
          <w:rFonts w:eastAsia="宋体"/>
          <w:sz w:val="28"/>
          <w:szCs w:val="28"/>
          <w:lang w:eastAsia="zh-CN"/>
        </w:rPr>
        <w:t>由公共部门管理的数据库，通常由中央银行或银行主管收集金融系统中借款人(个人或公司)的信用信息，并促进银行和其他受监管的金融机构之间的信用信息交换(而其主要目标是协助银行监管)。</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信用</w:t>
      </w:r>
      <w:r>
        <w:rPr>
          <w:rFonts w:eastAsia="宋体"/>
          <w:b/>
          <w:spacing w:val="-8"/>
          <w:sz w:val="28"/>
          <w:szCs w:val="28"/>
          <w:lang w:eastAsia="zh-CN"/>
        </w:rPr>
        <w:t>评分:</w:t>
      </w:r>
      <w:r>
        <w:rPr>
          <w:rFonts w:eastAsia="宋体"/>
          <w:sz w:val="28"/>
          <w:szCs w:val="28"/>
          <w:lang w:eastAsia="zh-CN"/>
        </w:rPr>
        <w:t>根据借款人偿还债务的能力和能力分配给借款人的数字。它还能反映借款人的信用状况。信用评分是根据信用局/登记处的数据开发的，包括许多债权人和可能的一些公共信息来源汇集的信息。</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与危机相关的数据:</w:t>
      </w:r>
      <w:r>
        <w:rPr>
          <w:rFonts w:eastAsia="宋体"/>
          <w:sz w:val="28"/>
          <w:szCs w:val="28"/>
          <w:lang w:eastAsia="zh-CN"/>
        </w:rPr>
        <w:t>这些数据包括在不稳定或困难时期收集的(借款人)数据，这些数据可能导致贷款决策的改变。</w:t>
      </w:r>
    </w:p>
    <w:p>
      <w:pPr>
        <w:pStyle w:val="5"/>
        <w:spacing w:line="400" w:lineRule="exact"/>
        <w:ind w:firstLine="560" w:firstLineChars="200"/>
        <w:jc w:val="both"/>
        <w:rPr>
          <w:rFonts w:eastAsia="宋体"/>
          <w:sz w:val="28"/>
          <w:szCs w:val="28"/>
          <w:lang w:eastAsia="zh-CN"/>
        </w:rPr>
      </w:pPr>
    </w:p>
    <w:p>
      <w:pPr>
        <w:spacing w:line="400" w:lineRule="exact"/>
        <w:ind w:firstLine="562" w:firstLineChars="200"/>
        <w:jc w:val="both"/>
        <w:rPr>
          <w:rFonts w:eastAsia="宋体"/>
          <w:sz w:val="28"/>
          <w:szCs w:val="28"/>
          <w:lang w:eastAsia="zh-CN"/>
        </w:rPr>
      </w:pPr>
      <w:r>
        <w:rPr>
          <w:rFonts w:eastAsia="宋体"/>
          <w:b/>
          <w:sz w:val="28"/>
          <w:szCs w:val="28"/>
          <w:lang w:eastAsia="zh-CN"/>
        </w:rPr>
        <w:t>跨境信用信息共享</w:t>
      </w:r>
      <w:r>
        <w:rPr>
          <w:rFonts w:eastAsia="宋体"/>
          <w:sz w:val="28"/>
          <w:szCs w:val="28"/>
          <w:lang w:eastAsia="zh-CN"/>
        </w:rPr>
        <w:t>:在征信局/登记处和金融机构之间跨境移动或转移信息。</w:t>
      </w:r>
    </w:p>
    <w:p>
      <w:pPr>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客户使用限制:</w:t>
      </w:r>
      <w:r>
        <w:rPr>
          <w:rFonts w:eastAsia="宋体"/>
          <w:sz w:val="28"/>
          <w:szCs w:val="28"/>
          <w:lang w:eastAsia="zh-CN"/>
        </w:rPr>
        <w:t>为降低风险而采取的措施类型。例如，运营商和/或参与的支付服务提供商为支付服务的用户设定的每笔交易和/或每日限制。</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违约:</w:t>
      </w:r>
      <w:r>
        <w:rPr>
          <w:rFonts w:eastAsia="宋体"/>
          <w:sz w:val="28"/>
          <w:szCs w:val="28"/>
          <w:lang w:eastAsia="zh-CN"/>
        </w:rPr>
        <w:t>未能履行财务义务/在到期时支付贷款。</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教育:</w:t>
      </w:r>
      <w:r>
        <w:rPr>
          <w:rFonts w:eastAsia="宋体"/>
          <w:sz w:val="28"/>
          <w:szCs w:val="28"/>
          <w:lang w:eastAsia="zh-CN"/>
        </w:rPr>
        <w:t>这涉及商业和金融教育，通常以研讨会或培训的形式提供，无论是面对面的还是数字化的，旨在建立中小企业(</w:t>
      </w:r>
      <w:bookmarkStart w:id="14" w:name="OLE_LINK14"/>
      <w:r>
        <w:rPr>
          <w:rFonts w:eastAsia="宋体"/>
          <w:sz w:val="28"/>
          <w:szCs w:val="28"/>
          <w:lang w:eastAsia="zh-CN"/>
        </w:rPr>
        <w:t>SMEs)</w:t>
      </w:r>
      <w:bookmarkEnd w:id="14"/>
      <w:r>
        <w:rPr>
          <w:rFonts w:eastAsia="宋体"/>
          <w:sz w:val="28"/>
          <w:szCs w:val="28"/>
          <w:lang w:eastAsia="zh-CN"/>
        </w:rPr>
        <w:t>的知识和能力。</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电子货币(e-money):在</w:t>
      </w:r>
      <w:r>
        <w:rPr>
          <w:rFonts w:eastAsia="宋体"/>
          <w:sz w:val="28"/>
          <w:szCs w:val="28"/>
          <w:lang w:eastAsia="zh-CN"/>
        </w:rPr>
        <w:t>技术设备上的货币价值的电子存储，可广泛用于向电子货币发行者以外的其他实体进行支付。电子货币作为一种预付的不记名票据，在交易中不一定涉及银行账户。</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电子支付(e-payment):</w:t>
      </w:r>
      <w:r>
        <w:rPr>
          <w:rFonts w:eastAsia="宋体"/>
          <w:sz w:val="28"/>
          <w:szCs w:val="28"/>
          <w:lang w:eastAsia="zh-CN"/>
        </w:rPr>
        <w:t>有时也称为数字支付，是指使用数字设备(如移动电话、POS(销售点)或计算机)、数字渠道通信(如移动无线数据或SWIFT(全球银行间金融电信协会))将价值从一个支付账户转移到另一个支付账户。这一定义包括通过银行转账、移动货币和支付卡(包括信用卡、借记卡和预付卡)进行的支付。</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信托所有权转让:为</w:t>
      </w:r>
      <w:r>
        <w:rPr>
          <w:rFonts w:eastAsia="宋体"/>
          <w:sz w:val="28"/>
          <w:szCs w:val="28"/>
          <w:lang w:eastAsia="zh-CN"/>
        </w:rPr>
        <w:t>担保目的的所有权转让，直至债务消灭。债务人可以保留对资产的占有。例如:公司/个人将机器的所有权转让给银行作为贷款担保，并期望在偿还债务后收回机器的所有权。</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金融机构:</w:t>
      </w:r>
      <w:r>
        <w:rPr>
          <w:rFonts w:eastAsia="宋体"/>
          <w:sz w:val="28"/>
          <w:szCs w:val="28"/>
          <w:lang w:eastAsia="zh-CN"/>
        </w:rPr>
        <w:t>从事金融和货币交易(如存款、商业贷款和投资)业务的银行或其他公司。包括商业银行、开发银行等。</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融资租赁:</w:t>
      </w:r>
      <w:r>
        <w:rPr>
          <w:rFonts w:eastAsia="宋体"/>
          <w:sz w:val="28"/>
          <w:szCs w:val="28"/>
          <w:lang w:eastAsia="zh-CN"/>
        </w:rPr>
        <w:t>出租人收取款项以支付其所有权成本的协议。这种协议为出租人创造了一种对有形资产(即租赁标的)的权利。协议-根据该协议，在租赁结束时:(a)承租人自动成为作为租赁对象的资产的所有者</w:t>
      </w:r>
      <w:r>
        <w:rPr>
          <w:rFonts w:hint="eastAsia" w:eastAsia="宋体"/>
          <w:sz w:val="28"/>
          <w:szCs w:val="28"/>
          <w:lang w:eastAsia="zh-CN"/>
        </w:rPr>
        <w:t>；</w:t>
      </w:r>
      <w:r>
        <w:rPr>
          <w:rFonts w:eastAsia="宋体"/>
          <w:sz w:val="28"/>
          <w:szCs w:val="28"/>
          <w:lang w:eastAsia="zh-CN"/>
        </w:rPr>
        <w:t>(b)承租人可以通过支付不超过象征性价格的方式获得资产的所有权</w:t>
      </w:r>
      <w:r>
        <w:rPr>
          <w:rFonts w:hint="eastAsia" w:eastAsia="宋体"/>
          <w:sz w:val="28"/>
          <w:szCs w:val="28"/>
          <w:lang w:eastAsia="zh-CN"/>
        </w:rPr>
        <w:t>；</w:t>
      </w:r>
      <w:r>
        <w:rPr>
          <w:rFonts w:eastAsia="宋体"/>
          <w:sz w:val="28"/>
          <w:szCs w:val="28"/>
          <w:lang w:eastAsia="zh-CN"/>
        </w:rPr>
        <w:t>或(c)资产的剩余价值不超过象征性的剩余价值。例如:公司/个人</w:t>
      </w:r>
      <w:r>
        <w:rPr>
          <w:rFonts w:hint="eastAsia" w:eastAsia="宋体"/>
          <w:sz w:val="28"/>
          <w:szCs w:val="28"/>
          <w:lang w:eastAsia="zh-CN"/>
        </w:rPr>
        <w:t>“</w:t>
      </w:r>
      <w:r>
        <w:rPr>
          <w:rFonts w:eastAsia="宋体"/>
          <w:sz w:val="28"/>
          <w:szCs w:val="28"/>
          <w:lang w:eastAsia="zh-CN"/>
        </w:rPr>
        <w:t>承租人</w:t>
      </w:r>
      <w:r>
        <w:rPr>
          <w:rFonts w:hint="eastAsia" w:eastAsia="宋体"/>
          <w:sz w:val="28"/>
          <w:szCs w:val="28"/>
          <w:lang w:eastAsia="zh-CN"/>
        </w:rPr>
        <w:t>”</w:t>
      </w:r>
      <w:r>
        <w:rPr>
          <w:rFonts w:eastAsia="宋体"/>
          <w:sz w:val="28"/>
          <w:szCs w:val="28"/>
          <w:lang w:eastAsia="zh-CN"/>
        </w:rPr>
        <w:t>同意从另一家公司</w:t>
      </w:r>
      <w:r>
        <w:rPr>
          <w:rFonts w:hint="eastAsia" w:eastAsia="宋体"/>
          <w:sz w:val="28"/>
          <w:szCs w:val="28"/>
          <w:lang w:eastAsia="zh-CN"/>
        </w:rPr>
        <w:t>“</w:t>
      </w:r>
      <w:r>
        <w:rPr>
          <w:rFonts w:eastAsia="宋体"/>
          <w:sz w:val="28"/>
          <w:szCs w:val="28"/>
          <w:lang w:eastAsia="zh-CN"/>
        </w:rPr>
        <w:t>出租人</w:t>
      </w:r>
      <w:r>
        <w:rPr>
          <w:rFonts w:hint="eastAsia" w:eastAsia="宋体"/>
          <w:sz w:val="28"/>
          <w:szCs w:val="28"/>
          <w:lang w:eastAsia="zh-CN"/>
        </w:rPr>
        <w:t>”</w:t>
      </w:r>
      <w:r>
        <w:rPr>
          <w:rFonts w:eastAsia="宋体"/>
          <w:sz w:val="28"/>
          <w:szCs w:val="28"/>
          <w:lang w:eastAsia="zh-CN"/>
        </w:rPr>
        <w:t>租用一台机器。出租人通常是金融机构。租赁协议保证机器的使用，并保证出租人在规定的时间内收到承租人的定期付款。</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商号:</w:t>
      </w:r>
      <w:r>
        <w:rPr>
          <w:rFonts w:eastAsia="宋体"/>
          <w:sz w:val="28"/>
          <w:szCs w:val="28"/>
          <w:lang w:eastAsia="zh-CN"/>
        </w:rPr>
        <w:t>向金融机构申请贷款并有登记记录的组织/公司。</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功能等效物:</w:t>
      </w:r>
      <w:bookmarkStart w:id="15" w:name="OLE_LINK15"/>
      <w:r>
        <w:rPr>
          <w:rFonts w:eastAsia="宋体"/>
          <w:sz w:val="28"/>
          <w:szCs w:val="28"/>
          <w:lang w:eastAsia="zh-CN"/>
        </w:rPr>
        <w:t>在担保交易的功能方法中，所有通过协议产生并确保支付或以其他方式履行义务的动产权利，无论交易类型或当事人使用的术语如何，都被认为是传统类型担保权益的功能等效物。</w:t>
      </w:r>
      <w:bookmarkEnd w:id="15"/>
      <w:r>
        <w:rPr>
          <w:rFonts w:eastAsia="宋体"/>
          <w:sz w:val="28"/>
          <w:szCs w:val="28"/>
          <w:lang w:eastAsia="zh-CN"/>
        </w:rPr>
        <w:t>功能等价物最常见的四种类型是:(1)所有权的信义转让</w:t>
      </w:r>
      <w:r>
        <w:rPr>
          <w:rFonts w:hint="eastAsia" w:eastAsia="宋体"/>
          <w:sz w:val="28"/>
          <w:szCs w:val="28"/>
          <w:lang w:eastAsia="zh-CN"/>
        </w:rPr>
        <w:t>；</w:t>
      </w:r>
      <w:r>
        <w:rPr>
          <w:rFonts w:eastAsia="宋体"/>
          <w:sz w:val="28"/>
          <w:szCs w:val="28"/>
          <w:lang w:eastAsia="zh-CN"/>
        </w:rPr>
        <w:t>(2)融资租赁</w:t>
      </w:r>
      <w:r>
        <w:rPr>
          <w:rFonts w:hint="eastAsia" w:eastAsia="宋体"/>
          <w:sz w:val="28"/>
          <w:szCs w:val="28"/>
          <w:lang w:eastAsia="zh-CN"/>
        </w:rPr>
        <w:t>；</w:t>
      </w:r>
      <w:r>
        <w:rPr>
          <w:rFonts w:eastAsia="宋体"/>
          <w:sz w:val="28"/>
          <w:szCs w:val="28"/>
          <w:lang w:eastAsia="zh-CN"/>
        </w:rPr>
        <w:t>(三)应收款转让/转让</w:t>
      </w:r>
      <w:r>
        <w:rPr>
          <w:rFonts w:hint="eastAsia" w:eastAsia="宋体"/>
          <w:sz w:val="28"/>
          <w:szCs w:val="28"/>
          <w:lang w:eastAsia="zh-CN"/>
        </w:rPr>
        <w:t>；</w:t>
      </w:r>
      <w:r>
        <w:rPr>
          <w:rFonts w:eastAsia="宋体"/>
          <w:sz w:val="28"/>
          <w:szCs w:val="28"/>
          <w:lang w:eastAsia="zh-CN"/>
        </w:rPr>
        <w:t>(4)保留所有权的销售。</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绿色债券:</w:t>
      </w:r>
      <w:r>
        <w:rPr>
          <w:rFonts w:eastAsia="宋体"/>
          <w:sz w:val="28"/>
          <w:szCs w:val="28"/>
          <w:lang w:eastAsia="zh-CN"/>
        </w:rPr>
        <w:t>任何类型的债券工具，其收益将专门用于融资或再融资(部分或全部)新的和/或现有的符合条件的气候相关和环境项目。预计这些债券将符合绿色债券原则(GBP)或与GBP一致的国家定义。</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绿色金融:</w:t>
      </w:r>
      <w:r>
        <w:rPr>
          <w:rFonts w:eastAsia="宋体"/>
          <w:sz w:val="28"/>
          <w:szCs w:val="28"/>
          <w:lang w:eastAsia="zh-CN"/>
        </w:rPr>
        <w:t>所有有助于减缓气候变化、适应和恢复气候变化以及其他环境目标(包括生物多样性管理)的贷款和投资。</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绿色</w:t>
      </w:r>
      <w:r>
        <w:rPr>
          <w:rFonts w:eastAsia="宋体"/>
          <w:b/>
          <w:spacing w:val="-4"/>
          <w:sz w:val="28"/>
          <w:szCs w:val="28"/>
          <w:lang w:eastAsia="zh-CN"/>
        </w:rPr>
        <w:t>贷款:</w:t>
      </w:r>
      <w:r>
        <w:rPr>
          <w:rFonts w:eastAsia="宋体"/>
          <w:sz w:val="28"/>
          <w:szCs w:val="28"/>
          <w:lang w:eastAsia="zh-CN"/>
        </w:rPr>
        <w:t>专门为新的和/或现有的合格绿色项目(部分或全部)提供融资或再融资的任何类型的贷款工具。这些贷款预计将符合绿色贷款原则(GLP)或符合GLP的国家定义。</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绿色</w:t>
      </w:r>
      <w:r>
        <w:rPr>
          <w:rFonts w:eastAsia="宋体"/>
          <w:b/>
          <w:spacing w:val="-5"/>
          <w:sz w:val="28"/>
          <w:szCs w:val="28"/>
          <w:lang w:eastAsia="zh-CN"/>
        </w:rPr>
        <w:t>分类法:</w:t>
      </w:r>
      <w:r>
        <w:rPr>
          <w:rFonts w:eastAsia="宋体"/>
          <w:sz w:val="28"/>
          <w:szCs w:val="28"/>
          <w:lang w:eastAsia="zh-CN"/>
        </w:rPr>
        <w:t>一种分类系统，用于识别环境可持续的经济活动，这些活动对实现国际和国家气候或环境目标有重大贡献，同时不会对环境或社会目标造成损害。</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历史数据:</w:t>
      </w:r>
      <w:r>
        <w:rPr>
          <w:rFonts w:eastAsia="宋体"/>
          <w:sz w:val="28"/>
          <w:szCs w:val="28"/>
          <w:lang w:eastAsia="zh-CN"/>
        </w:rPr>
        <w:t>借款信用历史记录了借款人偿还债务的能力以及在偿还债务方面表现出的责任。它还显示借款人的交易和相关财务历史。</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法人</w:t>
      </w:r>
      <w:r>
        <w:rPr>
          <w:rFonts w:eastAsia="宋体"/>
          <w:b/>
          <w:spacing w:val="-14"/>
          <w:sz w:val="28"/>
          <w:szCs w:val="28"/>
          <w:lang w:eastAsia="zh-CN"/>
        </w:rPr>
        <w:t>实体:</w:t>
      </w:r>
      <w:r>
        <w:rPr>
          <w:rFonts w:eastAsia="宋体"/>
          <w:sz w:val="28"/>
          <w:szCs w:val="28"/>
          <w:lang w:eastAsia="zh-CN"/>
        </w:rPr>
        <w:t>被理解为通过立法规定的注册程序成立的独立的法律实体。</w:t>
      </w: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信息:</w:t>
      </w:r>
      <w:r>
        <w:rPr>
          <w:rFonts w:eastAsia="宋体"/>
          <w:sz w:val="28"/>
          <w:szCs w:val="28"/>
          <w:lang w:eastAsia="zh-CN"/>
        </w:rPr>
        <w:t>这涉及与业务相关的信息，如税收政策的相关更新或关键行业的市场研究，通过网站、出版物、客户经理和其他一线银行工作人员传递给中小企业。</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个人:</w:t>
      </w:r>
      <w:r>
        <w:rPr>
          <w:rFonts w:eastAsia="宋体"/>
          <w:sz w:val="28"/>
          <w:szCs w:val="28"/>
          <w:lang w:eastAsia="zh-CN"/>
        </w:rPr>
        <w:t>向金融机构申请贷款并在局/登记处有记录的人。一组个人(借款人+第三方+合作伙伴+赞助商)将被视为一个个人借款人，而不是公司。</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网上银行:</w:t>
      </w:r>
      <w:r>
        <w:rPr>
          <w:rFonts w:eastAsia="宋体"/>
          <w:sz w:val="28"/>
          <w:szCs w:val="28"/>
          <w:lang w:eastAsia="zh-CN"/>
        </w:rPr>
        <w:t>使金融机构的客户能够使用计算机或其他电子设备通过互联网以电子方式进行金融交易的一种设施。</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关键</w:t>
      </w:r>
      <w:r>
        <w:rPr>
          <w:rFonts w:eastAsia="宋体"/>
          <w:b/>
          <w:spacing w:val="-7"/>
          <w:sz w:val="28"/>
          <w:szCs w:val="28"/>
          <w:lang w:eastAsia="zh-CN"/>
        </w:rPr>
        <w:t>信息:</w:t>
      </w:r>
      <w:r>
        <w:rPr>
          <w:rFonts w:eastAsia="宋体"/>
          <w:sz w:val="28"/>
          <w:szCs w:val="28"/>
          <w:lang w:eastAsia="zh-CN"/>
        </w:rPr>
        <w:t>这是指提供投资产品明确信息的文件，可以包括:产品名称和生产商/公司身份</w:t>
      </w:r>
      <w:r>
        <w:rPr>
          <w:rFonts w:hint="eastAsia" w:eastAsia="宋体"/>
          <w:sz w:val="28"/>
          <w:szCs w:val="28"/>
          <w:lang w:eastAsia="zh-CN"/>
        </w:rPr>
        <w:t>；</w:t>
      </w:r>
      <w:r>
        <w:rPr>
          <w:rFonts w:eastAsia="宋体"/>
          <w:sz w:val="28"/>
          <w:szCs w:val="28"/>
          <w:lang w:eastAsia="zh-CN"/>
        </w:rPr>
        <w:t>所针对的投资者类型</w:t>
      </w:r>
      <w:r>
        <w:rPr>
          <w:rFonts w:hint="eastAsia" w:eastAsia="宋体"/>
          <w:sz w:val="28"/>
          <w:szCs w:val="28"/>
          <w:lang w:eastAsia="zh-CN"/>
        </w:rPr>
        <w:t>；</w:t>
      </w:r>
      <w:r>
        <w:rPr>
          <w:rFonts w:eastAsia="宋体"/>
          <w:sz w:val="28"/>
          <w:szCs w:val="28"/>
          <w:lang w:eastAsia="zh-CN"/>
        </w:rPr>
        <w:t>产品的风险和回报概况，包括风险指标总结、投资资本可能出现的最大损失和产品的适当表现情景</w:t>
      </w:r>
      <w:r>
        <w:rPr>
          <w:rFonts w:hint="eastAsia" w:eastAsia="宋体"/>
          <w:sz w:val="28"/>
          <w:szCs w:val="28"/>
          <w:lang w:eastAsia="zh-CN"/>
        </w:rPr>
        <w:t>；</w:t>
      </w:r>
      <w:r>
        <w:rPr>
          <w:rFonts w:eastAsia="宋体"/>
          <w:sz w:val="28"/>
          <w:szCs w:val="28"/>
          <w:lang w:eastAsia="zh-CN"/>
        </w:rPr>
        <w:t>投资者在投资该产品时必须承担的成本</w:t>
      </w:r>
      <w:r>
        <w:rPr>
          <w:rFonts w:hint="eastAsia" w:eastAsia="宋体"/>
          <w:sz w:val="28"/>
          <w:szCs w:val="28"/>
          <w:lang w:eastAsia="zh-CN"/>
        </w:rPr>
        <w:t>；</w:t>
      </w:r>
      <w:r>
        <w:rPr>
          <w:rFonts w:eastAsia="宋体"/>
          <w:sz w:val="28"/>
          <w:szCs w:val="28"/>
          <w:lang w:eastAsia="zh-CN"/>
        </w:rPr>
        <w:t>如果产品或生产、咨询或销售产品的公司出现问题，投资者可以如何投诉以及向谁投诉的信息。</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手机</w:t>
      </w:r>
      <w:r>
        <w:rPr>
          <w:rFonts w:eastAsia="宋体"/>
          <w:b/>
          <w:spacing w:val="-14"/>
          <w:sz w:val="28"/>
          <w:szCs w:val="28"/>
          <w:lang w:eastAsia="zh-CN"/>
        </w:rPr>
        <w:t>银行:</w:t>
      </w:r>
      <w:r>
        <w:rPr>
          <w:rFonts w:eastAsia="宋体"/>
          <w:sz w:val="28"/>
          <w:szCs w:val="28"/>
          <w:lang w:eastAsia="zh-CN"/>
        </w:rPr>
        <w:t>使金融机构的客户能够使用手机通过互联网进行电子金融交易的一种设施。</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移动货币:</w:t>
      </w:r>
      <w:r>
        <w:rPr>
          <w:rFonts w:eastAsia="宋体"/>
          <w:sz w:val="28"/>
          <w:szCs w:val="28"/>
          <w:lang w:eastAsia="zh-CN"/>
        </w:rPr>
        <w:t>一种现收现付的数字交换媒介，由移动货币代理网络提供便利，使用移动货币账户进行价值储存。它是由移动网络运营商或与移动网络运营商合作的其他实体向其客户提供的一种金融服务，独立于传统的银行网络。</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动产</w:t>
      </w:r>
      <w:r>
        <w:rPr>
          <w:rFonts w:eastAsia="宋体"/>
          <w:sz w:val="28"/>
          <w:szCs w:val="28"/>
          <w:lang w:eastAsia="zh-CN"/>
        </w:rPr>
        <w:t>:</w:t>
      </w:r>
      <w:r>
        <w:rPr>
          <w:rFonts w:eastAsia="宋体"/>
          <w:spacing w:val="-6"/>
          <w:sz w:val="28"/>
          <w:szCs w:val="28"/>
          <w:lang w:eastAsia="zh-CN"/>
        </w:rPr>
        <w:t>一种有形或无形的资产，不是不动产。</w:t>
      </w:r>
      <w:r>
        <w:rPr>
          <w:rFonts w:eastAsia="宋体"/>
          <w:sz w:val="28"/>
          <w:szCs w:val="28"/>
          <w:lang w:eastAsia="zh-CN"/>
        </w:rPr>
        <w:t>评估不包括因性质不同而受不同制度管辖的动产:飞机、船只、知识产权等。</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网络和市场:</w:t>
      </w:r>
      <w:r>
        <w:rPr>
          <w:rFonts w:eastAsia="宋体"/>
          <w:sz w:val="28"/>
          <w:szCs w:val="28"/>
          <w:lang w:eastAsia="zh-CN"/>
        </w:rPr>
        <w:t>这涉及到面对面的网络活动，促进数字网络工具，支持企业家与同行和榜样联系，以及表彰计划，如聚焦成功企业家的颁奖典礼，以及在线或面对面的市场，交易会，以及对客户可能希望进行交易的地点的曝光访问。</w:t>
      </w: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非金融服务:</w:t>
      </w:r>
      <w:r>
        <w:rPr>
          <w:rFonts w:eastAsia="宋体"/>
          <w:sz w:val="28"/>
          <w:szCs w:val="28"/>
          <w:lang w:eastAsia="zh-CN"/>
        </w:rPr>
        <w:t>这些是银行提供的业务发展服务，以补充其核心金融产品。</w:t>
      </w:r>
    </w:p>
    <w:p>
      <w:pPr>
        <w:pStyle w:val="5"/>
        <w:spacing w:line="400" w:lineRule="exact"/>
        <w:ind w:firstLine="560" w:firstLineChars="200"/>
        <w:jc w:val="both"/>
        <w:rPr>
          <w:rFonts w:eastAsia="宋体"/>
          <w:sz w:val="28"/>
          <w:szCs w:val="28"/>
          <w:lang w:eastAsia="zh-CN"/>
        </w:rPr>
      </w:pPr>
    </w:p>
    <w:p>
      <w:pPr>
        <w:spacing w:line="400" w:lineRule="exact"/>
        <w:ind w:firstLine="562" w:firstLineChars="200"/>
        <w:jc w:val="both"/>
        <w:rPr>
          <w:rFonts w:eastAsia="宋体"/>
          <w:sz w:val="28"/>
          <w:szCs w:val="28"/>
          <w:lang w:eastAsia="zh-CN"/>
        </w:rPr>
      </w:pPr>
      <w:r>
        <w:rPr>
          <w:rFonts w:eastAsia="宋体"/>
          <w:b/>
          <w:sz w:val="28"/>
          <w:szCs w:val="28"/>
          <w:lang w:eastAsia="zh-CN"/>
        </w:rPr>
        <w:t>非法人实体:</w:t>
      </w:r>
      <w:r>
        <w:rPr>
          <w:rFonts w:eastAsia="宋体"/>
          <w:sz w:val="28"/>
          <w:szCs w:val="28"/>
          <w:lang w:eastAsia="zh-CN"/>
        </w:rPr>
        <w:t>被视为未注册的合伙企业、独资企业和个人。</w:t>
      </w:r>
    </w:p>
    <w:p>
      <w:pPr>
        <w:spacing w:line="400" w:lineRule="exact"/>
        <w:ind w:firstLine="560" w:firstLineChars="200"/>
        <w:jc w:val="both"/>
        <w:rPr>
          <w:rFonts w:eastAsia="宋体"/>
          <w:sz w:val="28"/>
          <w:szCs w:val="28"/>
          <w:lang w:eastAsia="zh-CN"/>
        </w:rPr>
      </w:pPr>
    </w:p>
    <w:p>
      <w:pPr>
        <w:spacing w:line="400" w:lineRule="exact"/>
        <w:ind w:firstLine="562" w:firstLineChars="200"/>
        <w:jc w:val="both"/>
        <w:rPr>
          <w:rFonts w:eastAsia="宋体"/>
          <w:sz w:val="28"/>
          <w:szCs w:val="28"/>
          <w:lang w:eastAsia="zh-CN"/>
        </w:rPr>
      </w:pPr>
      <w:r>
        <w:rPr>
          <w:rFonts w:eastAsia="宋体"/>
          <w:b/>
          <w:sz w:val="28"/>
          <w:szCs w:val="28"/>
          <w:lang w:eastAsia="zh-CN"/>
        </w:rPr>
        <w:t>不受监管的实体:</w:t>
      </w:r>
      <w:r>
        <w:rPr>
          <w:rFonts w:eastAsia="宋体"/>
          <w:sz w:val="28"/>
          <w:szCs w:val="28"/>
          <w:lang w:eastAsia="zh-CN"/>
        </w:rPr>
        <w:t>包括零售商、公用事业公司、贸易债权人和小额信贷机构。</w:t>
      </w:r>
    </w:p>
    <w:p>
      <w:pPr>
        <w:spacing w:line="400" w:lineRule="exact"/>
        <w:ind w:firstLine="560" w:firstLineChars="200"/>
        <w:jc w:val="both"/>
        <w:rPr>
          <w:rFonts w:eastAsia="宋体"/>
          <w:sz w:val="28"/>
          <w:szCs w:val="28"/>
          <w:lang w:eastAsia="zh-CN"/>
        </w:rPr>
      </w:pPr>
    </w:p>
    <w:p>
      <w:pPr>
        <w:spacing w:line="400" w:lineRule="exact"/>
        <w:ind w:firstLine="562" w:firstLineChars="200"/>
        <w:jc w:val="both"/>
        <w:rPr>
          <w:rFonts w:eastAsia="宋体"/>
          <w:spacing w:val="-3"/>
          <w:sz w:val="28"/>
          <w:szCs w:val="28"/>
          <w:lang w:eastAsia="zh-CN"/>
        </w:rPr>
      </w:pPr>
      <w:r>
        <w:rPr>
          <w:rFonts w:eastAsia="宋体"/>
          <w:b/>
          <w:sz w:val="28"/>
          <w:szCs w:val="28"/>
          <w:lang w:eastAsia="zh-CN"/>
        </w:rPr>
        <w:t>支付卡</w:t>
      </w:r>
      <w:r>
        <w:rPr>
          <w:rFonts w:eastAsia="宋体"/>
          <w:sz w:val="28"/>
          <w:szCs w:val="28"/>
          <w:lang w:eastAsia="zh-CN"/>
        </w:rPr>
        <w:t>:</w:t>
      </w:r>
      <w:r>
        <w:rPr>
          <w:rFonts w:eastAsia="宋体"/>
          <w:spacing w:val="-3"/>
          <w:sz w:val="28"/>
          <w:szCs w:val="28"/>
          <w:lang w:eastAsia="zh-CN"/>
        </w:rPr>
        <w:t>包括信用卡、借记卡和预付卡。</w:t>
      </w:r>
    </w:p>
    <w:p>
      <w:pPr>
        <w:spacing w:line="400" w:lineRule="exact"/>
        <w:ind w:firstLine="548" w:firstLineChars="200"/>
        <w:jc w:val="both"/>
        <w:rPr>
          <w:rFonts w:eastAsia="宋体"/>
          <w:spacing w:val="-3"/>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支付服务提供商</w:t>
      </w:r>
      <w:r>
        <w:rPr>
          <w:rFonts w:eastAsia="宋体"/>
          <w:b/>
          <w:spacing w:val="-1"/>
          <w:sz w:val="28"/>
          <w:szCs w:val="28"/>
          <w:lang w:eastAsia="zh-CN"/>
        </w:rPr>
        <w:t>(PSP):</w:t>
      </w:r>
      <w:r>
        <w:rPr>
          <w:rFonts w:eastAsia="宋体"/>
          <w:sz w:val="28"/>
          <w:szCs w:val="28"/>
          <w:lang w:eastAsia="zh-CN"/>
        </w:rPr>
        <w:t>提供包括汇款在内的支付服务的实体。PSP包括银行和其他接受存款的机构，以及专门的实体，如汇款运营商和电子货币发行者。</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私人出售:一</w:t>
      </w:r>
      <w:r>
        <w:rPr>
          <w:rFonts w:eastAsia="宋体"/>
          <w:sz w:val="28"/>
          <w:szCs w:val="28"/>
          <w:lang w:eastAsia="zh-CN"/>
        </w:rPr>
        <w:t>种出售资产的方法，买卖双方的身份不被披露，交易过程可能不受政府机构的监督。</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招股说明书:向</w:t>
      </w:r>
      <w:r>
        <w:rPr>
          <w:rFonts w:eastAsia="宋体"/>
          <w:sz w:val="28"/>
          <w:szCs w:val="28"/>
          <w:lang w:eastAsia="zh-CN"/>
        </w:rPr>
        <w:t>潜在买家提供投资产品信息的披露文件。</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公开拍卖:</w:t>
      </w:r>
      <w:r>
        <w:rPr>
          <w:rFonts w:eastAsia="宋体"/>
          <w:sz w:val="28"/>
          <w:szCs w:val="28"/>
          <w:lang w:eastAsia="zh-CN"/>
        </w:rPr>
        <w:t>在法院或政府机构的授权下，通过公开和竞争性招标在公共论坛上出售资产的一种方法。</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公共机构:</w:t>
      </w:r>
      <w:r>
        <w:rPr>
          <w:rFonts w:eastAsia="宋体"/>
          <w:sz w:val="28"/>
          <w:szCs w:val="28"/>
          <w:lang w:eastAsia="zh-CN"/>
        </w:rPr>
        <w:t>这指的是政府部门或政府机构，以及监管机构/监管机构、中央银行和股票市场。</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评级:</w:t>
      </w:r>
      <w:r>
        <w:rPr>
          <w:rFonts w:eastAsia="宋体"/>
          <w:sz w:val="28"/>
          <w:szCs w:val="28"/>
          <w:lang w:eastAsia="zh-CN"/>
        </w:rPr>
        <w:t>借款人可以让其绿色贷款或相关绿色贷款框架由合格的第三方(如专业研究提供商或评级机构)进行评级。</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评级方法:</w:t>
      </w:r>
      <w:r>
        <w:rPr>
          <w:rFonts w:eastAsia="宋体"/>
          <w:sz w:val="28"/>
          <w:szCs w:val="28"/>
          <w:lang w:eastAsia="zh-CN"/>
        </w:rPr>
        <w:t>用于对合格第三方(如专业研究提供商或评级机构)提供的绿色贷款/债券或相关绿色贷款/债券框架进行评级的方法。</w:t>
      </w:r>
    </w:p>
    <w:p>
      <w:pPr>
        <w:pStyle w:val="5"/>
        <w:spacing w:line="400" w:lineRule="exact"/>
        <w:ind w:firstLine="560" w:firstLineChars="200"/>
        <w:jc w:val="both"/>
        <w:rPr>
          <w:rFonts w:eastAsia="宋体"/>
          <w:sz w:val="28"/>
          <w:szCs w:val="28"/>
          <w:lang w:eastAsia="zh-CN"/>
        </w:rPr>
      </w:pPr>
    </w:p>
    <w:p>
      <w:pPr>
        <w:pStyle w:val="5"/>
        <w:spacing w:line="400" w:lineRule="exact"/>
        <w:ind w:firstLine="560" w:firstLineChars="200"/>
        <w:jc w:val="both"/>
        <w:rPr>
          <w:rFonts w:eastAsia="宋体"/>
          <w:sz w:val="28"/>
          <w:szCs w:val="28"/>
          <w:lang w:eastAsia="zh-CN"/>
        </w:rPr>
      </w:pPr>
      <w:r>
        <w:rPr>
          <w:rFonts w:eastAsia="宋体"/>
          <w:sz w:val="28"/>
          <w:szCs w:val="28"/>
        </w:rPr>
        <w:pict>
          <v:rect id="docshape7" o:spid="_x0000_s1032" o:spt="1" style="position:absolute;left:0pt;margin-left:232pt;margin-top:24.1pt;height:0.45pt;width:2.75pt;mso-position-horizontal-relative:page;z-index:251666432;mso-width-relative:page;mso-height-relative:page;" fillcolor="#000000" filled="t" stroked="f" coordsize="21600,21600">
            <v:path/>
            <v:fill on="t" focussize="0,0"/>
            <v:stroke on="f"/>
            <v:imagedata o:title=""/>
            <o:lock v:ext="edit"/>
          </v:rect>
        </w:pict>
      </w:r>
      <w:r>
        <w:rPr>
          <w:rFonts w:eastAsia="宋体"/>
          <w:b/>
          <w:sz w:val="28"/>
          <w:szCs w:val="28"/>
          <w:lang w:eastAsia="zh-CN"/>
        </w:rPr>
        <w:t>受监管</w:t>
      </w:r>
      <w:r>
        <w:rPr>
          <w:rFonts w:eastAsia="宋体"/>
          <w:b/>
          <w:spacing w:val="-8"/>
          <w:sz w:val="28"/>
          <w:szCs w:val="28"/>
          <w:lang w:eastAsia="zh-CN"/>
        </w:rPr>
        <w:t>实体:</w:t>
      </w:r>
      <w:r>
        <w:rPr>
          <w:rFonts w:eastAsia="宋体"/>
          <w:sz w:val="28"/>
          <w:szCs w:val="28"/>
          <w:lang w:eastAsia="zh-CN"/>
        </w:rPr>
        <w:t>包括银行或类似的金融机构，这些机构受到政府机构的监管和定期检查。</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还款历史:</w:t>
      </w:r>
      <w:r>
        <w:rPr>
          <w:rFonts w:eastAsia="宋体"/>
          <w:sz w:val="28"/>
          <w:szCs w:val="28"/>
          <w:lang w:eastAsia="zh-CN"/>
        </w:rPr>
        <w:t>个人偿还贷款或其他财务义务的历史，包括未偿债务或未偿信用记录(即使个人目前也没有未偿贷款、违约等)。</w:t>
      </w:r>
    </w:p>
    <w:p>
      <w:pPr>
        <w:pStyle w:val="5"/>
        <w:spacing w:line="400" w:lineRule="exact"/>
        <w:ind w:firstLine="560" w:firstLineChars="200"/>
        <w:jc w:val="both"/>
        <w:rPr>
          <w:rFonts w:eastAsia="宋体"/>
          <w:sz w:val="28"/>
          <w:szCs w:val="28"/>
          <w:lang w:eastAsia="zh-CN"/>
        </w:rPr>
      </w:pPr>
    </w:p>
    <w:p>
      <w:pPr>
        <w:spacing w:line="400" w:lineRule="exact"/>
        <w:ind w:firstLine="562" w:firstLineChars="200"/>
        <w:jc w:val="both"/>
        <w:rPr>
          <w:rFonts w:eastAsia="宋体"/>
          <w:sz w:val="28"/>
          <w:szCs w:val="28"/>
          <w:lang w:eastAsia="zh-CN"/>
        </w:rPr>
      </w:pPr>
      <w:r>
        <w:rPr>
          <w:rFonts w:eastAsia="宋体"/>
          <w:b/>
          <w:sz w:val="28"/>
          <w:szCs w:val="28"/>
          <w:lang w:eastAsia="zh-CN"/>
        </w:rPr>
        <w:t>重组</w:t>
      </w:r>
      <w:r>
        <w:rPr>
          <w:rFonts w:eastAsia="宋体"/>
          <w:b/>
          <w:spacing w:val="-4"/>
          <w:sz w:val="28"/>
          <w:szCs w:val="28"/>
          <w:lang w:eastAsia="zh-CN"/>
        </w:rPr>
        <w:t>债务:</w:t>
      </w:r>
      <w:r>
        <w:rPr>
          <w:rFonts w:eastAsia="宋体"/>
          <w:sz w:val="28"/>
          <w:szCs w:val="28"/>
          <w:lang w:eastAsia="zh-CN"/>
        </w:rPr>
        <w:t>个人或公司持有的再融资债务。</w:t>
      </w:r>
    </w:p>
    <w:p>
      <w:pPr>
        <w:spacing w:line="400" w:lineRule="exact"/>
        <w:ind w:firstLine="560" w:firstLineChars="200"/>
        <w:jc w:val="both"/>
        <w:rPr>
          <w:rFonts w:eastAsia="宋体"/>
          <w:sz w:val="28"/>
          <w:szCs w:val="28"/>
          <w:lang w:eastAsia="zh-CN"/>
        </w:rPr>
      </w:pPr>
    </w:p>
    <w:p>
      <w:pPr>
        <w:spacing w:line="400" w:lineRule="exact"/>
        <w:ind w:firstLine="562" w:firstLineChars="200"/>
        <w:jc w:val="both"/>
        <w:rPr>
          <w:rFonts w:eastAsia="宋体"/>
          <w:sz w:val="28"/>
          <w:szCs w:val="28"/>
          <w:lang w:eastAsia="zh-CN"/>
        </w:rPr>
      </w:pPr>
      <w:r>
        <w:rPr>
          <w:rFonts w:eastAsia="宋体"/>
          <w:b/>
          <w:sz w:val="28"/>
          <w:szCs w:val="28"/>
          <w:lang w:eastAsia="zh-CN"/>
        </w:rPr>
        <w:t>零售商</w:t>
      </w:r>
      <w:r>
        <w:rPr>
          <w:rFonts w:eastAsia="宋体"/>
          <w:b/>
          <w:spacing w:val="-4"/>
          <w:sz w:val="28"/>
          <w:szCs w:val="28"/>
          <w:lang w:eastAsia="zh-CN"/>
        </w:rPr>
        <w:t>和</w:t>
      </w:r>
      <w:r>
        <w:rPr>
          <w:rFonts w:eastAsia="宋体"/>
          <w:b/>
          <w:sz w:val="28"/>
          <w:szCs w:val="28"/>
          <w:lang w:eastAsia="zh-CN"/>
        </w:rPr>
        <w:t>商人:</w:t>
      </w:r>
      <w:r>
        <w:rPr>
          <w:rFonts w:eastAsia="宋体"/>
          <w:sz w:val="28"/>
          <w:szCs w:val="28"/>
          <w:lang w:eastAsia="zh-CN"/>
        </w:rPr>
        <w:t>包括百货公司、家具店、汽车经销商等。</w:t>
      </w:r>
    </w:p>
    <w:p>
      <w:pPr>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所有权保留销售:</w:t>
      </w:r>
      <w:r>
        <w:rPr>
          <w:rFonts w:eastAsia="宋体"/>
          <w:sz w:val="28"/>
          <w:szCs w:val="28"/>
          <w:lang w:eastAsia="zh-CN"/>
        </w:rPr>
        <w:t>在买方履行某些义务(通常是支付购买价格)之前，货物的所有权仍然归属于卖方的货物销售。例子:库存所有权仍然归属于卖方，直到买方公司/个人全额支付了购买价格。</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担保</w:t>
      </w:r>
      <w:r>
        <w:rPr>
          <w:rFonts w:eastAsia="宋体"/>
          <w:b/>
          <w:spacing w:val="-7"/>
          <w:sz w:val="28"/>
          <w:szCs w:val="28"/>
          <w:lang w:eastAsia="zh-CN"/>
        </w:rPr>
        <w:t>交易:</w:t>
      </w:r>
      <w:r>
        <w:rPr>
          <w:rFonts w:eastAsia="宋体"/>
          <w:sz w:val="28"/>
          <w:szCs w:val="28"/>
          <w:lang w:eastAsia="zh-CN"/>
        </w:rPr>
        <w:t>指在任何类型的动产中创造权利以确保履行义务的所有交易，无论其形式如何。</w:t>
      </w:r>
    </w:p>
    <w:p>
      <w:pPr>
        <w:pStyle w:val="5"/>
        <w:spacing w:line="400" w:lineRule="exact"/>
        <w:ind w:firstLine="560" w:firstLineChars="200"/>
        <w:jc w:val="both"/>
        <w:rPr>
          <w:rFonts w:eastAsia="宋体"/>
          <w:sz w:val="28"/>
          <w:szCs w:val="28"/>
          <w:lang w:eastAsia="zh-CN"/>
        </w:rPr>
      </w:pPr>
    </w:p>
    <w:p>
      <w:pPr>
        <w:spacing w:line="400" w:lineRule="exact"/>
        <w:ind w:firstLine="562" w:firstLineChars="200"/>
        <w:jc w:val="both"/>
        <w:rPr>
          <w:rFonts w:eastAsia="宋体"/>
          <w:sz w:val="28"/>
          <w:szCs w:val="28"/>
          <w:lang w:eastAsia="zh-CN"/>
        </w:rPr>
      </w:pPr>
      <w:r>
        <w:rPr>
          <w:rFonts w:eastAsia="宋体"/>
          <w:b/>
          <w:sz w:val="28"/>
          <w:szCs w:val="28"/>
          <w:lang w:eastAsia="zh-CN"/>
        </w:rPr>
        <w:t>对合并资产类别的担保</w:t>
      </w:r>
      <w:r>
        <w:rPr>
          <w:rFonts w:eastAsia="宋体"/>
          <w:sz w:val="28"/>
          <w:szCs w:val="28"/>
          <w:lang w:eastAsia="zh-CN"/>
        </w:rPr>
        <w:t>权益:当在一个担保工具中对整个公司的所有或几种类型的流动资产授予担保权益时，就会产生这种权益。英美法系国家可能允许以浮动押记或企业押记的方式授予对组合资产类别的担保权益。在大陆法系国家，这可以</w:t>
      </w:r>
      <w:r>
        <w:rPr>
          <w:rFonts w:eastAsia="宋体"/>
          <w:i/>
          <w:sz w:val="28"/>
          <w:szCs w:val="28"/>
          <w:lang w:eastAsia="zh-CN"/>
        </w:rPr>
        <w:t>通过</w:t>
      </w:r>
      <w:r>
        <w:rPr>
          <w:rFonts w:hint="eastAsia" w:eastAsia="宋体"/>
          <w:i/>
          <w:sz w:val="28"/>
          <w:szCs w:val="28"/>
          <w:lang w:eastAsia="zh-CN"/>
        </w:rPr>
        <w:t>“</w:t>
      </w:r>
      <w:r>
        <w:rPr>
          <w:rFonts w:eastAsia="宋体"/>
          <w:i/>
          <w:sz w:val="28"/>
          <w:szCs w:val="28"/>
          <w:lang w:eastAsia="zh-CN"/>
        </w:rPr>
        <w:t>商业担保</w:t>
      </w:r>
      <w:r>
        <w:rPr>
          <w:rFonts w:hint="eastAsia" w:eastAsia="宋体"/>
          <w:i/>
          <w:sz w:val="28"/>
          <w:szCs w:val="28"/>
          <w:lang w:eastAsia="zh-CN"/>
        </w:rPr>
        <w:t>”</w:t>
      </w:r>
      <w:r>
        <w:rPr>
          <w:rFonts w:eastAsia="宋体"/>
          <w:spacing w:val="-13"/>
          <w:sz w:val="28"/>
          <w:szCs w:val="28"/>
          <w:lang w:eastAsia="zh-CN"/>
        </w:rPr>
        <w:t>或</w:t>
      </w:r>
      <w:r>
        <w:rPr>
          <w:rFonts w:hint="eastAsia" w:eastAsia="宋体"/>
          <w:spacing w:val="-13"/>
          <w:sz w:val="28"/>
          <w:szCs w:val="28"/>
          <w:lang w:eastAsia="zh-CN"/>
        </w:rPr>
        <w:t>“</w:t>
      </w:r>
      <w:r>
        <w:rPr>
          <w:rFonts w:eastAsia="宋体"/>
          <w:i/>
          <w:sz w:val="28"/>
          <w:szCs w:val="28"/>
          <w:lang w:eastAsia="zh-CN"/>
        </w:rPr>
        <w:t>商业担保/商业担保</w:t>
      </w:r>
      <w:r>
        <w:rPr>
          <w:rFonts w:hint="eastAsia" w:eastAsia="宋体"/>
          <w:i/>
          <w:sz w:val="28"/>
          <w:szCs w:val="28"/>
          <w:lang w:eastAsia="zh-CN"/>
        </w:rPr>
        <w:t>”</w:t>
      </w:r>
      <w:r>
        <w:rPr>
          <w:rFonts w:eastAsia="宋体"/>
          <w:i/>
          <w:sz w:val="28"/>
          <w:szCs w:val="28"/>
          <w:lang w:eastAsia="zh-CN"/>
        </w:rPr>
        <w:t>来实现</w:t>
      </w:r>
      <w:r>
        <w:rPr>
          <w:rFonts w:eastAsia="宋体"/>
          <w:sz w:val="28"/>
          <w:szCs w:val="28"/>
          <w:lang w:eastAsia="zh-CN"/>
        </w:rPr>
        <w:t>。</w:t>
      </w:r>
    </w:p>
    <w:p>
      <w:pPr>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社会情感技能培训:</w:t>
      </w:r>
      <w:r>
        <w:rPr>
          <w:rFonts w:eastAsia="宋体"/>
          <w:sz w:val="28"/>
          <w:szCs w:val="28"/>
          <w:lang w:eastAsia="zh-CN"/>
        </w:rPr>
        <w:t>这包括以社会情感和非认知技能(包括自信、领导能力、创造力、风险倾向和心理健康)为重点的培训项目。</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技术援助:</w:t>
      </w:r>
      <w:r>
        <w:rPr>
          <w:rFonts w:eastAsia="宋体"/>
          <w:sz w:val="28"/>
          <w:szCs w:val="28"/>
          <w:lang w:eastAsia="zh-CN"/>
        </w:rPr>
        <w:t>这是指金融机构、银行业实体或发行人提供的咨询服务，以提供更好的绿色债券金融知识。咨询服务应包括关键信息，使投资者能够对发行人提供的证券做出知情评估。它可以基于绿色披露义务。</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sz w:val="28"/>
          <w:szCs w:val="28"/>
          <w:lang w:eastAsia="zh-CN"/>
        </w:rPr>
        <w:t>公用事业</w:t>
      </w:r>
      <w:r>
        <w:rPr>
          <w:rFonts w:eastAsia="宋体"/>
          <w:b/>
          <w:spacing w:val="-9"/>
          <w:sz w:val="28"/>
          <w:szCs w:val="28"/>
          <w:lang w:eastAsia="zh-CN"/>
        </w:rPr>
        <w:t>公司:</w:t>
      </w:r>
      <w:r>
        <w:rPr>
          <w:rFonts w:eastAsia="宋体"/>
          <w:sz w:val="28"/>
          <w:szCs w:val="28"/>
          <w:lang w:eastAsia="zh-CN"/>
        </w:rPr>
        <w:t>包括电信、电力、水、天然气或类似的服务。</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sectPr>
          <w:pgSz w:w="12240" w:h="15840"/>
          <w:pgMar w:top="1440" w:right="1800" w:bottom="1440" w:left="1800" w:header="720" w:footer="720" w:gutter="0"/>
          <w:cols w:space="720" w:num="1"/>
        </w:sectPr>
      </w:pPr>
      <w:r>
        <w:rPr>
          <w:rFonts w:eastAsia="宋体"/>
          <w:b/>
          <w:sz w:val="28"/>
          <w:szCs w:val="28"/>
          <w:lang w:eastAsia="zh-CN"/>
        </w:rPr>
        <w:t>验证:</w:t>
      </w:r>
      <w:r>
        <w:rPr>
          <w:rFonts w:eastAsia="宋体"/>
          <w:sz w:val="28"/>
          <w:szCs w:val="28"/>
          <w:lang w:eastAsia="zh-CN"/>
        </w:rPr>
        <w:t>借款人可以让其绿色贷款、相关绿色贷款框架或基础资产得到合格方(如审计师或独立的环境、社会和治理(ESG)评级提供商)的独立验证。与认证相比，验证可能侧重于与内部标准或借款人提出的索赔的一致性。</w:t>
      </w:r>
    </w:p>
    <w:p>
      <w:pPr>
        <w:pStyle w:val="3"/>
        <w:spacing w:before="0" w:after="240" w:afterLines="100" w:line="400" w:lineRule="exact"/>
        <w:jc w:val="center"/>
        <w:rPr>
          <w:rFonts w:ascii="Times New Roman" w:hAnsi="Times New Roman" w:eastAsia="宋体"/>
          <w:sz w:val="28"/>
          <w:szCs w:val="28"/>
          <w:lang w:eastAsia="zh-CN"/>
        </w:rPr>
      </w:pPr>
      <w:r>
        <w:rPr>
          <w:rFonts w:ascii="Times New Roman" w:hAnsi="Times New Roman" w:eastAsia="宋体"/>
          <w:sz w:val="28"/>
          <w:szCs w:val="28"/>
          <w:lang w:eastAsia="zh-CN"/>
        </w:rPr>
        <w:t>问卷调查</w:t>
      </w:r>
    </w:p>
    <w:p>
      <w:pPr>
        <w:pStyle w:val="4"/>
        <w:jc w:val="center"/>
        <w:rPr>
          <w:color w:val="4F81BD" w:themeColor="accent1"/>
          <w:lang w:eastAsia="zh-CN"/>
          <w14:textFill>
            <w14:solidFill>
              <w14:schemeClr w14:val="accent1"/>
            </w14:solidFill>
          </w14:textFill>
        </w:rPr>
      </w:pPr>
      <w:r>
        <w:rPr>
          <w:rFonts w:eastAsia="宋体"/>
          <w:color w:val="4F81BD" w:themeColor="accent1"/>
          <w:sz w:val="28"/>
          <w:szCs w:val="28"/>
          <w:lang w:eastAsia="zh-CN"/>
          <w14:textFill>
            <w14:solidFill>
              <w14:schemeClr w14:val="accent1"/>
            </w14:solidFill>
          </w14:textFill>
        </w:rPr>
        <w:t>商业贷款监管质量</w:t>
      </w:r>
    </w:p>
    <w:p>
      <w:pPr>
        <w:spacing w:line="400" w:lineRule="exact"/>
        <w:ind w:firstLine="560" w:firstLineChars="200"/>
        <w:jc w:val="both"/>
        <w:rPr>
          <w:rFonts w:eastAsia="宋体"/>
          <w:i/>
          <w:sz w:val="28"/>
          <w:szCs w:val="28"/>
          <w:lang w:eastAsia="zh-CN"/>
        </w:rPr>
      </w:pPr>
      <w:r>
        <w:rPr>
          <w:rFonts w:eastAsia="宋体"/>
          <w:i/>
          <w:sz w:val="28"/>
          <w:szCs w:val="28"/>
          <w:lang w:eastAsia="zh-CN"/>
        </w:rPr>
        <w:t>下面的表格列出了每个维度下的所有指标(包括其组成部分，如果适用的话)，并在括号中注明了相应的问题编号。为了便于参考，每个表格前都列出了这些问题。</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对于Y/N题，Y回答占分数，并被认为是良好的做法，除非另有标记</w:t>
      </w:r>
      <w:r>
        <w:rPr>
          <w:rFonts w:hint="eastAsia" w:eastAsia="宋体"/>
          <w:i/>
          <w:sz w:val="28"/>
          <w:szCs w:val="28"/>
          <w:lang w:eastAsia="zh-CN"/>
        </w:rPr>
        <w:t>“</w:t>
      </w:r>
      <w:r>
        <w:rPr>
          <w:rFonts w:eastAsia="宋体"/>
          <w:i/>
          <w:sz w:val="28"/>
          <w:szCs w:val="28"/>
          <w:lang w:eastAsia="zh-CN"/>
        </w:rPr>
        <w:t>Y/N</w:t>
      </w:r>
      <w:r>
        <w:rPr>
          <w:rFonts w:hint="eastAsia" w:eastAsia="宋体"/>
          <w:i/>
          <w:sz w:val="28"/>
          <w:szCs w:val="28"/>
          <w:lang w:eastAsia="zh-CN"/>
        </w:rPr>
        <w:t>；</w:t>
      </w:r>
      <w:r>
        <w:rPr>
          <w:rFonts w:eastAsia="宋体"/>
          <w:i/>
          <w:sz w:val="28"/>
          <w:szCs w:val="28"/>
          <w:lang w:eastAsia="zh-CN"/>
        </w:rPr>
        <w:t>N - 良好做法</w:t>
      </w:r>
      <w:r>
        <w:rPr>
          <w:rFonts w:hint="eastAsia" w:eastAsia="宋体"/>
          <w:i/>
          <w:sz w:val="28"/>
          <w:szCs w:val="28"/>
          <w:lang w:eastAsia="zh-CN"/>
        </w:rPr>
        <w:t>”</w:t>
      </w:r>
      <w:r>
        <w:rPr>
          <w:rFonts w:eastAsia="宋体"/>
          <w:i/>
          <w:sz w:val="28"/>
          <w:szCs w:val="28"/>
          <w:lang w:eastAsia="zh-CN"/>
        </w:rPr>
        <w:t>。</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在下面的表格中，</w:t>
      </w:r>
      <w:r>
        <w:rPr>
          <w:rFonts w:hint="eastAsia" w:eastAsia="宋体"/>
          <w:i/>
          <w:sz w:val="28"/>
          <w:szCs w:val="28"/>
          <w:lang w:eastAsia="zh-CN"/>
        </w:rPr>
        <w:t>“</w:t>
      </w:r>
      <w:r>
        <w:rPr>
          <w:rFonts w:eastAsia="宋体"/>
          <w:i/>
          <w:sz w:val="28"/>
          <w:szCs w:val="28"/>
          <w:lang w:eastAsia="zh-CN"/>
        </w:rPr>
        <w:t>和AND</w:t>
      </w:r>
      <w:r>
        <w:rPr>
          <w:rFonts w:hint="eastAsia" w:eastAsia="宋体"/>
          <w:i/>
          <w:sz w:val="28"/>
          <w:szCs w:val="28"/>
          <w:lang w:eastAsia="zh-CN"/>
        </w:rPr>
        <w:t>”</w:t>
      </w:r>
      <w:r>
        <w:rPr>
          <w:rFonts w:eastAsia="宋体"/>
          <w:i/>
          <w:sz w:val="28"/>
          <w:szCs w:val="28"/>
          <w:lang w:eastAsia="zh-CN"/>
        </w:rPr>
        <w:t>表示所有参考问题都必须有一个良好的实践回答，才能在指标上获得分数。</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在下面的表格中，</w:t>
      </w:r>
      <w:r>
        <w:rPr>
          <w:rFonts w:hint="eastAsia" w:eastAsia="宋体"/>
          <w:i/>
          <w:sz w:val="28"/>
          <w:szCs w:val="28"/>
          <w:lang w:eastAsia="zh-CN"/>
        </w:rPr>
        <w:t>“</w:t>
      </w:r>
      <w:r>
        <w:rPr>
          <w:rFonts w:eastAsia="宋体"/>
          <w:i/>
          <w:sz w:val="28"/>
          <w:szCs w:val="28"/>
          <w:lang w:eastAsia="zh-CN"/>
        </w:rPr>
        <w:t>或OR</w:t>
      </w:r>
      <w:r>
        <w:rPr>
          <w:rFonts w:hint="eastAsia" w:eastAsia="宋体"/>
          <w:i/>
          <w:sz w:val="28"/>
          <w:szCs w:val="28"/>
          <w:lang w:eastAsia="zh-CN"/>
        </w:rPr>
        <w:t>”</w:t>
      </w:r>
      <w:r>
        <w:rPr>
          <w:rFonts w:eastAsia="宋体"/>
          <w:i/>
          <w:sz w:val="28"/>
          <w:szCs w:val="28"/>
          <w:lang w:eastAsia="zh-CN"/>
        </w:rPr>
        <w:t>表示一个或多个参考问题必须具有良好的练习回答才能获得指标上的分数。</w:t>
      </w:r>
    </w:p>
    <w:p>
      <w:pPr>
        <w:spacing w:line="400" w:lineRule="exact"/>
        <w:ind w:firstLine="560" w:firstLineChars="200"/>
        <w:jc w:val="both"/>
        <w:rPr>
          <w:rFonts w:eastAsia="宋体"/>
          <w:i/>
          <w:sz w:val="28"/>
          <w:szCs w:val="28"/>
          <w:lang w:eastAsia="zh-CN"/>
        </w:rPr>
      </w:pPr>
    </w:p>
    <w:p>
      <w:pPr>
        <w:pStyle w:val="5"/>
        <w:spacing w:line="400" w:lineRule="exact"/>
        <w:ind w:firstLine="840" w:firstLineChars="300"/>
        <w:rPr>
          <w:rFonts w:eastAsia="宋体"/>
          <w:i/>
          <w:sz w:val="28"/>
          <w:szCs w:val="28"/>
          <w:lang w:eastAsia="zh-CN"/>
        </w:rPr>
      </w:pPr>
      <w:r>
        <w:rPr>
          <w:rFonts w:eastAsia="宋体"/>
          <w:i/>
          <w:sz w:val="28"/>
          <w:szCs w:val="28"/>
          <w:lang w:eastAsia="zh-CN"/>
        </w:rPr>
        <w:t>某些问题被标记为</w:t>
      </w:r>
      <w:r>
        <w:rPr>
          <w:rFonts w:hint="eastAsia" w:eastAsia="宋体"/>
          <w:i/>
          <w:sz w:val="28"/>
          <w:szCs w:val="28"/>
          <w:lang w:eastAsia="zh-CN"/>
        </w:rPr>
        <w:t>“不计分”</w:t>
      </w:r>
      <w:r>
        <w:rPr>
          <w:rFonts w:eastAsia="宋体"/>
          <w:i/>
          <w:sz w:val="28"/>
          <w:szCs w:val="28"/>
          <w:lang w:eastAsia="zh-CN"/>
        </w:rPr>
        <w:t>，这表明它们不会以任何方式影响分数。这些问题的目的是根据需要进一步告知和完善试点后续年份的问题设计，并为得分问题提供进一步的信息。</w:t>
      </w:r>
    </w:p>
    <w:p>
      <w:pPr>
        <w:pStyle w:val="5"/>
        <w:spacing w:line="400" w:lineRule="exact"/>
        <w:rPr>
          <w:rFonts w:eastAsia="宋体"/>
          <w:i/>
          <w:sz w:val="28"/>
          <w:szCs w:val="28"/>
          <w:lang w:eastAsia="zh-CN"/>
        </w:rPr>
      </w:pPr>
      <w:r>
        <w:rPr>
          <w:rFonts w:eastAsia="宋体"/>
          <w:sz w:val="28"/>
          <w:szCs w:val="28"/>
        </w:rPr>
        <mc:AlternateContent>
          <mc:Choice Requires="wps">
            <w:drawing>
              <wp:anchor distT="0" distB="0" distL="114300" distR="114300" simplePos="0" relativeHeight="251659264" behindDoc="1" locked="0" layoutInCell="1" allowOverlap="1">
                <wp:simplePos x="0" y="0"/>
                <wp:positionH relativeFrom="page">
                  <wp:posOffset>856615</wp:posOffset>
                </wp:positionH>
                <wp:positionV relativeFrom="paragraph">
                  <wp:posOffset>164465</wp:posOffset>
                </wp:positionV>
                <wp:extent cx="6060440" cy="374015"/>
                <wp:effectExtent l="4445" t="4445" r="5715" b="15240"/>
                <wp:wrapTopAndBottom/>
                <wp:docPr id="16" name="文本框 16"/>
                <wp:cNvGraphicFramePr/>
                <a:graphic xmlns:a="http://schemas.openxmlformats.org/drawingml/2006/main">
                  <a:graphicData uri="http://schemas.microsoft.com/office/word/2010/wordprocessingShape">
                    <wps:wsp>
                      <wps:cNvSpPr txBox="1"/>
                      <wps:spPr>
                        <a:xfrm>
                          <a:off x="0" y="0"/>
                          <a:ext cx="6060440" cy="374015"/>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60"/>
                              <w:ind w:left="103" w:right="235"/>
                              <w:rPr>
                                <w:rFonts w:eastAsia="宋体"/>
                                <w:b/>
                                <w:color w:val="000000"/>
                                <w:sz w:val="28"/>
                                <w:szCs w:val="28"/>
                                <w:lang w:eastAsia="zh-CN"/>
                              </w:rPr>
                            </w:pPr>
                            <w:r>
                              <w:rPr>
                                <w:rFonts w:eastAsia="宋体"/>
                                <w:b/>
                                <w:color w:val="FFFFFF"/>
                                <w:sz w:val="28"/>
                                <w:szCs w:val="28"/>
                                <w:lang w:eastAsia="zh-CN"/>
                              </w:rPr>
                              <w:t>维度I-监管框架</w:t>
                            </w:r>
                            <w:r>
                              <w:rPr>
                                <w:rFonts w:hint="eastAsia" w:eastAsia="宋体"/>
                                <w:b/>
                                <w:color w:val="FFFFFF"/>
                                <w:sz w:val="28"/>
                                <w:szCs w:val="28"/>
                                <w:lang w:eastAsia="zh-CN"/>
                              </w:rPr>
                              <w:t>：</w:t>
                            </w:r>
                            <w:r>
                              <w:rPr>
                                <w:rFonts w:eastAsia="宋体"/>
                                <w:b/>
                                <w:color w:val="FFFFFF"/>
                                <w:sz w:val="28"/>
                                <w:szCs w:val="28"/>
                                <w:lang w:eastAsia="zh-CN"/>
                              </w:rPr>
                              <w:t>商业贷款监管质量</w:t>
                            </w:r>
                          </w:p>
                        </w:txbxContent>
                      </wps:txbx>
                      <wps:bodyPr lIns="0" tIns="0" rIns="0" bIns="0" upright="1"/>
                    </wps:wsp>
                  </a:graphicData>
                </a:graphic>
              </wp:anchor>
            </w:drawing>
          </mc:Choice>
          <mc:Fallback>
            <w:pict>
              <v:shape id="_x0000_s1026" o:spid="_x0000_s1026" o:spt="202" type="#_x0000_t202" style="position:absolute;left:0pt;margin-left:67.45pt;margin-top:12.95pt;height:29.45pt;width:477.2pt;mso-position-horizontal-relative:page;mso-wrap-distance-bottom:0pt;mso-wrap-distance-top:0pt;z-index:-251657216;mso-width-relative:page;mso-height-relative:page;" fillcolor="#0F6EC5" filled="t" stroked="t" coordsize="21600,21600" o:gfxdata="UEsDBAoAAAAAAIdO4kAAAAAAAAAAAAAAAAAEAAAAZHJzL1BLAwQUAAAACACHTuJACorhZNgAAAAK&#10;AQAADwAAAGRycy9kb3ducmV2LnhtbE2PwU6DQBCG7ya+w2ZMvNmlUJUiSw8ao/HSFE3PCzsFlJ1F&#10;dqH17Z2e9DT5M1/++SbfnGwvZhx950jBchGBQKqd6ahR8PH+fJOC8EGT0b0jVPCDHjbF5UWuM+OO&#10;tMO5DI3gEvKZVtCGMGRS+rpFq/3CDUi8O7jR6sBxbKQZ9ZHLbS/jKLqTVnfEF1o94GOL9Vc5WQVT&#10;Fevv+OU12b/5ubwn3D5tP2elrq+W0QOIgKfwB8NZn9WhYKfKTWS86DknqzWjCuJbnmcgStcJiEpB&#10;ukpBFrn8/0LxC1BLAwQUAAAACACHTuJAqph2JRwCAABcBAAADgAAAGRycy9lMm9Eb2MueG1srVTN&#10;jtMwEL4j8Q6W7zTpUgobNV2J7RYhIUDa5QFcx0ks+U8et0lfAN6AExfu+1x9DsZO06XLpQd6SMcz&#10;X76Z+WacxU2vFdkJD9Kakk4nOSXCcFtJ05T028P61TtKIDBTMWWNKOleAL1Zvnyx6FwhrmxrVSU8&#10;QRIDRedK2obgiiwD3grNYGKdMBisrdcs4NE3WeVZh+xaZVd5Ps866yvnLRcA6F0NQXpk9JcQ2rqW&#10;XKws32phwsDqhWIBW4JWOqDLVG1dCx6+1DWIQFRJsdOQnpgE7U18ZssFKxrPXCv5sQR2SQnPetJM&#10;Gkx6olqxwMjWy3+otOTegq3DhFudDY0kRbCLaf5Mm/uWOZF6QanBnUSH/0fLP+++eiIr3IQ5JYZp&#10;nPjh54/Dr8fD7+8EfShQ56BA3L1DZOjf2x7Box/QGfvua6/jP3ZEMI7y7k/yij4Qjs55Ps9nMwxx&#10;jL1+O8unbyJN9vS28xA+CKtJNErqcXxJVbb7BGGAjpCYDKyS1VoqlQ6+2dwqT3Ysjno9v7sd2c9g&#10;ypAulnKN7XKG+1vj3qCpHWoApkn5zt6AM+I8/o5ln8FiYSsG7VBACkUYK7QMwierFay6MxUJe4cy&#10;G7xeNBajRUWJEngbo5WQgUl1CRK1UwYljCMaRhGt0G96pInmxlZ7HJv6aHBp4gUYDT8am9HYOi+b&#10;FmVPw02UuHRpPscLErf673NK/PRRWP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CorhZNgAAAAK&#10;AQAADwAAAAAAAAABACAAAAAiAAAAZHJzL2Rvd25yZXYueG1sUEsBAhQAFAAAAAgAh07iQKqYdiUc&#10;AgAAXAQAAA4AAAAAAAAAAQAgAAAAJwEAAGRycy9lMm9Eb2MueG1sUEsFBgAAAAAGAAYAWQEAALUF&#10;AAAAAA==&#10;">
                <v:fill on="t" focussize="0,0"/>
                <v:stroke weight="0.48pt" color="#000000" joinstyle="miter"/>
                <v:imagedata o:title=""/>
                <o:lock v:ext="edit" aspectratio="f"/>
                <v:textbox inset="0mm,0mm,0mm,0mm">
                  <w:txbxContent>
                    <w:p>
                      <w:pPr>
                        <w:spacing w:before="60"/>
                        <w:ind w:left="103" w:right="235"/>
                        <w:rPr>
                          <w:rFonts w:eastAsia="宋体"/>
                          <w:b/>
                          <w:color w:val="000000"/>
                          <w:sz w:val="28"/>
                          <w:szCs w:val="28"/>
                          <w:lang w:eastAsia="zh-CN"/>
                        </w:rPr>
                      </w:pPr>
                      <w:r>
                        <w:rPr>
                          <w:rFonts w:eastAsia="宋体"/>
                          <w:b/>
                          <w:color w:val="FFFFFF"/>
                          <w:sz w:val="28"/>
                          <w:szCs w:val="28"/>
                          <w:lang w:eastAsia="zh-CN"/>
                        </w:rPr>
                        <w:t>维度I-监管框架</w:t>
                      </w:r>
                      <w:r>
                        <w:rPr>
                          <w:rFonts w:hint="eastAsia" w:eastAsia="宋体"/>
                          <w:b/>
                          <w:color w:val="FFFFFF"/>
                          <w:sz w:val="28"/>
                          <w:szCs w:val="28"/>
                          <w:lang w:eastAsia="zh-CN"/>
                        </w:rPr>
                        <w:t>：</w:t>
                      </w:r>
                      <w:r>
                        <w:rPr>
                          <w:rFonts w:eastAsia="宋体"/>
                          <w:b/>
                          <w:color w:val="FFFFFF"/>
                          <w:sz w:val="28"/>
                          <w:szCs w:val="28"/>
                          <w:lang w:eastAsia="zh-CN"/>
                        </w:rPr>
                        <w:t>商业贷款监管质量</w:t>
                      </w:r>
                    </w:p>
                  </w:txbxContent>
                </v:textbox>
                <w10:wrap type="topAndBottom"/>
              </v:shape>
            </w:pict>
          </mc:Fallback>
        </mc:AlternateContent>
      </w: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1.</w:t>
      </w:r>
      <w:r>
        <w:rPr>
          <w:rFonts w:eastAsia="宋体"/>
          <w:b/>
          <w:sz w:val="28"/>
          <w:szCs w:val="28"/>
          <w:lang w:eastAsia="zh-CN"/>
        </w:rPr>
        <w:t>您所在经济体的监管框架或规定中是否有法律要求在</w:t>
      </w:r>
      <w:r>
        <w:rPr>
          <w:rFonts w:eastAsia="宋体"/>
          <w:b/>
          <w:spacing w:val="-7"/>
          <w:sz w:val="28"/>
          <w:szCs w:val="28"/>
          <w:lang w:eastAsia="zh-CN"/>
        </w:rPr>
        <w:t>评估商业贷款申请时</w:t>
      </w:r>
      <w:r>
        <w:rPr>
          <w:rFonts w:eastAsia="宋体"/>
          <w:b/>
          <w:sz w:val="28"/>
          <w:szCs w:val="28"/>
          <w:lang w:eastAsia="zh-CN"/>
        </w:rPr>
        <w:t>进行客户</w:t>
      </w:r>
      <w:r>
        <w:rPr>
          <w:rFonts w:eastAsia="宋体"/>
          <w:b/>
          <w:spacing w:val="-8"/>
          <w:sz w:val="28"/>
          <w:szCs w:val="28"/>
          <w:lang w:eastAsia="zh-CN"/>
        </w:rPr>
        <w:t>尽职</w:t>
      </w:r>
      <w:r>
        <w:rPr>
          <w:rFonts w:eastAsia="宋体"/>
          <w:b/>
          <w:spacing w:val="-7"/>
          <w:sz w:val="28"/>
          <w:szCs w:val="28"/>
          <w:lang w:eastAsia="zh-CN"/>
        </w:rPr>
        <w:t>调查</w:t>
      </w:r>
      <w:r>
        <w:rPr>
          <w:rFonts w:eastAsia="宋体"/>
          <w:b/>
          <w:sz w:val="28"/>
          <w:szCs w:val="28"/>
          <w:lang w:eastAsia="zh-CN"/>
        </w:rPr>
        <w:t>(即筛选客户、反洗钱/打击恐怖主义融资[AML/CFT]措施)</w:t>
      </w:r>
      <w:r>
        <w:rPr>
          <w:rFonts w:eastAsia="宋体"/>
          <w:b/>
          <w:spacing w:val="-8"/>
          <w:sz w:val="28"/>
          <w:szCs w:val="28"/>
          <w:lang w:eastAsia="zh-CN"/>
        </w:rPr>
        <w:t>?</w:t>
      </w:r>
      <w:r>
        <w:rPr>
          <w:rFonts w:eastAsia="宋体"/>
          <w:b/>
          <w:spacing w:val="-2"/>
          <w:sz w:val="28"/>
          <w:szCs w:val="28"/>
          <w:lang w:eastAsia="zh-CN"/>
        </w:rPr>
        <w:t>(</w:t>
      </w:r>
      <w:r>
        <w:rPr>
          <w:rFonts w:hint="eastAsia" w:eastAsia="宋体"/>
          <w:b/>
          <w:spacing w:val="-2"/>
          <w:sz w:val="28"/>
          <w:szCs w:val="28"/>
          <w:lang w:eastAsia="zh-CN"/>
        </w:rPr>
        <w:t>Y/N</w:t>
      </w:r>
      <w:r>
        <w:rPr>
          <w:rFonts w:eastAsia="宋体"/>
          <w:b/>
          <w:spacing w:val="-2"/>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rPr>
          <w:rFonts w:eastAsia="宋体"/>
          <w:sz w:val="28"/>
          <w:szCs w:val="28"/>
          <w:lang w:eastAsia="zh-CN"/>
        </w:rPr>
      </w:pPr>
      <w:r>
        <w:rPr>
          <w:rFonts w:eastAsia="宋体"/>
          <w:b/>
          <w:bCs/>
          <w:sz w:val="28"/>
          <w:szCs w:val="28"/>
          <w:lang w:eastAsia="zh-CN"/>
        </w:rPr>
        <w:t>2.</w:t>
      </w:r>
      <w:r>
        <w:rPr>
          <w:rFonts w:eastAsia="宋体"/>
          <w:b/>
          <w:sz w:val="28"/>
          <w:szCs w:val="28"/>
          <w:lang w:eastAsia="zh-CN"/>
        </w:rPr>
        <w:t>如果是，监管框架是否要求贷款人在审核新客户商业贷款申请时验证</w:t>
      </w:r>
      <w:r>
        <w:rPr>
          <w:rFonts w:hint="eastAsia" w:eastAsia="宋体"/>
          <w:sz w:val="28"/>
          <w:szCs w:val="28"/>
          <w:lang w:eastAsia="zh-CN"/>
        </w:rPr>
        <w:t>：</w:t>
      </w:r>
      <w:r>
        <w:rPr>
          <w:rFonts w:eastAsia="宋体"/>
          <w:sz w:val="28"/>
          <w:szCs w:val="28"/>
          <w:lang w:eastAsia="zh-CN"/>
        </w:rPr>
        <w:t>(Y/N)</w:t>
      </w:r>
    </w:p>
    <w:p>
      <w:pPr>
        <w:pStyle w:val="5"/>
        <w:spacing w:line="400" w:lineRule="exact"/>
        <w:ind w:firstLine="560" w:firstLineChars="200"/>
        <w:rPr>
          <w:rFonts w:eastAsia="宋体"/>
          <w:sz w:val="28"/>
          <w:szCs w:val="28"/>
          <w:lang w:eastAsia="zh-CN"/>
        </w:rPr>
      </w:pPr>
      <w:r>
        <w:rPr>
          <w:rFonts w:eastAsia="宋体"/>
          <w:sz w:val="28"/>
          <w:szCs w:val="28"/>
          <w:lang w:eastAsia="zh-CN"/>
        </w:rPr>
        <w:t>2a.公司身份</w:t>
      </w:r>
    </w:p>
    <w:p>
      <w:pPr>
        <w:pStyle w:val="5"/>
        <w:spacing w:line="400" w:lineRule="exact"/>
        <w:ind w:firstLine="560" w:firstLineChars="200"/>
        <w:rPr>
          <w:rFonts w:eastAsia="宋体"/>
          <w:sz w:val="28"/>
          <w:szCs w:val="28"/>
          <w:lang w:eastAsia="zh-CN"/>
        </w:rPr>
      </w:pPr>
      <w:r>
        <w:rPr>
          <w:rFonts w:eastAsia="宋体"/>
          <w:sz w:val="28"/>
          <w:szCs w:val="28"/>
          <w:lang w:eastAsia="zh-CN"/>
        </w:rPr>
        <w:t>2b.企业客户的直接所有权和控制权结构.</w:t>
      </w:r>
    </w:p>
    <w:p>
      <w:pPr>
        <w:pStyle w:val="5"/>
        <w:spacing w:line="400" w:lineRule="exact"/>
        <w:ind w:firstLine="560" w:firstLineChars="200"/>
        <w:rPr>
          <w:rFonts w:eastAsia="宋体"/>
          <w:sz w:val="28"/>
          <w:szCs w:val="28"/>
          <w:lang w:eastAsia="zh-CN"/>
        </w:rPr>
      </w:pPr>
      <w:r>
        <w:rPr>
          <w:rFonts w:eastAsia="宋体"/>
          <w:sz w:val="28"/>
          <w:szCs w:val="28"/>
          <w:lang w:eastAsia="zh-CN"/>
        </w:rPr>
        <w:t>2c</w:t>
      </w:r>
      <w:r>
        <w:rPr>
          <w:rFonts w:hint="eastAsia" w:eastAsia="宋体"/>
          <w:sz w:val="28"/>
          <w:szCs w:val="28"/>
          <w:lang w:eastAsia="zh-CN"/>
        </w:rPr>
        <w:t>.</w:t>
      </w:r>
      <w:r>
        <w:rPr>
          <w:rFonts w:eastAsia="宋体"/>
          <w:sz w:val="28"/>
          <w:szCs w:val="28"/>
          <w:lang w:eastAsia="zh-CN"/>
        </w:rPr>
        <w:t>企业客户的实益拥有人</w:t>
      </w:r>
    </w:p>
    <w:p>
      <w:pPr>
        <w:pStyle w:val="5"/>
        <w:spacing w:line="400" w:lineRule="exact"/>
        <w:ind w:firstLine="560" w:firstLineChars="200"/>
        <w:rPr>
          <w:rFonts w:eastAsia="宋体"/>
          <w:sz w:val="28"/>
          <w:szCs w:val="28"/>
          <w:lang w:eastAsia="zh-CN"/>
        </w:rPr>
      </w:pPr>
      <w:r>
        <w:rPr>
          <w:rFonts w:eastAsia="宋体"/>
          <w:sz w:val="28"/>
          <w:szCs w:val="28"/>
          <w:lang w:eastAsia="zh-CN"/>
        </w:rPr>
        <w:t>2d.贷款的目的/预期用途</w:t>
      </w:r>
    </w:p>
    <w:p>
      <w:pPr>
        <w:pStyle w:val="5"/>
        <w:spacing w:line="400" w:lineRule="exact"/>
        <w:ind w:firstLine="560" w:firstLineChars="200"/>
        <w:rPr>
          <w:rFonts w:eastAsia="宋体"/>
          <w:sz w:val="28"/>
          <w:szCs w:val="28"/>
          <w:lang w:eastAsia="zh-CN"/>
        </w:rPr>
      </w:pPr>
      <w:r>
        <w:rPr>
          <w:rFonts w:eastAsia="宋体"/>
          <w:sz w:val="28"/>
          <w:szCs w:val="28"/>
          <w:lang w:eastAsia="zh-CN"/>
        </w:rPr>
        <w:t>2e.企业客户的地理位置</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rPr>
          <w:rFonts w:eastAsia="宋体"/>
          <w:sz w:val="28"/>
          <w:szCs w:val="28"/>
          <w:lang w:eastAsia="zh-CN"/>
        </w:rPr>
      </w:pPr>
      <w:r>
        <w:rPr>
          <w:rFonts w:eastAsia="宋体"/>
          <w:b/>
          <w:bCs/>
          <w:sz w:val="28"/>
          <w:szCs w:val="28"/>
          <w:lang w:eastAsia="zh-CN"/>
        </w:rPr>
        <w:t>3.</w:t>
      </w:r>
      <w:r>
        <w:rPr>
          <w:rFonts w:eastAsia="宋体"/>
          <w:b/>
          <w:sz w:val="28"/>
          <w:szCs w:val="28"/>
          <w:lang w:eastAsia="zh-CN"/>
        </w:rPr>
        <w:t>经济体的监管框架是否要求在进行客户尽职调查时，实施基于风险的方法?</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rPr>
          <w:rFonts w:eastAsia="宋体"/>
          <w:spacing w:val="-2"/>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即对洗钱、恐怖融资和合规风险进行识别、评估和了解，并根据风险程度采取相应的缓解措施</w:t>
      </w:r>
      <w:r>
        <w:rPr>
          <w:rFonts w:hint="eastAsia" w:eastAsia="宋体"/>
          <w:i/>
          <w:sz w:val="28"/>
          <w:szCs w:val="28"/>
          <w:lang w:eastAsia="zh-CN"/>
        </w:rPr>
        <w:t>。</w:t>
      </w:r>
    </w:p>
    <w:p>
      <w:pPr>
        <w:spacing w:line="400" w:lineRule="exact"/>
        <w:ind w:firstLine="552" w:firstLineChars="200"/>
        <w:rPr>
          <w:rFonts w:eastAsia="宋体"/>
          <w:spacing w:val="-2"/>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4.</w:t>
      </w:r>
      <w:r>
        <w:rPr>
          <w:rFonts w:eastAsia="宋体"/>
          <w:b/>
          <w:sz w:val="28"/>
          <w:szCs w:val="28"/>
          <w:lang w:eastAsia="zh-CN"/>
        </w:rPr>
        <w:t>如果问题3的答案为Yes，则考虑哪些反洗钱/打击恐怖主义融资(AML/CFT)风险因素</w:t>
      </w:r>
      <w:r>
        <w:rPr>
          <w:rFonts w:hint="eastAsia" w:eastAsia="宋体"/>
          <w:sz w:val="28"/>
          <w:szCs w:val="28"/>
          <w:lang w:eastAsia="zh-CN"/>
        </w:rPr>
        <w:t>：</w:t>
      </w:r>
      <w:r>
        <w:rPr>
          <w:rFonts w:eastAsia="宋体"/>
          <w:sz w:val="28"/>
          <w:szCs w:val="28"/>
          <w:lang w:eastAsia="zh-CN"/>
        </w:rPr>
        <w:t>(Y/N)</w:t>
      </w:r>
    </w:p>
    <w:p>
      <w:pPr>
        <w:pStyle w:val="5"/>
        <w:spacing w:line="400" w:lineRule="exact"/>
        <w:ind w:firstLine="560" w:firstLineChars="200"/>
        <w:rPr>
          <w:rFonts w:eastAsia="宋体"/>
          <w:sz w:val="28"/>
          <w:szCs w:val="28"/>
          <w:lang w:eastAsia="zh-CN"/>
        </w:rPr>
      </w:pPr>
      <w:r>
        <w:rPr>
          <w:rFonts w:eastAsia="宋体"/>
          <w:sz w:val="28"/>
          <w:szCs w:val="28"/>
          <w:lang w:eastAsia="zh-CN"/>
        </w:rPr>
        <w:t>4a.与客户身份相关的风险因素</w:t>
      </w:r>
    </w:p>
    <w:p>
      <w:pPr>
        <w:pStyle w:val="5"/>
        <w:spacing w:line="400" w:lineRule="exact"/>
        <w:ind w:firstLine="560" w:firstLineChars="200"/>
        <w:rPr>
          <w:rFonts w:eastAsia="宋体"/>
          <w:sz w:val="28"/>
          <w:szCs w:val="28"/>
          <w:lang w:eastAsia="zh-CN"/>
        </w:rPr>
      </w:pPr>
      <w:r>
        <w:rPr>
          <w:rFonts w:eastAsia="宋体"/>
          <w:sz w:val="28"/>
          <w:szCs w:val="28"/>
          <w:lang w:eastAsia="zh-CN"/>
        </w:rPr>
        <w:t>4b.与客户的产品、服务、交易、地理位置或交付渠道相关的风险因素(即超越具体贷款的审查，涉及对申请人业务活动的总体审查)</w:t>
      </w:r>
      <w:r>
        <w:rPr>
          <w:rFonts w:hint="eastAsia"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5.</w:t>
      </w:r>
      <w:r>
        <w:rPr>
          <w:rFonts w:eastAsia="宋体"/>
          <w:b/>
          <w:sz w:val="28"/>
          <w:szCs w:val="28"/>
          <w:lang w:eastAsia="zh-CN"/>
        </w:rPr>
        <w:t>如果4a问题的答案为</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，监管框架是否明确了以下与客户身份相关的反洗钱/打击恐怖主义融资风险因素</w:t>
      </w:r>
      <w:r>
        <w:rPr>
          <w:rFonts w:hint="eastAsia" w:eastAsia="宋体"/>
          <w:b/>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5a.客户的受益所有人</w:t>
      </w:r>
    </w:p>
    <w:p>
      <w:pPr>
        <w:pStyle w:val="5"/>
        <w:spacing w:line="400" w:lineRule="exact"/>
        <w:ind w:firstLine="560" w:firstLineChars="200"/>
        <w:rPr>
          <w:rFonts w:eastAsia="宋体"/>
          <w:sz w:val="28"/>
          <w:szCs w:val="28"/>
          <w:lang w:eastAsia="zh-CN"/>
        </w:rPr>
      </w:pPr>
      <w:r>
        <w:rPr>
          <w:rFonts w:eastAsia="宋体"/>
          <w:sz w:val="28"/>
          <w:szCs w:val="28"/>
          <w:lang w:eastAsia="zh-CN"/>
        </w:rPr>
        <w:t>5b.考虑到公司的业务性质，公司的所有权结构显得不寻常或过于复杂</w:t>
      </w:r>
    </w:p>
    <w:p>
      <w:pPr>
        <w:pStyle w:val="5"/>
        <w:spacing w:line="400" w:lineRule="exact"/>
        <w:ind w:firstLine="560" w:firstLineChars="200"/>
        <w:rPr>
          <w:rFonts w:eastAsia="宋体"/>
          <w:sz w:val="28"/>
          <w:szCs w:val="28"/>
          <w:lang w:eastAsia="zh-CN"/>
        </w:rPr>
      </w:pPr>
      <w:r>
        <w:rPr>
          <w:rFonts w:eastAsia="宋体"/>
          <w:sz w:val="28"/>
          <w:szCs w:val="28"/>
          <w:lang w:eastAsia="zh-CN"/>
        </w:rPr>
        <w:t>5c.申请公司涉及国际结构或其一部分(例如，由外国控股公司拥有，在国外有分支机构)</w:t>
      </w:r>
    </w:p>
    <w:p>
      <w:pPr>
        <w:pStyle w:val="5"/>
        <w:spacing w:line="400" w:lineRule="exact"/>
        <w:ind w:firstLine="560" w:firstLineChars="200"/>
        <w:rPr>
          <w:rFonts w:eastAsia="宋体"/>
          <w:sz w:val="28"/>
          <w:szCs w:val="28"/>
          <w:lang w:eastAsia="zh-CN"/>
        </w:rPr>
      </w:pPr>
      <w:r>
        <w:rPr>
          <w:rFonts w:eastAsia="宋体"/>
          <w:sz w:val="28"/>
          <w:szCs w:val="28"/>
          <w:lang w:eastAsia="zh-CN"/>
        </w:rPr>
        <w:t>5d.该实体/载体为个人资产持有载体(即专门用于持有个人投资资产的法律实体或安排)</w:t>
      </w:r>
    </w:p>
    <w:p>
      <w:pPr>
        <w:pStyle w:val="5"/>
        <w:spacing w:line="400" w:lineRule="exact"/>
        <w:ind w:firstLine="560" w:firstLineChars="200"/>
        <w:rPr>
          <w:rFonts w:eastAsia="宋体"/>
          <w:sz w:val="28"/>
          <w:szCs w:val="28"/>
          <w:lang w:eastAsia="zh-CN"/>
        </w:rPr>
      </w:pPr>
      <w:r>
        <w:rPr>
          <w:rFonts w:eastAsia="宋体"/>
          <w:sz w:val="28"/>
          <w:szCs w:val="28"/>
          <w:lang w:eastAsia="zh-CN"/>
        </w:rPr>
        <w:t>5e.有代记名股东或无记名股份的公司</w:t>
      </w:r>
    </w:p>
    <w:p>
      <w:pPr>
        <w:pStyle w:val="5"/>
        <w:spacing w:line="400" w:lineRule="exact"/>
        <w:ind w:firstLine="560" w:firstLineChars="200"/>
        <w:rPr>
          <w:rFonts w:eastAsia="宋体"/>
          <w:sz w:val="28"/>
          <w:szCs w:val="28"/>
          <w:lang w:eastAsia="zh-CN"/>
        </w:rPr>
      </w:pPr>
      <w:r>
        <w:rPr>
          <w:rFonts w:eastAsia="宋体"/>
          <w:sz w:val="28"/>
          <w:szCs w:val="28"/>
          <w:lang w:eastAsia="zh-CN"/>
        </w:rPr>
        <w:t>5f.业务关系是在异常情况下进行的(例如，金融机构与客户之间存在无法解释的地理距离)</w:t>
      </w:r>
    </w:p>
    <w:p>
      <w:pPr>
        <w:pStyle w:val="5"/>
        <w:spacing w:line="400" w:lineRule="exact"/>
        <w:ind w:firstLine="560" w:firstLineChars="200"/>
        <w:rPr>
          <w:rFonts w:eastAsia="宋体"/>
          <w:sz w:val="28"/>
          <w:szCs w:val="28"/>
          <w:lang w:eastAsia="zh-CN"/>
        </w:rPr>
      </w:pPr>
      <w:r>
        <w:rPr>
          <w:rFonts w:eastAsia="宋体"/>
          <w:sz w:val="28"/>
          <w:szCs w:val="28"/>
          <w:lang w:eastAsia="zh-CN"/>
        </w:rPr>
        <w:t>5g.现金密集/依赖的业务</w:t>
      </w:r>
    </w:p>
    <w:p>
      <w:pPr>
        <w:pStyle w:val="5"/>
        <w:spacing w:line="400" w:lineRule="exact"/>
        <w:ind w:firstLine="560" w:firstLineChars="200"/>
        <w:rPr>
          <w:rFonts w:eastAsia="宋体"/>
          <w:sz w:val="28"/>
          <w:szCs w:val="28"/>
          <w:lang w:eastAsia="zh-CN"/>
        </w:rPr>
      </w:pPr>
      <w:r>
        <w:rPr>
          <w:rFonts w:eastAsia="宋体"/>
          <w:sz w:val="28"/>
          <w:szCs w:val="28"/>
          <w:lang w:eastAsia="zh-CN"/>
        </w:rPr>
        <w:t>5h.申请公司位于高风险地理位置</w:t>
      </w:r>
    </w:p>
    <w:p>
      <w:pPr>
        <w:pStyle w:val="5"/>
        <w:spacing w:line="400" w:lineRule="exact"/>
        <w:ind w:firstLine="560" w:firstLineChars="200"/>
        <w:rPr>
          <w:rFonts w:eastAsia="宋体"/>
          <w:sz w:val="28"/>
          <w:szCs w:val="28"/>
          <w:lang w:eastAsia="zh-CN"/>
        </w:rPr>
      </w:pPr>
      <w:r>
        <w:rPr>
          <w:rFonts w:eastAsia="宋体"/>
          <w:sz w:val="28"/>
          <w:szCs w:val="28"/>
          <w:lang w:eastAsia="zh-CN"/>
        </w:rPr>
        <w:t>5i.其他(请列出)</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6.</w:t>
      </w:r>
      <w:r>
        <w:rPr>
          <w:rFonts w:eastAsia="宋体"/>
          <w:b/>
          <w:sz w:val="28"/>
          <w:szCs w:val="28"/>
          <w:lang w:eastAsia="zh-CN"/>
        </w:rPr>
        <w:t>如果问题4b的答案是肯定的，监管框架是否明确规定了与申请人业务活动相关的反洗钱/打击恐怖主义融资风险因素，例如</w:t>
      </w:r>
      <w:r>
        <w:rPr>
          <w:rFonts w:hint="eastAsia" w:eastAsia="宋体"/>
          <w:sz w:val="28"/>
          <w:szCs w:val="28"/>
          <w:lang w:eastAsia="zh-CN"/>
        </w:rPr>
        <w:t>：</w:t>
      </w:r>
      <w:r>
        <w:rPr>
          <w:rFonts w:eastAsia="宋体"/>
          <w:sz w:val="28"/>
          <w:szCs w:val="28"/>
          <w:lang w:eastAsia="zh-CN"/>
        </w:rPr>
        <w:t>(Y/N)</w:t>
      </w:r>
    </w:p>
    <w:p>
      <w:pPr>
        <w:pStyle w:val="5"/>
        <w:spacing w:line="400" w:lineRule="exact"/>
        <w:ind w:firstLine="560" w:firstLineChars="200"/>
        <w:rPr>
          <w:rFonts w:eastAsia="宋体"/>
          <w:sz w:val="28"/>
          <w:szCs w:val="28"/>
          <w:lang w:eastAsia="zh-CN"/>
        </w:rPr>
      </w:pPr>
      <w:r>
        <w:rPr>
          <w:rFonts w:eastAsia="宋体"/>
          <w:sz w:val="28"/>
          <w:szCs w:val="28"/>
          <w:lang w:eastAsia="zh-CN"/>
        </w:rPr>
        <w:t>6a.申请人从事私人银行业务</w:t>
      </w:r>
    </w:p>
    <w:p>
      <w:pPr>
        <w:pStyle w:val="5"/>
        <w:spacing w:line="400" w:lineRule="exact"/>
        <w:ind w:firstLine="560" w:firstLineChars="200"/>
        <w:rPr>
          <w:rFonts w:eastAsia="宋体"/>
          <w:sz w:val="28"/>
          <w:szCs w:val="28"/>
          <w:lang w:eastAsia="zh-CN"/>
        </w:rPr>
      </w:pPr>
      <w:r>
        <w:rPr>
          <w:rFonts w:eastAsia="宋体"/>
          <w:sz w:val="28"/>
          <w:szCs w:val="28"/>
          <w:lang w:eastAsia="zh-CN"/>
        </w:rPr>
        <w:t>6b.申请人有匿名交易(例如，可能包括现金的交易)。</w:t>
      </w:r>
    </w:p>
    <w:p>
      <w:pPr>
        <w:pStyle w:val="5"/>
        <w:spacing w:line="400" w:lineRule="exact"/>
        <w:ind w:firstLine="560" w:firstLineChars="200"/>
        <w:rPr>
          <w:rFonts w:eastAsia="宋体"/>
          <w:sz w:val="28"/>
          <w:szCs w:val="28"/>
          <w:lang w:eastAsia="zh-CN"/>
        </w:rPr>
      </w:pPr>
      <w:r>
        <w:rPr>
          <w:rFonts w:eastAsia="宋体"/>
          <w:sz w:val="28"/>
          <w:szCs w:val="28"/>
          <w:lang w:eastAsia="zh-CN"/>
        </w:rPr>
        <w:t>6c</w:t>
      </w:r>
      <w:r>
        <w:rPr>
          <w:rFonts w:hint="eastAsia" w:eastAsia="宋体"/>
          <w:sz w:val="28"/>
          <w:szCs w:val="28"/>
          <w:lang w:eastAsia="zh-CN"/>
        </w:rPr>
        <w:t>.</w:t>
      </w:r>
      <w:r>
        <w:rPr>
          <w:rFonts w:eastAsia="宋体"/>
          <w:sz w:val="28"/>
          <w:szCs w:val="28"/>
          <w:lang w:eastAsia="zh-CN"/>
        </w:rPr>
        <w:t>进行非面对面的业务关系或交易</w:t>
      </w:r>
    </w:p>
    <w:p>
      <w:pPr>
        <w:pStyle w:val="5"/>
        <w:spacing w:line="400" w:lineRule="exact"/>
        <w:ind w:firstLine="560" w:firstLineChars="200"/>
        <w:rPr>
          <w:rFonts w:eastAsia="宋体"/>
          <w:sz w:val="28"/>
          <w:szCs w:val="28"/>
          <w:lang w:eastAsia="zh-CN"/>
        </w:rPr>
      </w:pPr>
      <w:r>
        <w:rPr>
          <w:rFonts w:eastAsia="宋体"/>
          <w:sz w:val="28"/>
          <w:szCs w:val="28"/>
          <w:lang w:eastAsia="zh-CN"/>
        </w:rPr>
        <w:t>6d.付款来自未知或无关的第三方</w:t>
      </w:r>
    </w:p>
    <w:p>
      <w:pPr>
        <w:pStyle w:val="5"/>
        <w:spacing w:line="400" w:lineRule="exact"/>
        <w:ind w:firstLine="560" w:firstLineChars="200"/>
        <w:rPr>
          <w:rFonts w:eastAsia="宋体"/>
          <w:sz w:val="28"/>
          <w:szCs w:val="28"/>
          <w:lang w:eastAsia="zh-CN"/>
        </w:rPr>
      </w:pPr>
      <w:r>
        <w:rPr>
          <w:rFonts w:eastAsia="宋体"/>
          <w:sz w:val="28"/>
          <w:szCs w:val="28"/>
          <w:lang w:eastAsia="zh-CN"/>
        </w:rPr>
        <w:t>6e.申请人在高风险地理位置经营或从事活动。</w:t>
      </w:r>
    </w:p>
    <w:p>
      <w:pPr>
        <w:pStyle w:val="5"/>
        <w:spacing w:line="400" w:lineRule="exact"/>
        <w:ind w:firstLine="560" w:firstLineChars="200"/>
        <w:rPr>
          <w:rFonts w:eastAsia="宋体"/>
          <w:sz w:val="28"/>
          <w:szCs w:val="28"/>
          <w:lang w:eastAsia="zh-CN"/>
        </w:rPr>
      </w:pPr>
      <w:r>
        <w:rPr>
          <w:rFonts w:eastAsia="宋体"/>
          <w:sz w:val="28"/>
          <w:szCs w:val="28"/>
          <w:lang w:eastAsia="zh-CN"/>
        </w:rPr>
        <w:t>6f.其他(请列出)</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7.</w:t>
      </w:r>
      <w:r>
        <w:rPr>
          <w:rFonts w:eastAsia="宋体"/>
          <w:b/>
          <w:sz w:val="28"/>
          <w:szCs w:val="28"/>
          <w:lang w:eastAsia="zh-CN"/>
        </w:rPr>
        <w:t>在经济监管框架下，低风险客户申请商业贷款是否有简化的客户尽职调查措施?</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outlineLvl w:val="2"/>
        <w:rPr>
          <w:rFonts w:eastAsia="宋体"/>
          <w:sz w:val="28"/>
          <w:szCs w:val="28"/>
          <w:lang w:eastAsia="zh-CN"/>
        </w:rPr>
      </w:pPr>
      <w:r>
        <w:rPr>
          <w:rFonts w:eastAsia="宋体"/>
          <w:b/>
          <w:bCs/>
          <w:sz w:val="28"/>
          <w:szCs w:val="28"/>
          <w:lang w:eastAsia="zh-CN"/>
        </w:rPr>
        <w:t>8.</w:t>
      </w:r>
      <w:r>
        <w:rPr>
          <w:rFonts w:eastAsia="宋体"/>
          <w:b/>
          <w:sz w:val="28"/>
          <w:szCs w:val="28"/>
          <w:lang w:eastAsia="zh-CN"/>
        </w:rPr>
        <w:t>该框架是否为如何确定低风险客户提供了指导?</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9.</w:t>
      </w:r>
      <w:r>
        <w:rPr>
          <w:rFonts w:eastAsia="宋体"/>
          <w:b/>
          <w:sz w:val="28"/>
          <w:szCs w:val="28"/>
          <w:lang w:eastAsia="zh-CN"/>
        </w:rPr>
        <w:t>在经济监管框架下，申请商业贷款的高风险客户是否有增强的客户尽职调查措施?</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rPr>
          <w:rFonts w:eastAsia="宋体"/>
          <w:sz w:val="28"/>
          <w:szCs w:val="28"/>
          <w:lang w:eastAsia="zh-CN"/>
        </w:rPr>
      </w:pPr>
      <w:r>
        <w:rPr>
          <w:rFonts w:eastAsia="宋体"/>
          <w:b/>
          <w:bCs/>
          <w:sz w:val="28"/>
          <w:szCs w:val="28"/>
          <w:lang w:eastAsia="zh-CN"/>
        </w:rPr>
        <w:t>10.</w:t>
      </w:r>
      <w:r>
        <w:rPr>
          <w:rFonts w:eastAsia="宋体"/>
          <w:b/>
          <w:sz w:val="28"/>
          <w:szCs w:val="28"/>
          <w:lang w:eastAsia="zh-CN"/>
        </w:rPr>
        <w:t>该框架是否就如何确定高风险客户提供了指导?</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11.</w:t>
      </w:r>
      <w:r>
        <w:rPr>
          <w:rFonts w:eastAsia="宋体"/>
          <w:b/>
          <w:sz w:val="28"/>
          <w:szCs w:val="28"/>
          <w:lang w:eastAsia="zh-CN"/>
        </w:rPr>
        <w:t>监管框架是否允许依赖先前对现有客户进行的客户尽职调查，除非对该信息的准确性存在疑问?</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12.</w:t>
      </w:r>
      <w:r>
        <w:rPr>
          <w:rFonts w:eastAsia="宋体"/>
          <w:b/>
          <w:sz w:val="28"/>
          <w:szCs w:val="28"/>
          <w:lang w:eastAsia="zh-CN"/>
        </w:rPr>
        <w:t>经济中的商业贷款机构在执行客户尽职调查时是否依赖e-KYC系统(统一数字ID、RegTechs、第三方身份验证)?</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13.</w:t>
      </w:r>
      <w:r>
        <w:rPr>
          <w:rFonts w:eastAsia="宋体"/>
          <w:b/>
          <w:sz w:val="28"/>
          <w:szCs w:val="28"/>
          <w:lang w:eastAsia="zh-CN"/>
        </w:rPr>
        <w:t>监管框架是否要求保留至少5年的，所有必要的国内和国际交易记录，以使其能够迅速遵守主管当局的信息要求?</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14.</w:t>
      </w:r>
      <w:r>
        <w:rPr>
          <w:rFonts w:eastAsia="宋体"/>
          <w:b/>
          <w:sz w:val="28"/>
          <w:szCs w:val="28"/>
          <w:lang w:eastAsia="zh-CN"/>
        </w:rPr>
        <w:t>对于高风险情况，监管框架是否要求商业贷款机构通过审查现有记录，确保在客户尽职调查过程中收集的文件、数据或信息，为最新的和相关的?</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jc w:val="both"/>
        <w:rPr>
          <w:rFonts w:eastAsia="宋体"/>
          <w:sz w:val="28"/>
          <w:szCs w:val="28"/>
          <w:lang w:eastAsia="zh-CN"/>
        </w:rPr>
      </w:pPr>
    </w:p>
    <w:p>
      <w:pPr>
        <w:pStyle w:val="5"/>
        <w:spacing w:line="400" w:lineRule="exact"/>
        <w:ind w:firstLine="840" w:firstLineChars="300"/>
        <w:rPr>
          <w:rFonts w:eastAsia="宋体"/>
          <w:sz w:val="28"/>
          <w:szCs w:val="28"/>
          <w:lang w:eastAsia="zh-CN"/>
        </w:rPr>
        <w:sectPr>
          <w:pgSz w:w="12240" w:h="15840"/>
          <w:pgMar w:top="1440" w:right="1800" w:bottom="1440" w:left="1800" w:header="720" w:footer="720" w:gutter="0"/>
          <w:cols w:space="720" w:num="1"/>
        </w:sectPr>
      </w:pPr>
    </w:p>
    <w:p>
      <w:pPr>
        <w:pStyle w:val="5"/>
        <w:spacing w:line="400" w:lineRule="exact"/>
        <w:rPr>
          <w:rFonts w:eastAsia="宋体"/>
          <w:sz w:val="28"/>
          <w:szCs w:val="28"/>
          <w:lang w:eastAsia="zh-CN"/>
        </w:rPr>
      </w:pPr>
    </w:p>
    <w:p>
      <w:pPr>
        <w:pStyle w:val="5"/>
        <w:spacing w:before="4"/>
        <w:rPr>
          <w:sz w:val="12"/>
          <w:lang w:eastAsia="zh-CN"/>
        </w:rPr>
      </w:pPr>
    </w:p>
    <w:tbl>
      <w:tblPr>
        <w:tblStyle w:val="8"/>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91"/>
        <w:gridCol w:w="914"/>
        <w:gridCol w:w="1000"/>
        <w:gridCol w:w="9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178" w:type="dxa"/>
            <w:gridSpan w:val="4"/>
            <w:shd w:val="clear" w:color="auto" w:fill="CCD4EA"/>
          </w:tcPr>
          <w:p>
            <w:pPr>
              <w:pStyle w:val="12"/>
              <w:spacing w:before="101"/>
              <w:rPr>
                <w:rFonts w:eastAsia="宋体"/>
                <w:b/>
                <w:sz w:val="21"/>
                <w:szCs w:val="21"/>
                <w:lang w:eastAsia="zh-CN"/>
              </w:rPr>
            </w:pPr>
            <w:r>
              <w:rPr>
                <w:rFonts w:eastAsia="宋体"/>
                <w:b/>
                <w:color w:val="2E5395"/>
                <w:sz w:val="21"/>
                <w:szCs w:val="21"/>
                <w:lang w:eastAsia="zh-CN"/>
              </w:rPr>
              <w:t>1.1</w:t>
            </w:r>
            <w:r>
              <w:rPr>
                <w:rFonts w:eastAsia="宋体"/>
                <w:b/>
                <w:color w:val="4471C4"/>
                <w:sz w:val="21"/>
                <w:szCs w:val="21"/>
                <w:lang w:eastAsia="zh-CN"/>
              </w:rPr>
              <w:t>商业贷款的良好监管实践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178" w:type="dxa"/>
            <w:gridSpan w:val="4"/>
            <w:shd w:val="clear" w:color="auto" w:fill="E7EBF5"/>
          </w:tcPr>
          <w:p>
            <w:pPr>
              <w:pStyle w:val="12"/>
              <w:spacing w:before="101"/>
              <w:ind w:left="467"/>
              <w:rPr>
                <w:rFonts w:eastAsia="宋体"/>
                <w:b/>
                <w:sz w:val="21"/>
                <w:szCs w:val="21"/>
                <w:lang w:eastAsia="zh-CN"/>
              </w:rPr>
            </w:pPr>
            <w:r>
              <w:rPr>
                <w:rFonts w:eastAsia="宋体"/>
                <w:b/>
                <w:sz w:val="21"/>
                <w:szCs w:val="21"/>
                <w:lang w:eastAsia="zh-CN"/>
              </w:rPr>
              <w:t>1.1.1要求进行客户尽职调查(CDD)和记录保存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291" w:type="dxa"/>
          </w:tcPr>
          <w:p>
            <w:pPr>
              <w:pStyle w:val="12"/>
              <w:spacing w:before="26"/>
              <w:rPr>
                <w:rFonts w:eastAsia="宋体"/>
                <w:b/>
                <w:sz w:val="21"/>
                <w:szCs w:val="21"/>
              </w:rPr>
            </w:pPr>
            <w:r>
              <w:rPr>
                <w:rFonts w:eastAsia="宋体"/>
                <w:b/>
                <w:spacing w:val="-2"/>
                <w:sz w:val="21"/>
                <w:szCs w:val="21"/>
              </w:rPr>
              <w:t>指标</w:t>
            </w:r>
          </w:p>
        </w:tc>
        <w:tc>
          <w:tcPr>
            <w:tcW w:w="914" w:type="dxa"/>
          </w:tcPr>
          <w:p>
            <w:pPr>
              <w:pStyle w:val="12"/>
              <w:spacing w:before="26"/>
              <w:ind w:left="100"/>
              <w:jc w:val="center"/>
              <w:rPr>
                <w:rFonts w:eastAsia="宋体"/>
                <w:b/>
                <w:sz w:val="21"/>
                <w:szCs w:val="21"/>
              </w:rPr>
            </w:pPr>
            <w:r>
              <w:rPr>
                <w:rFonts w:eastAsia="宋体"/>
                <w:b/>
                <w:spacing w:val="-5"/>
                <w:sz w:val="21"/>
                <w:szCs w:val="21"/>
              </w:rPr>
              <w:t>FFP</w:t>
            </w:r>
          </w:p>
        </w:tc>
        <w:tc>
          <w:tcPr>
            <w:tcW w:w="1000" w:type="dxa"/>
          </w:tcPr>
          <w:p>
            <w:pPr>
              <w:pStyle w:val="12"/>
              <w:spacing w:before="26"/>
              <w:ind w:left="108"/>
              <w:jc w:val="center"/>
              <w:rPr>
                <w:rFonts w:eastAsia="宋体"/>
                <w:b/>
                <w:sz w:val="21"/>
                <w:szCs w:val="21"/>
              </w:rPr>
            </w:pPr>
            <w:r>
              <w:rPr>
                <w:rFonts w:eastAsia="宋体"/>
                <w:b/>
                <w:spacing w:val="-5"/>
                <w:sz w:val="21"/>
                <w:szCs w:val="21"/>
              </w:rPr>
              <w:t>SBP</w:t>
            </w:r>
          </w:p>
        </w:tc>
        <w:tc>
          <w:tcPr>
            <w:tcW w:w="973" w:type="dxa"/>
          </w:tcPr>
          <w:p>
            <w:pPr>
              <w:pStyle w:val="12"/>
              <w:spacing w:before="26"/>
              <w:ind w:left="109"/>
              <w:jc w:val="center"/>
              <w:rPr>
                <w:rFonts w:eastAsia="宋体"/>
                <w:b/>
                <w:sz w:val="21"/>
                <w:szCs w:val="21"/>
              </w:rPr>
            </w:pPr>
            <w:r>
              <w:rPr>
                <w:rFonts w:eastAsia="宋体"/>
                <w:b/>
                <w:sz w:val="21"/>
                <w:szCs w:val="21"/>
                <w:lang w:eastAsia="zh-CN"/>
              </w:rPr>
              <w:t>总</w:t>
            </w: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6291" w:type="dxa"/>
            <w:vMerge w:val="restart"/>
            <w:vAlign w:val="center"/>
          </w:tcPr>
          <w:p>
            <w:pPr>
              <w:pStyle w:val="12"/>
              <w:jc w:val="both"/>
              <w:rPr>
                <w:rFonts w:eastAsia="宋体"/>
                <w:b/>
                <w:sz w:val="21"/>
                <w:szCs w:val="21"/>
                <w:lang w:eastAsia="zh-CN"/>
              </w:rPr>
            </w:pPr>
            <w:r>
              <w:rPr>
                <w:rFonts w:eastAsia="宋体"/>
                <w:b/>
                <w:sz w:val="21"/>
                <w:szCs w:val="21"/>
                <w:lang w:eastAsia="zh-CN"/>
              </w:rPr>
              <w:t>进行CDD和验证企业与所有者身份的要求</w:t>
            </w:r>
          </w:p>
          <w:p>
            <w:pPr>
              <w:pStyle w:val="12"/>
              <w:numPr>
                <w:ilvl w:val="0"/>
                <w:numId w:val="1"/>
              </w:numPr>
              <w:tabs>
                <w:tab w:val="left" w:pos="379"/>
              </w:tabs>
              <w:jc w:val="both"/>
              <w:rPr>
                <w:rFonts w:eastAsia="宋体"/>
                <w:sz w:val="21"/>
                <w:szCs w:val="21"/>
                <w:lang w:eastAsia="zh-CN"/>
              </w:rPr>
            </w:pPr>
            <w:r>
              <w:rPr>
                <w:rFonts w:eastAsia="宋体"/>
                <w:sz w:val="21"/>
                <w:szCs w:val="21"/>
                <w:lang w:eastAsia="zh-CN"/>
              </w:rPr>
              <w:t>进行CDD的法律要求(1)</w:t>
            </w:r>
          </w:p>
          <w:p>
            <w:pPr>
              <w:pStyle w:val="12"/>
              <w:numPr>
                <w:ilvl w:val="0"/>
                <w:numId w:val="1"/>
              </w:numPr>
              <w:tabs>
                <w:tab w:val="left" w:pos="379"/>
              </w:tabs>
              <w:jc w:val="both"/>
              <w:rPr>
                <w:rFonts w:eastAsia="宋体"/>
                <w:sz w:val="21"/>
                <w:szCs w:val="21"/>
              </w:rPr>
            </w:pPr>
            <w:r>
              <w:rPr>
                <w:rFonts w:eastAsia="宋体"/>
                <w:sz w:val="21"/>
                <w:szCs w:val="21"/>
              </w:rPr>
              <w:t>核实公司身份的要求(2a)</w:t>
            </w:r>
          </w:p>
          <w:p>
            <w:pPr>
              <w:pStyle w:val="12"/>
              <w:numPr>
                <w:ilvl w:val="0"/>
                <w:numId w:val="1"/>
              </w:numPr>
              <w:tabs>
                <w:tab w:val="left" w:pos="379"/>
              </w:tabs>
              <w:jc w:val="both"/>
              <w:rPr>
                <w:rFonts w:eastAsia="宋体"/>
                <w:sz w:val="21"/>
                <w:szCs w:val="21"/>
                <w:lang w:eastAsia="zh-CN"/>
              </w:rPr>
            </w:pPr>
            <w:r>
              <w:rPr>
                <w:rFonts w:eastAsia="宋体"/>
                <w:sz w:val="21"/>
                <w:szCs w:val="21"/>
                <w:lang w:eastAsia="zh-CN"/>
              </w:rPr>
              <w:t>核实直接所有权和结构的要求(2b)</w:t>
            </w:r>
          </w:p>
          <w:p>
            <w:pPr>
              <w:pStyle w:val="12"/>
              <w:numPr>
                <w:ilvl w:val="0"/>
                <w:numId w:val="1"/>
              </w:numPr>
              <w:tabs>
                <w:tab w:val="left" w:pos="379"/>
              </w:tabs>
              <w:jc w:val="both"/>
              <w:rPr>
                <w:rFonts w:eastAsia="宋体"/>
                <w:sz w:val="21"/>
                <w:szCs w:val="21"/>
                <w:lang w:eastAsia="zh-CN"/>
              </w:rPr>
            </w:pPr>
            <w:r>
              <w:rPr>
                <w:rFonts w:eastAsia="宋体"/>
                <w:sz w:val="21"/>
                <w:szCs w:val="21"/>
                <w:lang w:eastAsia="zh-CN"/>
              </w:rPr>
              <w:t>核实实益拥有权的要求(2c)</w:t>
            </w:r>
          </w:p>
          <w:p>
            <w:pPr>
              <w:pStyle w:val="12"/>
              <w:numPr>
                <w:ilvl w:val="0"/>
                <w:numId w:val="1"/>
              </w:numPr>
              <w:tabs>
                <w:tab w:val="left" w:pos="379"/>
              </w:tabs>
              <w:jc w:val="both"/>
              <w:rPr>
                <w:rFonts w:eastAsia="宋体"/>
                <w:sz w:val="21"/>
                <w:szCs w:val="21"/>
                <w:lang w:eastAsia="zh-CN"/>
              </w:rPr>
            </w:pPr>
            <w:r>
              <w:rPr>
                <w:rFonts w:eastAsia="宋体"/>
                <w:sz w:val="21"/>
                <w:szCs w:val="21"/>
                <w:lang w:eastAsia="zh-CN"/>
              </w:rPr>
              <w:t>核实贷款用途的要求(2d)</w:t>
            </w:r>
          </w:p>
          <w:p>
            <w:pPr>
              <w:pStyle w:val="12"/>
              <w:numPr>
                <w:ilvl w:val="0"/>
                <w:numId w:val="1"/>
              </w:numPr>
              <w:tabs>
                <w:tab w:val="left" w:pos="379"/>
              </w:tabs>
              <w:ind w:right="751"/>
              <w:jc w:val="both"/>
              <w:rPr>
                <w:rFonts w:eastAsia="宋体"/>
                <w:sz w:val="21"/>
                <w:szCs w:val="21"/>
                <w:lang w:eastAsia="zh-CN"/>
              </w:rPr>
            </w:pPr>
            <w:r>
              <w:rPr>
                <w:rFonts w:eastAsia="宋体"/>
                <w:sz w:val="21"/>
                <w:szCs w:val="21"/>
                <w:lang w:eastAsia="zh-CN"/>
              </w:rPr>
              <w:t>核实企业客户地理位置的要求(2e)</w:t>
            </w:r>
          </w:p>
        </w:tc>
        <w:tc>
          <w:tcPr>
            <w:tcW w:w="914" w:type="dxa"/>
            <w:tcBorders>
              <w:bottom w:val="nil"/>
            </w:tcBorders>
          </w:tcPr>
          <w:p>
            <w:pPr>
              <w:pStyle w:val="12"/>
              <w:ind w:left="100"/>
              <w:jc w:val="center"/>
              <w:rPr>
                <w:rFonts w:eastAsia="宋体"/>
                <w:b/>
                <w:sz w:val="21"/>
                <w:szCs w:val="21"/>
                <w:lang w:eastAsia="zh-CN"/>
              </w:rPr>
            </w:pPr>
            <w:r>
              <w:rPr>
                <w:rFonts w:eastAsia="宋体"/>
                <w:b/>
                <w:spacing w:val="-4"/>
                <w:sz w:val="21"/>
                <w:szCs w:val="21"/>
                <w:lang w:eastAsia="zh-CN"/>
              </w:rPr>
              <w:t>不适用</w:t>
            </w:r>
          </w:p>
        </w:tc>
        <w:tc>
          <w:tcPr>
            <w:tcW w:w="1000" w:type="dxa"/>
            <w:tcBorders>
              <w:bottom w:val="nil"/>
            </w:tcBorders>
          </w:tcPr>
          <w:p>
            <w:pPr>
              <w:pStyle w:val="12"/>
              <w:ind w:left="108"/>
              <w:jc w:val="center"/>
              <w:rPr>
                <w:rFonts w:eastAsia="宋体"/>
                <w:b/>
                <w:sz w:val="21"/>
                <w:szCs w:val="21"/>
              </w:rPr>
            </w:pPr>
            <w:r>
              <w:rPr>
                <w:rFonts w:eastAsia="宋体"/>
                <w:b/>
                <w:w w:val="99"/>
                <w:sz w:val="21"/>
                <w:szCs w:val="21"/>
              </w:rPr>
              <w:t>1</w:t>
            </w:r>
          </w:p>
        </w:tc>
        <w:tc>
          <w:tcPr>
            <w:tcW w:w="973" w:type="dxa"/>
            <w:tcBorders>
              <w:bottom w:val="nil"/>
            </w:tcBorders>
          </w:tcPr>
          <w:p>
            <w:pPr>
              <w:pStyle w:val="12"/>
              <w:ind w:left="109"/>
              <w:jc w:val="center"/>
              <w:rPr>
                <w:rFonts w:eastAsia="宋体"/>
                <w:b/>
                <w:sz w:val="21"/>
                <w:szCs w:val="21"/>
              </w:rPr>
            </w:pPr>
            <w:r>
              <w:rPr>
                <w:rFonts w:eastAsia="宋体"/>
                <w:b/>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6291" w:type="dxa"/>
            <w:vMerge w:val="continue"/>
            <w:tcBorders>
              <w:top w:val="nil"/>
            </w:tcBorders>
          </w:tcPr>
          <w:p>
            <w:pPr>
              <w:rPr>
                <w:rFonts w:eastAsia="宋体"/>
                <w:sz w:val="21"/>
                <w:szCs w:val="21"/>
              </w:rPr>
            </w:pPr>
          </w:p>
        </w:tc>
        <w:tc>
          <w:tcPr>
            <w:tcW w:w="914" w:type="dxa"/>
            <w:tcBorders>
              <w:top w:val="nil"/>
              <w:bottom w:val="nil"/>
            </w:tcBorders>
          </w:tcPr>
          <w:p>
            <w:pPr>
              <w:pStyle w:val="12"/>
              <w:spacing w:before="104"/>
              <w:ind w:left="100"/>
              <w:jc w:val="center"/>
              <w:rPr>
                <w:rFonts w:eastAsia="宋体"/>
                <w:sz w:val="21"/>
                <w:szCs w:val="21"/>
                <w:lang w:eastAsia="zh-CN"/>
              </w:rPr>
            </w:pPr>
            <w:r>
              <w:rPr>
                <w:rFonts w:eastAsia="宋体"/>
                <w:spacing w:val="-4"/>
                <w:sz w:val="21"/>
                <w:szCs w:val="21"/>
                <w:lang w:eastAsia="zh-CN"/>
              </w:rPr>
              <w:t>不适用</w:t>
            </w:r>
          </w:p>
        </w:tc>
        <w:tc>
          <w:tcPr>
            <w:tcW w:w="1000" w:type="dxa"/>
            <w:tcBorders>
              <w:top w:val="nil"/>
              <w:bottom w:val="nil"/>
            </w:tcBorders>
          </w:tcPr>
          <w:p>
            <w:pPr>
              <w:pStyle w:val="12"/>
              <w:spacing w:before="104"/>
              <w:ind w:left="108"/>
              <w:jc w:val="center"/>
              <w:rPr>
                <w:rFonts w:eastAsia="宋体"/>
                <w:sz w:val="21"/>
                <w:szCs w:val="21"/>
              </w:rPr>
            </w:pPr>
            <w:r>
              <w:rPr>
                <w:rFonts w:eastAsia="宋体"/>
                <w:spacing w:val="-5"/>
                <w:sz w:val="21"/>
                <w:szCs w:val="21"/>
              </w:rPr>
              <w:t>0.5</w:t>
            </w:r>
          </w:p>
        </w:tc>
        <w:tc>
          <w:tcPr>
            <w:tcW w:w="973" w:type="dxa"/>
            <w:tcBorders>
              <w:top w:val="nil"/>
              <w:bottom w:val="nil"/>
            </w:tcBorders>
          </w:tcPr>
          <w:p>
            <w:pPr>
              <w:pStyle w:val="12"/>
              <w:spacing w:before="104"/>
              <w:ind w:left="109"/>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6291" w:type="dxa"/>
            <w:vMerge w:val="continue"/>
            <w:tcBorders>
              <w:top w:val="nil"/>
            </w:tcBorders>
          </w:tcPr>
          <w:p>
            <w:pPr>
              <w:rPr>
                <w:rFonts w:eastAsia="宋体"/>
                <w:sz w:val="21"/>
                <w:szCs w:val="21"/>
              </w:rPr>
            </w:pPr>
          </w:p>
        </w:tc>
        <w:tc>
          <w:tcPr>
            <w:tcW w:w="914" w:type="dxa"/>
            <w:tcBorders>
              <w:top w:val="nil"/>
              <w:bottom w:val="nil"/>
            </w:tcBorders>
          </w:tcPr>
          <w:p>
            <w:pPr>
              <w:pStyle w:val="12"/>
              <w:ind w:left="100"/>
              <w:jc w:val="center"/>
              <w:rPr>
                <w:rFonts w:eastAsia="宋体"/>
                <w:sz w:val="21"/>
                <w:szCs w:val="21"/>
                <w:lang w:eastAsia="zh-CN"/>
              </w:rPr>
            </w:pPr>
            <w:r>
              <w:rPr>
                <w:rFonts w:eastAsia="宋体"/>
                <w:spacing w:val="-4"/>
                <w:sz w:val="21"/>
                <w:szCs w:val="21"/>
                <w:lang w:eastAsia="zh-CN"/>
              </w:rPr>
              <w:t>不适用</w:t>
            </w:r>
          </w:p>
        </w:tc>
        <w:tc>
          <w:tcPr>
            <w:tcW w:w="1000" w:type="dxa"/>
            <w:tcBorders>
              <w:top w:val="nil"/>
              <w:bottom w:val="nil"/>
            </w:tcBorders>
          </w:tcPr>
          <w:p>
            <w:pPr>
              <w:pStyle w:val="12"/>
              <w:ind w:left="108"/>
              <w:jc w:val="center"/>
              <w:rPr>
                <w:rFonts w:eastAsia="宋体"/>
                <w:sz w:val="21"/>
                <w:szCs w:val="21"/>
              </w:rPr>
            </w:pPr>
            <w:r>
              <w:rPr>
                <w:rFonts w:eastAsia="宋体"/>
                <w:spacing w:val="-5"/>
                <w:sz w:val="21"/>
                <w:szCs w:val="21"/>
              </w:rPr>
              <w:t>0.1</w:t>
            </w:r>
          </w:p>
        </w:tc>
        <w:tc>
          <w:tcPr>
            <w:tcW w:w="973" w:type="dxa"/>
            <w:tcBorders>
              <w:top w:val="nil"/>
              <w:bottom w:val="nil"/>
            </w:tcBorders>
          </w:tcPr>
          <w:p>
            <w:pPr>
              <w:pStyle w:val="12"/>
              <w:ind w:left="109"/>
              <w:jc w:val="center"/>
              <w:rPr>
                <w:rFonts w:eastAsia="宋体"/>
                <w:sz w:val="21"/>
                <w:szCs w:val="21"/>
              </w:rPr>
            </w:pPr>
            <w:r>
              <w:rPr>
                <w:rFonts w:eastAsia="宋体"/>
                <w:spacing w:val="-5"/>
                <w:sz w:val="21"/>
                <w:szCs w:val="21"/>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6291" w:type="dxa"/>
            <w:vMerge w:val="continue"/>
            <w:tcBorders>
              <w:top w:val="nil"/>
            </w:tcBorders>
          </w:tcPr>
          <w:p>
            <w:pPr>
              <w:rPr>
                <w:rFonts w:eastAsia="宋体"/>
                <w:sz w:val="21"/>
                <w:szCs w:val="21"/>
              </w:rPr>
            </w:pPr>
          </w:p>
        </w:tc>
        <w:tc>
          <w:tcPr>
            <w:tcW w:w="914" w:type="dxa"/>
            <w:tcBorders>
              <w:top w:val="nil"/>
              <w:bottom w:val="nil"/>
            </w:tcBorders>
          </w:tcPr>
          <w:p>
            <w:pPr>
              <w:pStyle w:val="12"/>
              <w:ind w:left="100"/>
              <w:jc w:val="center"/>
              <w:rPr>
                <w:rFonts w:eastAsia="宋体"/>
                <w:sz w:val="21"/>
                <w:szCs w:val="21"/>
                <w:lang w:eastAsia="zh-CN"/>
              </w:rPr>
            </w:pPr>
            <w:r>
              <w:rPr>
                <w:rFonts w:eastAsia="宋体"/>
                <w:spacing w:val="-4"/>
                <w:sz w:val="21"/>
                <w:szCs w:val="21"/>
                <w:lang w:eastAsia="zh-CN"/>
              </w:rPr>
              <w:t>不适用</w:t>
            </w:r>
          </w:p>
        </w:tc>
        <w:tc>
          <w:tcPr>
            <w:tcW w:w="1000" w:type="dxa"/>
            <w:tcBorders>
              <w:top w:val="nil"/>
              <w:bottom w:val="nil"/>
            </w:tcBorders>
          </w:tcPr>
          <w:p>
            <w:pPr>
              <w:pStyle w:val="12"/>
              <w:ind w:left="108"/>
              <w:jc w:val="center"/>
              <w:rPr>
                <w:rFonts w:eastAsia="宋体"/>
                <w:sz w:val="21"/>
                <w:szCs w:val="21"/>
              </w:rPr>
            </w:pPr>
            <w:r>
              <w:rPr>
                <w:rFonts w:eastAsia="宋体"/>
                <w:spacing w:val="-5"/>
                <w:sz w:val="21"/>
                <w:szCs w:val="21"/>
              </w:rPr>
              <w:t>0.1</w:t>
            </w:r>
          </w:p>
        </w:tc>
        <w:tc>
          <w:tcPr>
            <w:tcW w:w="973" w:type="dxa"/>
            <w:tcBorders>
              <w:top w:val="nil"/>
              <w:bottom w:val="nil"/>
            </w:tcBorders>
          </w:tcPr>
          <w:p>
            <w:pPr>
              <w:pStyle w:val="12"/>
              <w:ind w:left="109"/>
              <w:jc w:val="center"/>
              <w:rPr>
                <w:rFonts w:eastAsia="宋体"/>
                <w:sz w:val="21"/>
                <w:szCs w:val="21"/>
              </w:rPr>
            </w:pPr>
            <w:r>
              <w:rPr>
                <w:rFonts w:eastAsia="宋体"/>
                <w:spacing w:val="-5"/>
                <w:sz w:val="21"/>
                <w:szCs w:val="21"/>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6291" w:type="dxa"/>
            <w:vMerge w:val="continue"/>
            <w:tcBorders>
              <w:top w:val="nil"/>
            </w:tcBorders>
          </w:tcPr>
          <w:p>
            <w:pPr>
              <w:rPr>
                <w:rFonts w:eastAsia="宋体"/>
                <w:sz w:val="21"/>
                <w:szCs w:val="21"/>
              </w:rPr>
            </w:pPr>
          </w:p>
        </w:tc>
        <w:tc>
          <w:tcPr>
            <w:tcW w:w="914" w:type="dxa"/>
            <w:tcBorders>
              <w:top w:val="nil"/>
              <w:bottom w:val="nil"/>
            </w:tcBorders>
          </w:tcPr>
          <w:p>
            <w:pPr>
              <w:pStyle w:val="12"/>
              <w:ind w:left="100"/>
              <w:jc w:val="center"/>
              <w:rPr>
                <w:rFonts w:eastAsia="宋体"/>
                <w:sz w:val="21"/>
                <w:szCs w:val="21"/>
                <w:lang w:eastAsia="zh-CN"/>
              </w:rPr>
            </w:pPr>
            <w:r>
              <w:rPr>
                <w:rFonts w:eastAsia="宋体"/>
                <w:spacing w:val="-4"/>
                <w:sz w:val="21"/>
                <w:szCs w:val="21"/>
                <w:lang w:eastAsia="zh-CN"/>
              </w:rPr>
              <w:t>不适用</w:t>
            </w:r>
          </w:p>
        </w:tc>
        <w:tc>
          <w:tcPr>
            <w:tcW w:w="1000" w:type="dxa"/>
            <w:tcBorders>
              <w:top w:val="nil"/>
              <w:bottom w:val="nil"/>
            </w:tcBorders>
          </w:tcPr>
          <w:p>
            <w:pPr>
              <w:pStyle w:val="12"/>
              <w:ind w:left="108"/>
              <w:jc w:val="center"/>
              <w:rPr>
                <w:rFonts w:eastAsia="宋体"/>
                <w:sz w:val="21"/>
                <w:szCs w:val="21"/>
              </w:rPr>
            </w:pPr>
            <w:r>
              <w:rPr>
                <w:rFonts w:eastAsia="宋体"/>
                <w:spacing w:val="-5"/>
                <w:sz w:val="21"/>
                <w:szCs w:val="21"/>
              </w:rPr>
              <w:t>0.1</w:t>
            </w:r>
          </w:p>
        </w:tc>
        <w:tc>
          <w:tcPr>
            <w:tcW w:w="973" w:type="dxa"/>
            <w:tcBorders>
              <w:top w:val="nil"/>
              <w:bottom w:val="nil"/>
            </w:tcBorders>
          </w:tcPr>
          <w:p>
            <w:pPr>
              <w:pStyle w:val="12"/>
              <w:ind w:left="109"/>
              <w:jc w:val="center"/>
              <w:rPr>
                <w:rFonts w:eastAsia="宋体"/>
                <w:sz w:val="21"/>
                <w:szCs w:val="21"/>
              </w:rPr>
            </w:pPr>
            <w:r>
              <w:rPr>
                <w:rFonts w:eastAsia="宋体"/>
                <w:spacing w:val="-5"/>
                <w:sz w:val="21"/>
                <w:szCs w:val="21"/>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6291" w:type="dxa"/>
            <w:vMerge w:val="continue"/>
            <w:tcBorders>
              <w:top w:val="nil"/>
            </w:tcBorders>
          </w:tcPr>
          <w:p>
            <w:pPr>
              <w:rPr>
                <w:rFonts w:eastAsia="宋体"/>
                <w:sz w:val="21"/>
                <w:szCs w:val="21"/>
              </w:rPr>
            </w:pPr>
          </w:p>
        </w:tc>
        <w:tc>
          <w:tcPr>
            <w:tcW w:w="914" w:type="dxa"/>
            <w:tcBorders>
              <w:top w:val="nil"/>
              <w:bottom w:val="nil"/>
            </w:tcBorders>
          </w:tcPr>
          <w:p>
            <w:pPr>
              <w:pStyle w:val="12"/>
              <w:ind w:left="100"/>
              <w:jc w:val="center"/>
              <w:rPr>
                <w:rFonts w:eastAsia="宋体"/>
                <w:sz w:val="21"/>
                <w:szCs w:val="21"/>
                <w:lang w:eastAsia="zh-CN"/>
              </w:rPr>
            </w:pPr>
            <w:r>
              <w:rPr>
                <w:rFonts w:eastAsia="宋体"/>
                <w:spacing w:val="-4"/>
                <w:sz w:val="21"/>
                <w:szCs w:val="21"/>
                <w:lang w:eastAsia="zh-CN"/>
              </w:rPr>
              <w:t>不适用</w:t>
            </w:r>
          </w:p>
        </w:tc>
        <w:tc>
          <w:tcPr>
            <w:tcW w:w="1000" w:type="dxa"/>
            <w:tcBorders>
              <w:top w:val="nil"/>
              <w:bottom w:val="nil"/>
            </w:tcBorders>
          </w:tcPr>
          <w:p>
            <w:pPr>
              <w:pStyle w:val="12"/>
              <w:ind w:left="108"/>
              <w:jc w:val="center"/>
              <w:rPr>
                <w:rFonts w:eastAsia="宋体"/>
                <w:sz w:val="21"/>
                <w:szCs w:val="21"/>
              </w:rPr>
            </w:pPr>
            <w:r>
              <w:rPr>
                <w:rFonts w:eastAsia="宋体"/>
                <w:spacing w:val="-5"/>
                <w:sz w:val="21"/>
                <w:szCs w:val="21"/>
              </w:rPr>
              <w:t>0.1</w:t>
            </w:r>
          </w:p>
        </w:tc>
        <w:tc>
          <w:tcPr>
            <w:tcW w:w="973" w:type="dxa"/>
            <w:tcBorders>
              <w:top w:val="nil"/>
              <w:bottom w:val="nil"/>
            </w:tcBorders>
          </w:tcPr>
          <w:p>
            <w:pPr>
              <w:pStyle w:val="12"/>
              <w:ind w:left="109"/>
              <w:jc w:val="center"/>
              <w:rPr>
                <w:rFonts w:eastAsia="宋体"/>
                <w:sz w:val="21"/>
                <w:szCs w:val="21"/>
              </w:rPr>
            </w:pPr>
            <w:r>
              <w:rPr>
                <w:rFonts w:eastAsia="宋体"/>
                <w:spacing w:val="-5"/>
                <w:sz w:val="21"/>
                <w:szCs w:val="21"/>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6291" w:type="dxa"/>
            <w:vMerge w:val="continue"/>
            <w:tcBorders>
              <w:top w:val="nil"/>
            </w:tcBorders>
          </w:tcPr>
          <w:p>
            <w:pPr>
              <w:rPr>
                <w:rFonts w:eastAsia="宋体"/>
                <w:sz w:val="21"/>
                <w:szCs w:val="21"/>
              </w:rPr>
            </w:pPr>
          </w:p>
        </w:tc>
        <w:tc>
          <w:tcPr>
            <w:tcW w:w="914" w:type="dxa"/>
            <w:tcBorders>
              <w:top w:val="nil"/>
            </w:tcBorders>
          </w:tcPr>
          <w:p>
            <w:pPr>
              <w:pStyle w:val="12"/>
              <w:ind w:left="100"/>
              <w:jc w:val="center"/>
              <w:rPr>
                <w:rFonts w:eastAsia="宋体"/>
                <w:sz w:val="21"/>
                <w:szCs w:val="21"/>
                <w:lang w:eastAsia="zh-CN"/>
              </w:rPr>
            </w:pPr>
            <w:r>
              <w:rPr>
                <w:rFonts w:eastAsia="宋体"/>
                <w:spacing w:val="-4"/>
                <w:sz w:val="21"/>
                <w:szCs w:val="21"/>
                <w:lang w:eastAsia="zh-CN"/>
              </w:rPr>
              <w:t>不适用</w:t>
            </w:r>
          </w:p>
        </w:tc>
        <w:tc>
          <w:tcPr>
            <w:tcW w:w="1000" w:type="dxa"/>
            <w:tcBorders>
              <w:top w:val="nil"/>
            </w:tcBorders>
          </w:tcPr>
          <w:p>
            <w:pPr>
              <w:pStyle w:val="12"/>
              <w:ind w:left="108"/>
              <w:jc w:val="center"/>
              <w:rPr>
                <w:rFonts w:eastAsia="宋体"/>
                <w:sz w:val="21"/>
                <w:szCs w:val="21"/>
              </w:rPr>
            </w:pPr>
            <w:r>
              <w:rPr>
                <w:rFonts w:eastAsia="宋体"/>
                <w:spacing w:val="-5"/>
                <w:sz w:val="21"/>
                <w:szCs w:val="21"/>
              </w:rPr>
              <w:t>0.1</w:t>
            </w:r>
          </w:p>
        </w:tc>
        <w:tc>
          <w:tcPr>
            <w:tcW w:w="973" w:type="dxa"/>
            <w:tcBorders>
              <w:top w:val="nil"/>
            </w:tcBorders>
          </w:tcPr>
          <w:p>
            <w:pPr>
              <w:pStyle w:val="12"/>
              <w:ind w:left="109"/>
              <w:jc w:val="center"/>
              <w:rPr>
                <w:rFonts w:eastAsia="宋体"/>
                <w:sz w:val="21"/>
                <w:szCs w:val="21"/>
              </w:rPr>
            </w:pPr>
            <w:r>
              <w:rPr>
                <w:rFonts w:eastAsia="宋体"/>
                <w:spacing w:val="-5"/>
                <w:sz w:val="21"/>
                <w:szCs w:val="21"/>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6291" w:type="dxa"/>
            <w:vMerge w:val="restart"/>
            <w:vAlign w:val="center"/>
          </w:tcPr>
          <w:p>
            <w:pPr>
              <w:pStyle w:val="12"/>
              <w:jc w:val="both"/>
              <w:rPr>
                <w:rFonts w:eastAsia="宋体"/>
                <w:b/>
                <w:sz w:val="21"/>
                <w:szCs w:val="21"/>
                <w:lang w:eastAsia="zh-CN"/>
              </w:rPr>
            </w:pPr>
            <w:r>
              <w:rPr>
                <w:rFonts w:eastAsia="宋体"/>
                <w:b/>
                <w:sz w:val="21"/>
                <w:szCs w:val="21"/>
                <w:lang w:eastAsia="zh-CN"/>
              </w:rPr>
              <w:t>现有客户的CDD和记录保存</w:t>
            </w:r>
          </w:p>
          <w:p>
            <w:pPr>
              <w:pStyle w:val="12"/>
              <w:numPr>
                <w:ilvl w:val="0"/>
                <w:numId w:val="2"/>
              </w:numPr>
              <w:tabs>
                <w:tab w:val="left" w:pos="379"/>
              </w:tabs>
              <w:jc w:val="both"/>
              <w:rPr>
                <w:rFonts w:eastAsia="宋体"/>
                <w:sz w:val="21"/>
                <w:szCs w:val="21"/>
                <w:lang w:eastAsia="zh-CN"/>
              </w:rPr>
            </w:pPr>
            <w:r>
              <w:rPr>
                <w:rFonts w:eastAsia="宋体"/>
                <w:sz w:val="21"/>
                <w:szCs w:val="21"/>
                <w:lang w:eastAsia="zh-CN"/>
              </w:rPr>
              <w:t>记录保存-对现有客户CDD的依赖(11)</w:t>
            </w:r>
          </w:p>
          <w:p>
            <w:pPr>
              <w:pStyle w:val="12"/>
              <w:numPr>
                <w:ilvl w:val="0"/>
                <w:numId w:val="2"/>
              </w:numPr>
              <w:tabs>
                <w:tab w:val="left" w:pos="379"/>
              </w:tabs>
              <w:spacing w:before="2"/>
              <w:ind w:right="322"/>
              <w:jc w:val="both"/>
              <w:rPr>
                <w:rFonts w:eastAsia="宋体"/>
                <w:sz w:val="21"/>
                <w:szCs w:val="21"/>
                <w:lang w:eastAsia="zh-CN"/>
              </w:rPr>
            </w:pPr>
            <w:r>
              <w:rPr>
                <w:rFonts w:eastAsia="宋体"/>
                <w:sz w:val="21"/>
                <w:szCs w:val="21"/>
                <w:lang w:eastAsia="zh-CN"/>
              </w:rPr>
              <w:t>记录保存-依赖其他机构承担的CDD (e- KYC) (12)</w:t>
            </w:r>
          </w:p>
          <w:p>
            <w:pPr>
              <w:pStyle w:val="12"/>
              <w:numPr>
                <w:ilvl w:val="0"/>
                <w:numId w:val="2"/>
              </w:numPr>
              <w:tabs>
                <w:tab w:val="left" w:pos="379"/>
              </w:tabs>
              <w:jc w:val="both"/>
              <w:rPr>
                <w:rFonts w:eastAsia="宋体"/>
                <w:sz w:val="21"/>
                <w:szCs w:val="21"/>
                <w:lang w:eastAsia="zh-CN"/>
              </w:rPr>
            </w:pPr>
            <w:r>
              <w:rPr>
                <w:rFonts w:eastAsia="宋体"/>
                <w:sz w:val="21"/>
                <w:szCs w:val="21"/>
                <w:lang w:eastAsia="zh-CN"/>
              </w:rPr>
              <w:t>记录保存- CDD信息保存5年(13)</w:t>
            </w:r>
          </w:p>
          <w:p>
            <w:pPr>
              <w:pStyle w:val="12"/>
              <w:numPr>
                <w:ilvl w:val="0"/>
                <w:numId w:val="2"/>
              </w:numPr>
              <w:tabs>
                <w:tab w:val="left" w:pos="379"/>
              </w:tabs>
              <w:jc w:val="both"/>
              <w:rPr>
                <w:rFonts w:eastAsia="宋体"/>
                <w:sz w:val="21"/>
                <w:szCs w:val="21"/>
                <w:lang w:eastAsia="zh-CN"/>
              </w:rPr>
            </w:pPr>
            <w:r>
              <w:rPr>
                <w:rFonts w:eastAsia="宋体"/>
                <w:sz w:val="21"/>
                <w:szCs w:val="21"/>
                <w:lang w:eastAsia="zh-CN"/>
              </w:rPr>
              <w:t>记录保存-高风险客户的持续CDD (14)</w:t>
            </w:r>
          </w:p>
        </w:tc>
        <w:tc>
          <w:tcPr>
            <w:tcW w:w="914" w:type="dxa"/>
            <w:tcBorders>
              <w:bottom w:val="nil"/>
            </w:tcBorders>
          </w:tcPr>
          <w:p>
            <w:pPr>
              <w:pStyle w:val="12"/>
              <w:ind w:left="100"/>
              <w:jc w:val="center"/>
              <w:rPr>
                <w:rFonts w:eastAsia="宋体"/>
                <w:b/>
                <w:sz w:val="21"/>
                <w:szCs w:val="21"/>
              </w:rPr>
            </w:pPr>
            <w:r>
              <w:rPr>
                <w:rFonts w:eastAsia="宋体"/>
                <w:b/>
                <w:w w:val="99"/>
                <w:sz w:val="21"/>
                <w:szCs w:val="21"/>
              </w:rPr>
              <w:t>1</w:t>
            </w:r>
          </w:p>
        </w:tc>
        <w:tc>
          <w:tcPr>
            <w:tcW w:w="1000" w:type="dxa"/>
            <w:tcBorders>
              <w:bottom w:val="nil"/>
            </w:tcBorders>
          </w:tcPr>
          <w:p>
            <w:pPr>
              <w:pStyle w:val="12"/>
              <w:ind w:left="108"/>
              <w:jc w:val="center"/>
              <w:rPr>
                <w:rFonts w:eastAsia="宋体"/>
                <w:b/>
                <w:sz w:val="21"/>
                <w:szCs w:val="21"/>
              </w:rPr>
            </w:pPr>
            <w:r>
              <w:rPr>
                <w:rFonts w:eastAsia="宋体"/>
                <w:b/>
                <w:w w:val="99"/>
                <w:sz w:val="21"/>
                <w:szCs w:val="21"/>
              </w:rPr>
              <w:t>1</w:t>
            </w:r>
          </w:p>
        </w:tc>
        <w:tc>
          <w:tcPr>
            <w:tcW w:w="973" w:type="dxa"/>
            <w:tcBorders>
              <w:bottom w:val="nil"/>
            </w:tcBorders>
          </w:tcPr>
          <w:p>
            <w:pPr>
              <w:pStyle w:val="12"/>
              <w:ind w:left="109"/>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6291" w:type="dxa"/>
            <w:vMerge w:val="continue"/>
            <w:tcBorders>
              <w:top w:val="nil"/>
            </w:tcBorders>
          </w:tcPr>
          <w:p>
            <w:pPr>
              <w:rPr>
                <w:rFonts w:eastAsia="宋体"/>
                <w:sz w:val="21"/>
                <w:szCs w:val="21"/>
              </w:rPr>
            </w:pPr>
          </w:p>
        </w:tc>
        <w:tc>
          <w:tcPr>
            <w:tcW w:w="914" w:type="dxa"/>
            <w:tcBorders>
              <w:top w:val="nil"/>
              <w:bottom w:val="nil"/>
            </w:tcBorders>
          </w:tcPr>
          <w:p>
            <w:pPr>
              <w:pStyle w:val="12"/>
              <w:ind w:left="100"/>
              <w:jc w:val="center"/>
              <w:rPr>
                <w:rFonts w:eastAsia="宋体"/>
                <w:sz w:val="21"/>
                <w:szCs w:val="21"/>
              </w:rPr>
            </w:pPr>
            <w:r>
              <w:rPr>
                <w:rFonts w:eastAsia="宋体"/>
                <w:spacing w:val="-4"/>
                <w:sz w:val="21"/>
                <w:szCs w:val="21"/>
              </w:rPr>
              <w:t>0.37</w:t>
            </w:r>
          </w:p>
        </w:tc>
        <w:tc>
          <w:tcPr>
            <w:tcW w:w="1000" w:type="dxa"/>
            <w:tcBorders>
              <w:top w:val="nil"/>
              <w:bottom w:val="nil"/>
            </w:tcBorders>
          </w:tcPr>
          <w:p>
            <w:pPr>
              <w:pStyle w:val="12"/>
              <w:ind w:left="108"/>
              <w:jc w:val="center"/>
              <w:rPr>
                <w:rFonts w:eastAsia="宋体"/>
                <w:sz w:val="21"/>
                <w:szCs w:val="21"/>
              </w:rPr>
            </w:pPr>
            <w:r>
              <w:rPr>
                <w:rFonts w:eastAsia="宋体"/>
                <w:spacing w:val="-4"/>
                <w:sz w:val="21"/>
                <w:szCs w:val="21"/>
              </w:rPr>
              <w:t>0.37</w:t>
            </w:r>
          </w:p>
        </w:tc>
        <w:tc>
          <w:tcPr>
            <w:tcW w:w="973" w:type="dxa"/>
            <w:tcBorders>
              <w:top w:val="nil"/>
              <w:bottom w:val="nil"/>
            </w:tcBorders>
          </w:tcPr>
          <w:p>
            <w:pPr>
              <w:pStyle w:val="12"/>
              <w:ind w:left="109"/>
              <w:jc w:val="center"/>
              <w:rPr>
                <w:rFonts w:eastAsia="宋体"/>
                <w:sz w:val="21"/>
                <w:szCs w:val="21"/>
              </w:rPr>
            </w:pPr>
            <w:r>
              <w:rPr>
                <w:rFonts w:eastAsia="宋体"/>
                <w:spacing w:val="-4"/>
                <w:sz w:val="21"/>
                <w:szCs w:val="21"/>
              </w:rPr>
              <w:t>0.37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6291" w:type="dxa"/>
            <w:vMerge w:val="continue"/>
            <w:tcBorders>
              <w:top w:val="nil"/>
            </w:tcBorders>
          </w:tcPr>
          <w:p>
            <w:pPr>
              <w:rPr>
                <w:rFonts w:eastAsia="宋体"/>
                <w:sz w:val="21"/>
                <w:szCs w:val="21"/>
              </w:rPr>
            </w:pPr>
          </w:p>
        </w:tc>
        <w:tc>
          <w:tcPr>
            <w:tcW w:w="914" w:type="dxa"/>
            <w:tcBorders>
              <w:top w:val="nil"/>
              <w:bottom w:val="nil"/>
            </w:tcBorders>
          </w:tcPr>
          <w:p>
            <w:pPr>
              <w:pStyle w:val="12"/>
              <w:ind w:left="100"/>
              <w:jc w:val="center"/>
              <w:rPr>
                <w:rFonts w:eastAsia="宋体"/>
                <w:sz w:val="21"/>
                <w:szCs w:val="21"/>
              </w:rPr>
            </w:pPr>
            <w:r>
              <w:rPr>
                <w:rFonts w:eastAsia="宋体"/>
                <w:spacing w:val="-4"/>
                <w:sz w:val="21"/>
                <w:szCs w:val="21"/>
              </w:rPr>
              <w:t>0.37</w:t>
            </w:r>
          </w:p>
        </w:tc>
        <w:tc>
          <w:tcPr>
            <w:tcW w:w="1000" w:type="dxa"/>
            <w:tcBorders>
              <w:top w:val="nil"/>
              <w:bottom w:val="nil"/>
            </w:tcBorders>
          </w:tcPr>
          <w:p>
            <w:pPr>
              <w:pStyle w:val="12"/>
              <w:ind w:left="108"/>
              <w:jc w:val="center"/>
              <w:rPr>
                <w:rFonts w:eastAsia="宋体"/>
                <w:sz w:val="21"/>
                <w:szCs w:val="21"/>
              </w:rPr>
            </w:pPr>
            <w:r>
              <w:rPr>
                <w:rFonts w:eastAsia="宋体"/>
                <w:spacing w:val="-4"/>
                <w:sz w:val="21"/>
                <w:szCs w:val="21"/>
              </w:rPr>
              <w:t>0.37</w:t>
            </w:r>
          </w:p>
        </w:tc>
        <w:tc>
          <w:tcPr>
            <w:tcW w:w="973" w:type="dxa"/>
            <w:tcBorders>
              <w:top w:val="nil"/>
              <w:bottom w:val="nil"/>
            </w:tcBorders>
          </w:tcPr>
          <w:p>
            <w:pPr>
              <w:pStyle w:val="12"/>
              <w:ind w:left="109"/>
              <w:jc w:val="center"/>
              <w:rPr>
                <w:rFonts w:eastAsia="宋体"/>
                <w:sz w:val="21"/>
                <w:szCs w:val="21"/>
              </w:rPr>
            </w:pPr>
            <w:r>
              <w:rPr>
                <w:rFonts w:eastAsia="宋体"/>
                <w:spacing w:val="-4"/>
                <w:sz w:val="21"/>
                <w:szCs w:val="21"/>
              </w:rPr>
              <w:t>0.37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291" w:type="dxa"/>
            <w:vMerge w:val="continue"/>
            <w:tcBorders>
              <w:top w:val="nil"/>
            </w:tcBorders>
          </w:tcPr>
          <w:p>
            <w:pPr>
              <w:rPr>
                <w:rFonts w:eastAsia="宋体"/>
                <w:sz w:val="21"/>
                <w:szCs w:val="21"/>
              </w:rPr>
            </w:pPr>
          </w:p>
        </w:tc>
        <w:tc>
          <w:tcPr>
            <w:tcW w:w="914" w:type="dxa"/>
            <w:tcBorders>
              <w:top w:val="nil"/>
              <w:bottom w:val="nil"/>
            </w:tcBorders>
          </w:tcPr>
          <w:p>
            <w:pPr>
              <w:pStyle w:val="12"/>
              <w:spacing w:before="106"/>
              <w:ind w:left="100"/>
              <w:jc w:val="center"/>
              <w:rPr>
                <w:rFonts w:eastAsia="宋体"/>
                <w:sz w:val="21"/>
                <w:szCs w:val="21"/>
              </w:rPr>
            </w:pPr>
            <w:r>
              <w:rPr>
                <w:rFonts w:eastAsia="宋体"/>
                <w:spacing w:val="-4"/>
                <w:sz w:val="21"/>
                <w:szCs w:val="21"/>
              </w:rPr>
              <w:t>0.12</w:t>
            </w:r>
          </w:p>
        </w:tc>
        <w:tc>
          <w:tcPr>
            <w:tcW w:w="1000" w:type="dxa"/>
            <w:tcBorders>
              <w:top w:val="nil"/>
              <w:bottom w:val="nil"/>
            </w:tcBorders>
          </w:tcPr>
          <w:p>
            <w:pPr>
              <w:pStyle w:val="12"/>
              <w:spacing w:before="106"/>
              <w:ind w:left="108"/>
              <w:jc w:val="center"/>
              <w:rPr>
                <w:rFonts w:eastAsia="宋体"/>
                <w:sz w:val="21"/>
                <w:szCs w:val="21"/>
              </w:rPr>
            </w:pPr>
            <w:r>
              <w:rPr>
                <w:rFonts w:eastAsia="宋体"/>
                <w:spacing w:val="-4"/>
                <w:sz w:val="21"/>
                <w:szCs w:val="21"/>
              </w:rPr>
              <w:t>0.12</w:t>
            </w:r>
          </w:p>
        </w:tc>
        <w:tc>
          <w:tcPr>
            <w:tcW w:w="973" w:type="dxa"/>
            <w:tcBorders>
              <w:top w:val="nil"/>
              <w:bottom w:val="nil"/>
            </w:tcBorders>
          </w:tcPr>
          <w:p>
            <w:pPr>
              <w:pStyle w:val="12"/>
              <w:spacing w:before="106"/>
              <w:ind w:left="109"/>
              <w:jc w:val="center"/>
              <w:rPr>
                <w:rFonts w:eastAsia="宋体"/>
                <w:sz w:val="21"/>
                <w:szCs w:val="21"/>
              </w:rPr>
            </w:pPr>
            <w:r>
              <w:rPr>
                <w:rFonts w:eastAsia="宋体"/>
                <w:spacing w:val="-4"/>
                <w:sz w:val="21"/>
                <w:szCs w:val="21"/>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6291" w:type="dxa"/>
            <w:vMerge w:val="continue"/>
            <w:tcBorders>
              <w:top w:val="nil"/>
            </w:tcBorders>
          </w:tcPr>
          <w:p>
            <w:pPr>
              <w:rPr>
                <w:rFonts w:eastAsia="宋体"/>
                <w:sz w:val="21"/>
                <w:szCs w:val="21"/>
              </w:rPr>
            </w:pPr>
          </w:p>
        </w:tc>
        <w:tc>
          <w:tcPr>
            <w:tcW w:w="914" w:type="dxa"/>
            <w:tcBorders>
              <w:top w:val="nil"/>
            </w:tcBorders>
          </w:tcPr>
          <w:p>
            <w:pPr>
              <w:pStyle w:val="12"/>
              <w:ind w:left="100"/>
              <w:jc w:val="center"/>
              <w:rPr>
                <w:rFonts w:eastAsia="宋体"/>
                <w:sz w:val="21"/>
                <w:szCs w:val="21"/>
              </w:rPr>
            </w:pPr>
            <w:r>
              <w:rPr>
                <w:rFonts w:eastAsia="宋体"/>
                <w:spacing w:val="-4"/>
                <w:sz w:val="21"/>
                <w:szCs w:val="21"/>
              </w:rPr>
              <w:t>0.12</w:t>
            </w:r>
          </w:p>
        </w:tc>
        <w:tc>
          <w:tcPr>
            <w:tcW w:w="1000" w:type="dxa"/>
            <w:tcBorders>
              <w:top w:val="nil"/>
            </w:tcBorders>
          </w:tcPr>
          <w:p>
            <w:pPr>
              <w:pStyle w:val="12"/>
              <w:ind w:left="108"/>
              <w:jc w:val="center"/>
              <w:rPr>
                <w:rFonts w:eastAsia="宋体"/>
                <w:sz w:val="21"/>
                <w:szCs w:val="21"/>
              </w:rPr>
            </w:pPr>
            <w:r>
              <w:rPr>
                <w:rFonts w:eastAsia="宋体"/>
                <w:spacing w:val="-4"/>
                <w:sz w:val="21"/>
                <w:szCs w:val="21"/>
              </w:rPr>
              <w:t>0.12</w:t>
            </w:r>
          </w:p>
        </w:tc>
        <w:tc>
          <w:tcPr>
            <w:tcW w:w="973" w:type="dxa"/>
            <w:tcBorders>
              <w:top w:val="nil"/>
            </w:tcBorders>
          </w:tcPr>
          <w:p>
            <w:pPr>
              <w:pStyle w:val="12"/>
              <w:ind w:left="109"/>
              <w:jc w:val="center"/>
              <w:rPr>
                <w:rFonts w:eastAsia="宋体"/>
                <w:sz w:val="21"/>
                <w:szCs w:val="21"/>
              </w:rPr>
            </w:pPr>
            <w:r>
              <w:rPr>
                <w:rFonts w:eastAsia="宋体"/>
                <w:spacing w:val="-4"/>
                <w:sz w:val="21"/>
                <w:szCs w:val="21"/>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291" w:type="dxa"/>
            <w:shd w:val="clear" w:color="auto" w:fill="FFC000"/>
          </w:tcPr>
          <w:p>
            <w:pPr>
              <w:pStyle w:val="12"/>
              <w:spacing w:before="26"/>
              <w:rPr>
                <w:rFonts w:eastAsia="宋体"/>
                <w:b/>
                <w:sz w:val="21"/>
                <w:szCs w:val="21"/>
              </w:rPr>
            </w:pPr>
            <w:r>
              <w:rPr>
                <w:rFonts w:eastAsia="宋体"/>
                <w:b/>
                <w:sz w:val="21"/>
                <w:szCs w:val="21"/>
                <w:lang w:eastAsia="zh-CN"/>
              </w:rPr>
              <w:t>总</w:t>
            </w:r>
            <w:r>
              <w:rPr>
                <w:rFonts w:hint="eastAsia" w:eastAsia="宋体"/>
                <w:b/>
                <w:sz w:val="21"/>
                <w:szCs w:val="21"/>
                <w:lang w:eastAsia="zh-CN"/>
              </w:rPr>
              <w:t>计</w:t>
            </w:r>
          </w:p>
        </w:tc>
        <w:tc>
          <w:tcPr>
            <w:tcW w:w="914" w:type="dxa"/>
            <w:shd w:val="clear" w:color="auto" w:fill="FFC000"/>
          </w:tcPr>
          <w:p>
            <w:pPr>
              <w:pStyle w:val="12"/>
              <w:spacing w:before="26"/>
              <w:ind w:left="100"/>
              <w:jc w:val="center"/>
              <w:rPr>
                <w:rFonts w:eastAsia="宋体"/>
                <w:b/>
                <w:sz w:val="21"/>
                <w:szCs w:val="21"/>
              </w:rPr>
            </w:pPr>
            <w:r>
              <w:rPr>
                <w:rFonts w:eastAsia="宋体"/>
                <w:b/>
                <w:w w:val="99"/>
                <w:sz w:val="21"/>
                <w:szCs w:val="21"/>
              </w:rPr>
              <w:t>2</w:t>
            </w:r>
          </w:p>
        </w:tc>
        <w:tc>
          <w:tcPr>
            <w:tcW w:w="1000" w:type="dxa"/>
            <w:shd w:val="clear" w:color="auto" w:fill="FFC000"/>
          </w:tcPr>
          <w:p>
            <w:pPr>
              <w:pStyle w:val="12"/>
              <w:spacing w:before="26"/>
              <w:ind w:left="108"/>
              <w:jc w:val="center"/>
              <w:rPr>
                <w:rFonts w:eastAsia="宋体"/>
                <w:b/>
                <w:sz w:val="21"/>
                <w:szCs w:val="21"/>
              </w:rPr>
            </w:pPr>
            <w:r>
              <w:rPr>
                <w:rFonts w:eastAsia="宋体"/>
                <w:b/>
                <w:w w:val="99"/>
                <w:sz w:val="21"/>
                <w:szCs w:val="21"/>
              </w:rPr>
              <w:t>3.</w:t>
            </w:r>
          </w:p>
        </w:tc>
        <w:tc>
          <w:tcPr>
            <w:tcW w:w="973" w:type="dxa"/>
            <w:shd w:val="clear" w:color="auto" w:fill="FFC000"/>
          </w:tcPr>
          <w:p>
            <w:pPr>
              <w:pStyle w:val="12"/>
              <w:spacing w:before="26"/>
              <w:ind w:left="109"/>
              <w:jc w:val="center"/>
              <w:rPr>
                <w:rFonts w:eastAsia="宋体"/>
                <w:b/>
                <w:sz w:val="21"/>
                <w:szCs w:val="21"/>
              </w:rPr>
            </w:pPr>
            <w:r>
              <w:rPr>
                <w:rFonts w:eastAsia="宋体"/>
                <w:b/>
                <w:w w:val="99"/>
                <w:sz w:val="21"/>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178" w:type="dxa"/>
            <w:gridSpan w:val="4"/>
            <w:shd w:val="clear" w:color="auto" w:fill="E7EBF5"/>
          </w:tcPr>
          <w:p>
            <w:pPr>
              <w:pStyle w:val="12"/>
              <w:spacing w:before="101"/>
              <w:ind w:left="467"/>
              <w:rPr>
                <w:rFonts w:eastAsia="宋体"/>
                <w:b/>
                <w:sz w:val="21"/>
                <w:szCs w:val="21"/>
                <w:lang w:eastAsia="zh-CN"/>
              </w:rPr>
            </w:pPr>
            <w:r>
              <w:rPr>
                <w:rFonts w:eastAsia="宋体"/>
                <w:b/>
                <w:sz w:val="21"/>
                <w:szCs w:val="21"/>
                <w:lang w:eastAsia="zh-CN"/>
              </w:rPr>
              <w:t>1.1.2基于风险的方法和风险因素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291" w:type="dxa"/>
          </w:tcPr>
          <w:p>
            <w:pPr>
              <w:pStyle w:val="12"/>
              <w:spacing w:before="27"/>
              <w:rPr>
                <w:rFonts w:eastAsia="宋体"/>
                <w:b/>
                <w:sz w:val="21"/>
                <w:szCs w:val="21"/>
              </w:rPr>
            </w:pPr>
            <w:r>
              <w:rPr>
                <w:rFonts w:eastAsia="宋体"/>
                <w:b/>
                <w:spacing w:val="-2"/>
                <w:sz w:val="21"/>
                <w:szCs w:val="21"/>
              </w:rPr>
              <w:t>指标</w:t>
            </w:r>
          </w:p>
        </w:tc>
        <w:tc>
          <w:tcPr>
            <w:tcW w:w="914" w:type="dxa"/>
          </w:tcPr>
          <w:p>
            <w:pPr>
              <w:pStyle w:val="12"/>
              <w:ind w:left="115"/>
              <w:jc w:val="center"/>
              <w:rPr>
                <w:rFonts w:eastAsia="宋体"/>
                <w:b/>
                <w:sz w:val="21"/>
                <w:szCs w:val="21"/>
              </w:rPr>
            </w:pPr>
            <w:r>
              <w:rPr>
                <w:rFonts w:eastAsia="宋体"/>
                <w:b/>
                <w:spacing w:val="-5"/>
                <w:sz w:val="21"/>
                <w:szCs w:val="21"/>
              </w:rPr>
              <w:t>FFP</w:t>
            </w:r>
          </w:p>
        </w:tc>
        <w:tc>
          <w:tcPr>
            <w:tcW w:w="1000" w:type="dxa"/>
          </w:tcPr>
          <w:p>
            <w:pPr>
              <w:pStyle w:val="12"/>
              <w:ind w:left="108"/>
              <w:jc w:val="center"/>
              <w:rPr>
                <w:rFonts w:eastAsia="宋体"/>
                <w:b/>
                <w:sz w:val="21"/>
                <w:szCs w:val="21"/>
              </w:rPr>
            </w:pPr>
            <w:r>
              <w:rPr>
                <w:rFonts w:eastAsia="宋体"/>
                <w:b/>
                <w:spacing w:val="-5"/>
                <w:sz w:val="21"/>
                <w:szCs w:val="21"/>
              </w:rPr>
              <w:t>SBP</w:t>
            </w:r>
          </w:p>
        </w:tc>
        <w:tc>
          <w:tcPr>
            <w:tcW w:w="973" w:type="dxa"/>
          </w:tcPr>
          <w:p>
            <w:pPr>
              <w:pStyle w:val="12"/>
              <w:ind w:left="109"/>
              <w:jc w:val="center"/>
              <w:rPr>
                <w:rFonts w:eastAsia="宋体"/>
                <w:b/>
                <w:sz w:val="21"/>
                <w:szCs w:val="21"/>
              </w:rPr>
            </w:pP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291" w:type="dxa"/>
          </w:tcPr>
          <w:p>
            <w:pPr>
              <w:pStyle w:val="12"/>
              <w:spacing w:before="26"/>
              <w:rPr>
                <w:rFonts w:eastAsia="宋体"/>
                <w:sz w:val="21"/>
                <w:szCs w:val="21"/>
                <w:lang w:eastAsia="zh-CN"/>
              </w:rPr>
            </w:pPr>
            <w:r>
              <w:rPr>
                <w:rFonts w:eastAsia="宋体"/>
                <w:b/>
                <w:sz w:val="21"/>
                <w:szCs w:val="21"/>
                <w:lang w:eastAsia="zh-CN"/>
              </w:rPr>
              <w:t>基于风险的方法的可用性</w:t>
            </w:r>
            <w:r>
              <w:rPr>
                <w:rFonts w:eastAsia="宋体"/>
                <w:spacing w:val="-5"/>
                <w:sz w:val="21"/>
                <w:szCs w:val="21"/>
                <w:lang w:eastAsia="zh-CN"/>
              </w:rPr>
              <w:t>(3)</w:t>
            </w:r>
          </w:p>
        </w:tc>
        <w:tc>
          <w:tcPr>
            <w:tcW w:w="914" w:type="dxa"/>
          </w:tcPr>
          <w:p>
            <w:pPr>
              <w:pStyle w:val="12"/>
              <w:ind w:left="115"/>
              <w:jc w:val="center"/>
              <w:rPr>
                <w:rFonts w:eastAsia="宋体"/>
                <w:b/>
                <w:sz w:val="21"/>
                <w:szCs w:val="21"/>
                <w:lang w:eastAsia="zh-CN"/>
              </w:rPr>
            </w:pPr>
            <w:r>
              <w:rPr>
                <w:rFonts w:eastAsia="宋体"/>
                <w:b/>
                <w:spacing w:val="-4"/>
                <w:sz w:val="21"/>
                <w:szCs w:val="21"/>
                <w:lang w:eastAsia="zh-CN"/>
              </w:rPr>
              <w:t>不适用</w:t>
            </w:r>
          </w:p>
        </w:tc>
        <w:tc>
          <w:tcPr>
            <w:tcW w:w="1000" w:type="dxa"/>
          </w:tcPr>
          <w:p>
            <w:pPr>
              <w:pStyle w:val="12"/>
              <w:ind w:left="108"/>
              <w:jc w:val="center"/>
              <w:rPr>
                <w:rFonts w:eastAsia="宋体"/>
                <w:b/>
                <w:sz w:val="21"/>
                <w:szCs w:val="21"/>
              </w:rPr>
            </w:pPr>
            <w:r>
              <w:rPr>
                <w:rFonts w:eastAsia="宋体"/>
                <w:b/>
                <w:w w:val="99"/>
                <w:sz w:val="21"/>
                <w:szCs w:val="21"/>
              </w:rPr>
              <w:t>1</w:t>
            </w:r>
          </w:p>
        </w:tc>
        <w:tc>
          <w:tcPr>
            <w:tcW w:w="973" w:type="dxa"/>
          </w:tcPr>
          <w:p>
            <w:pPr>
              <w:pStyle w:val="12"/>
              <w:ind w:left="109"/>
              <w:jc w:val="center"/>
              <w:rPr>
                <w:rFonts w:eastAsia="宋体"/>
                <w:b/>
                <w:sz w:val="21"/>
                <w:szCs w:val="21"/>
              </w:rPr>
            </w:pPr>
            <w:r>
              <w:rPr>
                <w:rFonts w:eastAsia="宋体"/>
                <w:b/>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291" w:type="dxa"/>
            <w:tcBorders>
              <w:bottom w:val="dashSmallGap" w:color="000000" w:sz="4" w:space="0"/>
            </w:tcBorders>
          </w:tcPr>
          <w:p>
            <w:pPr>
              <w:pStyle w:val="12"/>
              <w:rPr>
                <w:rFonts w:eastAsia="宋体"/>
                <w:b/>
                <w:sz w:val="21"/>
                <w:szCs w:val="21"/>
              </w:rPr>
            </w:pPr>
            <w:r>
              <w:rPr>
                <w:rFonts w:eastAsia="宋体"/>
                <w:b/>
                <w:sz w:val="21"/>
                <w:szCs w:val="21"/>
              </w:rPr>
              <w:t>风险因素</w:t>
            </w:r>
          </w:p>
        </w:tc>
        <w:tc>
          <w:tcPr>
            <w:tcW w:w="914" w:type="dxa"/>
            <w:tcBorders>
              <w:bottom w:val="dashSmallGap" w:color="000000" w:sz="4" w:space="0"/>
            </w:tcBorders>
          </w:tcPr>
          <w:p>
            <w:pPr>
              <w:pStyle w:val="12"/>
              <w:ind w:left="115"/>
              <w:jc w:val="center"/>
              <w:rPr>
                <w:rFonts w:eastAsia="宋体"/>
                <w:b/>
                <w:sz w:val="21"/>
                <w:szCs w:val="21"/>
                <w:lang w:eastAsia="zh-CN"/>
              </w:rPr>
            </w:pPr>
            <w:r>
              <w:rPr>
                <w:rFonts w:eastAsia="宋体"/>
                <w:b/>
                <w:spacing w:val="-4"/>
                <w:sz w:val="21"/>
                <w:szCs w:val="21"/>
                <w:lang w:eastAsia="zh-CN"/>
              </w:rPr>
              <w:t>不适用</w:t>
            </w:r>
          </w:p>
        </w:tc>
        <w:tc>
          <w:tcPr>
            <w:tcW w:w="1000" w:type="dxa"/>
            <w:tcBorders>
              <w:bottom w:val="dashSmallGap" w:color="000000" w:sz="4" w:space="0"/>
            </w:tcBorders>
          </w:tcPr>
          <w:p>
            <w:pPr>
              <w:pStyle w:val="12"/>
              <w:ind w:left="108"/>
              <w:jc w:val="center"/>
              <w:rPr>
                <w:rFonts w:eastAsia="宋体"/>
                <w:b/>
                <w:sz w:val="21"/>
                <w:szCs w:val="21"/>
              </w:rPr>
            </w:pPr>
            <w:r>
              <w:rPr>
                <w:rFonts w:eastAsia="宋体"/>
                <w:b/>
                <w:w w:val="99"/>
                <w:sz w:val="21"/>
                <w:szCs w:val="21"/>
              </w:rPr>
              <w:t>1</w:t>
            </w:r>
          </w:p>
        </w:tc>
        <w:tc>
          <w:tcPr>
            <w:tcW w:w="973" w:type="dxa"/>
            <w:tcBorders>
              <w:bottom w:val="dashSmallGap" w:color="000000" w:sz="4" w:space="0"/>
            </w:tcBorders>
          </w:tcPr>
          <w:p>
            <w:pPr>
              <w:pStyle w:val="12"/>
              <w:ind w:left="109"/>
              <w:jc w:val="center"/>
              <w:rPr>
                <w:rFonts w:eastAsia="宋体"/>
                <w:b/>
                <w:sz w:val="21"/>
                <w:szCs w:val="21"/>
              </w:rPr>
            </w:pPr>
            <w:r>
              <w:rPr>
                <w:rFonts w:eastAsia="宋体"/>
                <w:b/>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291" w:type="dxa"/>
            <w:tcBorders>
              <w:top w:val="dashSmallGap" w:color="000000" w:sz="4" w:space="0"/>
              <w:left w:val="dashSmallGap" w:color="000000" w:sz="4" w:space="0"/>
              <w:bottom w:val="dashSmallGap" w:color="000000" w:sz="4" w:space="0"/>
              <w:right w:val="dashSmallGap" w:color="000000" w:sz="4" w:space="0"/>
            </w:tcBorders>
          </w:tcPr>
          <w:p>
            <w:pPr>
              <w:pStyle w:val="12"/>
              <w:rPr>
                <w:rFonts w:eastAsia="宋体"/>
                <w:sz w:val="21"/>
                <w:szCs w:val="21"/>
              </w:rPr>
            </w:pPr>
            <w:r>
              <w:rPr>
                <w:rFonts w:eastAsia="宋体"/>
                <w:sz w:val="21"/>
                <w:szCs w:val="21"/>
              </w:rPr>
              <w:t>风险因素(客户认同)(4a)</w:t>
            </w:r>
          </w:p>
        </w:tc>
        <w:tc>
          <w:tcPr>
            <w:tcW w:w="914" w:type="dxa"/>
            <w:tcBorders>
              <w:top w:val="dashSmallGap" w:color="000000" w:sz="4" w:space="0"/>
              <w:left w:val="dashSmallGap" w:color="000000" w:sz="4" w:space="0"/>
              <w:bottom w:val="dashSmallGap" w:color="000000" w:sz="4" w:space="0"/>
              <w:right w:val="dashSmallGap" w:color="000000" w:sz="4" w:space="0"/>
            </w:tcBorders>
          </w:tcPr>
          <w:p>
            <w:pPr>
              <w:pStyle w:val="12"/>
              <w:ind w:left="115"/>
              <w:jc w:val="center"/>
              <w:rPr>
                <w:rFonts w:eastAsia="宋体"/>
                <w:sz w:val="21"/>
                <w:szCs w:val="21"/>
                <w:lang w:eastAsia="zh-CN"/>
              </w:rPr>
            </w:pPr>
            <w:r>
              <w:rPr>
                <w:rFonts w:eastAsia="宋体"/>
                <w:spacing w:val="-4"/>
                <w:sz w:val="21"/>
                <w:szCs w:val="21"/>
                <w:lang w:eastAsia="zh-CN"/>
              </w:rPr>
              <w:t>不适用</w:t>
            </w:r>
          </w:p>
        </w:tc>
        <w:tc>
          <w:tcPr>
            <w:tcW w:w="1000" w:type="dxa"/>
            <w:tcBorders>
              <w:top w:val="dashSmallGap" w:color="000000" w:sz="4" w:space="0"/>
              <w:left w:val="dashSmallGap" w:color="000000" w:sz="4" w:space="0"/>
              <w:bottom w:val="dashSmallGap" w:color="000000" w:sz="4" w:space="0"/>
              <w:right w:val="dashSmallGap" w:color="000000" w:sz="4" w:space="0"/>
            </w:tcBorders>
          </w:tcPr>
          <w:p>
            <w:pPr>
              <w:pStyle w:val="12"/>
              <w:ind w:left="108"/>
              <w:jc w:val="center"/>
              <w:rPr>
                <w:rFonts w:eastAsia="宋体"/>
                <w:sz w:val="21"/>
                <w:szCs w:val="21"/>
              </w:rPr>
            </w:pPr>
            <w:r>
              <w:rPr>
                <w:rFonts w:eastAsia="宋体"/>
                <w:spacing w:val="-4"/>
                <w:sz w:val="21"/>
                <w:szCs w:val="21"/>
              </w:rPr>
              <w:t>0.25</w:t>
            </w:r>
          </w:p>
        </w:tc>
        <w:tc>
          <w:tcPr>
            <w:tcW w:w="973" w:type="dxa"/>
            <w:tcBorders>
              <w:top w:val="dashSmallGap" w:color="000000" w:sz="4" w:space="0"/>
              <w:left w:val="dashSmallGap" w:color="000000" w:sz="4" w:space="0"/>
              <w:bottom w:val="dashSmallGap" w:color="000000" w:sz="4" w:space="0"/>
              <w:right w:val="dashSmallGap" w:color="000000" w:sz="4" w:space="0"/>
            </w:tcBorders>
          </w:tcPr>
          <w:p>
            <w:pPr>
              <w:pStyle w:val="12"/>
              <w:ind w:left="109"/>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9" w:hRule="atLeast"/>
        </w:trPr>
        <w:tc>
          <w:tcPr>
            <w:tcW w:w="6291" w:type="dxa"/>
            <w:tcBorders>
              <w:top w:val="dashSmallGap" w:color="000000" w:sz="4" w:space="0"/>
              <w:left w:val="dashSmallGap" w:color="000000" w:sz="4" w:space="0"/>
              <w:bottom w:val="dashSmallGap" w:color="000000" w:sz="4" w:space="0"/>
              <w:right w:val="dashSmallGap" w:color="000000" w:sz="4" w:space="0"/>
            </w:tcBorders>
            <w:vAlign w:val="center"/>
          </w:tcPr>
          <w:p>
            <w:pPr>
              <w:pStyle w:val="12"/>
              <w:numPr>
                <w:ilvl w:val="0"/>
                <w:numId w:val="3"/>
              </w:numPr>
              <w:tabs>
                <w:tab w:val="left" w:pos="379"/>
              </w:tabs>
              <w:jc w:val="both"/>
              <w:rPr>
                <w:rFonts w:eastAsia="宋体"/>
                <w:sz w:val="21"/>
                <w:szCs w:val="21"/>
              </w:rPr>
            </w:pPr>
            <w:r>
              <w:rPr>
                <w:rFonts w:eastAsia="宋体"/>
                <w:sz w:val="21"/>
                <w:szCs w:val="21"/>
              </w:rPr>
              <w:t>客户风险因素(受益所有人)(5a)</w:t>
            </w:r>
          </w:p>
          <w:p>
            <w:pPr>
              <w:pStyle w:val="12"/>
              <w:numPr>
                <w:ilvl w:val="0"/>
                <w:numId w:val="3"/>
              </w:numPr>
              <w:tabs>
                <w:tab w:val="left" w:pos="379"/>
              </w:tabs>
              <w:jc w:val="both"/>
              <w:rPr>
                <w:rFonts w:eastAsia="宋体"/>
                <w:sz w:val="21"/>
                <w:szCs w:val="21"/>
                <w:lang w:eastAsia="zh-CN"/>
              </w:rPr>
            </w:pPr>
            <w:r>
              <w:rPr>
                <w:rFonts w:eastAsia="宋体"/>
                <w:sz w:val="21"/>
                <w:szCs w:val="21"/>
                <w:lang w:eastAsia="zh-CN"/>
              </w:rPr>
              <w:t>客户风险因素(所有权结构)(5b)</w:t>
            </w:r>
          </w:p>
          <w:p>
            <w:pPr>
              <w:pStyle w:val="12"/>
              <w:numPr>
                <w:ilvl w:val="0"/>
                <w:numId w:val="3"/>
              </w:numPr>
              <w:tabs>
                <w:tab w:val="left" w:pos="379"/>
              </w:tabs>
              <w:jc w:val="both"/>
              <w:rPr>
                <w:rFonts w:eastAsia="宋体"/>
                <w:sz w:val="21"/>
                <w:szCs w:val="21"/>
                <w:lang w:eastAsia="zh-CN"/>
              </w:rPr>
            </w:pPr>
            <w:r>
              <w:rPr>
                <w:rFonts w:eastAsia="宋体"/>
                <w:sz w:val="21"/>
                <w:szCs w:val="21"/>
                <w:lang w:eastAsia="zh-CN"/>
              </w:rPr>
              <w:t>客户风险因素(参与国际结构)(5c)</w:t>
            </w:r>
          </w:p>
          <w:p>
            <w:pPr>
              <w:pStyle w:val="12"/>
              <w:numPr>
                <w:ilvl w:val="0"/>
                <w:numId w:val="3"/>
              </w:numPr>
              <w:tabs>
                <w:tab w:val="left" w:pos="379"/>
              </w:tabs>
              <w:jc w:val="both"/>
              <w:rPr>
                <w:rFonts w:eastAsia="宋体"/>
                <w:sz w:val="21"/>
                <w:szCs w:val="21"/>
                <w:lang w:eastAsia="zh-CN"/>
              </w:rPr>
            </w:pPr>
            <w:r>
              <w:rPr>
                <w:rFonts w:eastAsia="宋体"/>
                <w:sz w:val="21"/>
                <w:szCs w:val="21"/>
                <w:lang w:eastAsia="zh-CN"/>
              </w:rPr>
              <w:t>客户风险因素(个人资产持有工具/载体)(5d)</w:t>
            </w:r>
          </w:p>
          <w:p>
            <w:pPr>
              <w:pStyle w:val="12"/>
              <w:numPr>
                <w:ilvl w:val="0"/>
                <w:numId w:val="3"/>
              </w:numPr>
              <w:tabs>
                <w:tab w:val="left" w:pos="379"/>
              </w:tabs>
              <w:spacing w:before="2"/>
              <w:ind w:right="213"/>
              <w:jc w:val="both"/>
              <w:rPr>
                <w:rFonts w:eastAsia="宋体"/>
                <w:sz w:val="21"/>
                <w:szCs w:val="21"/>
                <w:lang w:eastAsia="zh-CN"/>
              </w:rPr>
            </w:pPr>
            <w:r>
              <w:rPr>
                <w:rFonts w:eastAsia="宋体"/>
                <w:sz w:val="21"/>
                <w:szCs w:val="21"/>
                <w:lang w:eastAsia="zh-CN"/>
              </w:rPr>
              <w:t>客户风险因素(代名股东或无记名股票)(5e)</w:t>
            </w:r>
          </w:p>
          <w:p>
            <w:pPr>
              <w:pStyle w:val="12"/>
              <w:numPr>
                <w:ilvl w:val="0"/>
                <w:numId w:val="3"/>
              </w:numPr>
              <w:tabs>
                <w:tab w:val="left" w:pos="379"/>
              </w:tabs>
              <w:spacing w:before="6"/>
              <w:ind w:right="645"/>
              <w:jc w:val="both"/>
              <w:rPr>
                <w:rFonts w:eastAsia="宋体"/>
                <w:sz w:val="21"/>
                <w:szCs w:val="21"/>
                <w:lang w:eastAsia="zh-CN"/>
              </w:rPr>
            </w:pPr>
            <w:r>
              <w:rPr>
                <w:rFonts w:eastAsia="宋体"/>
                <w:sz w:val="21"/>
                <w:szCs w:val="21"/>
                <w:lang w:eastAsia="zh-CN"/>
              </w:rPr>
              <w:t>客户风险因素(在异常情况下开展的业务关系)(5f)</w:t>
            </w:r>
          </w:p>
          <w:p>
            <w:pPr>
              <w:pStyle w:val="12"/>
              <w:numPr>
                <w:ilvl w:val="0"/>
                <w:numId w:val="3"/>
              </w:numPr>
              <w:tabs>
                <w:tab w:val="left" w:pos="379"/>
              </w:tabs>
              <w:jc w:val="both"/>
              <w:rPr>
                <w:rFonts w:eastAsia="宋体"/>
                <w:sz w:val="21"/>
                <w:szCs w:val="21"/>
                <w:lang w:eastAsia="zh-CN"/>
              </w:rPr>
            </w:pPr>
            <w:r>
              <w:rPr>
                <w:rFonts w:eastAsia="宋体"/>
                <w:sz w:val="21"/>
                <w:szCs w:val="21"/>
                <w:lang w:eastAsia="zh-CN"/>
              </w:rPr>
              <w:t>客户风险因素(现金密集型)(5g)</w:t>
            </w:r>
          </w:p>
          <w:p>
            <w:pPr>
              <w:pStyle w:val="12"/>
              <w:numPr>
                <w:ilvl w:val="0"/>
                <w:numId w:val="3"/>
              </w:numPr>
              <w:tabs>
                <w:tab w:val="left" w:pos="379"/>
              </w:tabs>
              <w:ind w:left="107" w:right="280" w:firstLine="91"/>
              <w:jc w:val="both"/>
              <w:rPr>
                <w:rFonts w:eastAsia="宋体"/>
                <w:i/>
                <w:sz w:val="21"/>
                <w:szCs w:val="21"/>
                <w:lang w:eastAsia="zh-CN"/>
              </w:rPr>
            </w:pPr>
            <w:r>
              <w:rPr>
                <w:rFonts w:eastAsia="宋体"/>
                <w:sz w:val="21"/>
                <w:szCs w:val="21"/>
                <w:lang w:eastAsia="zh-CN"/>
              </w:rPr>
              <w:t>客户风险因素(位于高风险地理位置)(5h)</w:t>
            </w:r>
          </w:p>
          <w:p>
            <w:pPr>
              <w:pStyle w:val="12"/>
              <w:numPr>
                <w:ilvl w:val="0"/>
                <w:numId w:val="3"/>
              </w:numPr>
              <w:tabs>
                <w:tab w:val="left" w:pos="379"/>
              </w:tabs>
              <w:ind w:left="107" w:right="280" w:firstLine="91"/>
              <w:jc w:val="both"/>
              <w:rPr>
                <w:rFonts w:eastAsia="宋体"/>
                <w:i/>
                <w:sz w:val="21"/>
                <w:szCs w:val="21"/>
                <w:lang w:eastAsia="zh-CN"/>
              </w:rPr>
            </w:pPr>
            <w:r>
              <w:rPr>
                <w:rFonts w:eastAsia="宋体"/>
                <w:i/>
                <w:sz w:val="21"/>
                <w:szCs w:val="21"/>
                <w:lang w:eastAsia="zh-CN"/>
              </w:rPr>
              <w:t>如果考虑到有助于定义客户风险因素的已识别风险因素的一半以上，则授予0.25</w:t>
            </w:r>
            <w:r>
              <w:rPr>
                <w:rFonts w:eastAsia="宋体"/>
                <w:spacing w:val="-5"/>
                <w:sz w:val="21"/>
                <w:szCs w:val="21"/>
                <w:lang w:eastAsia="zh-CN"/>
              </w:rPr>
              <w:t>分。</w:t>
            </w:r>
          </w:p>
        </w:tc>
        <w:tc>
          <w:tcPr>
            <w:tcW w:w="914" w:type="dxa"/>
            <w:tcBorders>
              <w:top w:val="dashSmallGap" w:color="000000" w:sz="4" w:space="0"/>
              <w:left w:val="dashSmallGap" w:color="000000" w:sz="4" w:space="0"/>
              <w:bottom w:val="dashSmallGap" w:color="000000" w:sz="4" w:space="0"/>
              <w:right w:val="dashSmallGap" w:color="000000" w:sz="4" w:space="0"/>
            </w:tcBorders>
          </w:tcPr>
          <w:p>
            <w:pPr>
              <w:pStyle w:val="12"/>
              <w:ind w:left="115"/>
              <w:jc w:val="center"/>
              <w:rPr>
                <w:rFonts w:eastAsia="宋体"/>
                <w:sz w:val="21"/>
                <w:szCs w:val="21"/>
                <w:lang w:eastAsia="zh-CN"/>
              </w:rPr>
            </w:pPr>
            <w:r>
              <w:rPr>
                <w:rFonts w:eastAsia="宋体"/>
                <w:spacing w:val="-4"/>
                <w:sz w:val="21"/>
                <w:szCs w:val="21"/>
                <w:lang w:eastAsia="zh-CN"/>
              </w:rPr>
              <w:t>不适用</w:t>
            </w:r>
          </w:p>
        </w:tc>
        <w:tc>
          <w:tcPr>
            <w:tcW w:w="1000" w:type="dxa"/>
            <w:tcBorders>
              <w:top w:val="dashSmallGap" w:color="000000" w:sz="4" w:space="0"/>
              <w:left w:val="dashSmallGap" w:color="000000" w:sz="4" w:space="0"/>
              <w:bottom w:val="dashSmallGap" w:color="000000" w:sz="4" w:space="0"/>
              <w:right w:val="dashSmallGap" w:color="000000" w:sz="4" w:space="0"/>
            </w:tcBorders>
          </w:tcPr>
          <w:p>
            <w:pPr>
              <w:pStyle w:val="12"/>
              <w:ind w:left="108"/>
              <w:jc w:val="center"/>
              <w:rPr>
                <w:rFonts w:eastAsia="宋体"/>
                <w:sz w:val="21"/>
                <w:szCs w:val="21"/>
              </w:rPr>
            </w:pPr>
            <w:r>
              <w:rPr>
                <w:rFonts w:eastAsia="宋体"/>
                <w:spacing w:val="-4"/>
                <w:sz w:val="21"/>
                <w:szCs w:val="21"/>
              </w:rPr>
              <w:t>0.25</w:t>
            </w:r>
          </w:p>
        </w:tc>
        <w:tc>
          <w:tcPr>
            <w:tcW w:w="973" w:type="dxa"/>
            <w:tcBorders>
              <w:top w:val="dashSmallGap" w:color="000000" w:sz="4" w:space="0"/>
              <w:left w:val="dashSmallGap" w:color="000000" w:sz="4" w:space="0"/>
              <w:bottom w:val="dashSmallGap" w:color="000000" w:sz="4" w:space="0"/>
              <w:right w:val="dashSmallGap" w:color="000000" w:sz="4" w:space="0"/>
            </w:tcBorders>
          </w:tcPr>
          <w:p>
            <w:pPr>
              <w:pStyle w:val="12"/>
              <w:ind w:left="109"/>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6291" w:type="dxa"/>
            <w:tcBorders>
              <w:top w:val="dashSmallGap" w:color="000000" w:sz="4" w:space="0"/>
              <w:left w:val="dashSmallGap" w:color="000000" w:sz="4" w:space="0"/>
              <w:bottom w:val="dashSmallGap" w:color="000000" w:sz="4" w:space="0"/>
              <w:right w:val="dashSmallGap" w:color="000000" w:sz="4" w:space="0"/>
            </w:tcBorders>
            <w:vAlign w:val="center"/>
          </w:tcPr>
          <w:p>
            <w:pPr>
              <w:pStyle w:val="12"/>
              <w:jc w:val="both"/>
              <w:rPr>
                <w:rFonts w:eastAsia="宋体"/>
                <w:sz w:val="21"/>
                <w:szCs w:val="21"/>
                <w:lang w:eastAsia="zh-CN"/>
              </w:rPr>
            </w:pPr>
            <w:r>
              <w:rPr>
                <w:rFonts w:eastAsia="宋体"/>
                <w:sz w:val="21"/>
                <w:szCs w:val="21"/>
                <w:lang w:eastAsia="zh-CN"/>
              </w:rPr>
              <w:t>风险因素(产品、服务、地理、交付渠道)(4b)</w:t>
            </w:r>
          </w:p>
        </w:tc>
        <w:tc>
          <w:tcPr>
            <w:tcW w:w="914" w:type="dxa"/>
            <w:tcBorders>
              <w:top w:val="dashSmallGap" w:color="000000" w:sz="4" w:space="0"/>
              <w:left w:val="dashSmallGap" w:color="000000" w:sz="4" w:space="0"/>
              <w:bottom w:val="dashSmallGap" w:color="000000" w:sz="4" w:space="0"/>
              <w:right w:val="dashSmallGap" w:color="000000" w:sz="4" w:space="0"/>
            </w:tcBorders>
          </w:tcPr>
          <w:p>
            <w:pPr>
              <w:pStyle w:val="12"/>
              <w:ind w:left="115"/>
              <w:jc w:val="center"/>
              <w:rPr>
                <w:rFonts w:eastAsia="宋体"/>
                <w:sz w:val="21"/>
                <w:szCs w:val="21"/>
                <w:lang w:eastAsia="zh-CN"/>
              </w:rPr>
            </w:pPr>
            <w:r>
              <w:rPr>
                <w:rFonts w:eastAsia="宋体"/>
                <w:spacing w:val="-4"/>
                <w:sz w:val="21"/>
                <w:szCs w:val="21"/>
                <w:lang w:eastAsia="zh-CN"/>
              </w:rPr>
              <w:t>不适用</w:t>
            </w:r>
          </w:p>
        </w:tc>
        <w:tc>
          <w:tcPr>
            <w:tcW w:w="1000" w:type="dxa"/>
            <w:tcBorders>
              <w:top w:val="dashSmallGap" w:color="000000" w:sz="4" w:space="0"/>
              <w:left w:val="dashSmallGap" w:color="000000" w:sz="4" w:space="0"/>
              <w:bottom w:val="dashSmallGap" w:color="000000" w:sz="4" w:space="0"/>
              <w:right w:val="dashSmallGap" w:color="000000" w:sz="4" w:space="0"/>
            </w:tcBorders>
          </w:tcPr>
          <w:p>
            <w:pPr>
              <w:pStyle w:val="12"/>
              <w:ind w:left="108"/>
              <w:jc w:val="center"/>
              <w:rPr>
                <w:rFonts w:eastAsia="宋体"/>
                <w:sz w:val="21"/>
                <w:szCs w:val="21"/>
              </w:rPr>
            </w:pPr>
            <w:r>
              <w:rPr>
                <w:rFonts w:eastAsia="宋体"/>
                <w:spacing w:val="-4"/>
                <w:sz w:val="21"/>
                <w:szCs w:val="21"/>
              </w:rPr>
              <w:t>0.25</w:t>
            </w:r>
          </w:p>
        </w:tc>
        <w:tc>
          <w:tcPr>
            <w:tcW w:w="973" w:type="dxa"/>
            <w:tcBorders>
              <w:top w:val="dashSmallGap" w:color="000000" w:sz="4" w:space="0"/>
              <w:left w:val="dashSmallGap" w:color="000000" w:sz="4" w:space="0"/>
              <w:bottom w:val="dashSmallGap" w:color="000000" w:sz="4" w:space="0"/>
              <w:right w:val="dashSmallGap" w:color="000000" w:sz="4" w:space="0"/>
            </w:tcBorders>
          </w:tcPr>
          <w:p>
            <w:pPr>
              <w:pStyle w:val="12"/>
              <w:ind w:left="109"/>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9" w:hRule="atLeast"/>
        </w:trPr>
        <w:tc>
          <w:tcPr>
            <w:tcW w:w="6291" w:type="dxa"/>
            <w:tcBorders>
              <w:top w:val="dashSmallGap" w:color="000000" w:sz="4" w:space="0"/>
              <w:left w:val="dashSmallGap" w:color="000000" w:sz="4" w:space="0"/>
              <w:bottom w:val="dashSmallGap" w:color="000000" w:sz="4" w:space="0"/>
              <w:right w:val="dashSmallGap" w:color="000000" w:sz="4" w:space="0"/>
            </w:tcBorders>
            <w:vAlign w:val="center"/>
          </w:tcPr>
          <w:p>
            <w:pPr>
              <w:pStyle w:val="12"/>
              <w:numPr>
                <w:ilvl w:val="0"/>
                <w:numId w:val="4"/>
              </w:numPr>
              <w:tabs>
                <w:tab w:val="left" w:pos="379"/>
              </w:tabs>
              <w:ind w:left="379"/>
              <w:jc w:val="both"/>
              <w:rPr>
                <w:rFonts w:eastAsia="宋体"/>
                <w:sz w:val="21"/>
                <w:szCs w:val="21"/>
                <w:lang w:eastAsia="zh-CN"/>
              </w:rPr>
            </w:pPr>
            <w:r>
              <w:rPr>
                <w:rFonts w:eastAsia="宋体"/>
                <w:sz w:val="21"/>
                <w:szCs w:val="21"/>
                <w:lang w:eastAsia="zh-CN"/>
              </w:rPr>
              <w:t>产品风险因素(私人银行)(6a)</w:t>
            </w:r>
          </w:p>
          <w:p>
            <w:pPr>
              <w:pStyle w:val="12"/>
              <w:numPr>
                <w:ilvl w:val="0"/>
                <w:numId w:val="4"/>
              </w:numPr>
              <w:tabs>
                <w:tab w:val="left" w:pos="379"/>
              </w:tabs>
              <w:ind w:left="379"/>
              <w:jc w:val="both"/>
              <w:rPr>
                <w:rFonts w:eastAsia="宋体"/>
                <w:sz w:val="21"/>
                <w:szCs w:val="21"/>
                <w:lang w:eastAsia="zh-CN"/>
              </w:rPr>
            </w:pPr>
            <w:r>
              <w:rPr>
                <w:rFonts w:eastAsia="宋体"/>
                <w:sz w:val="21"/>
                <w:szCs w:val="21"/>
                <w:lang w:eastAsia="zh-CN"/>
              </w:rPr>
              <w:t>产品风险因素(匿名交易)(6b)</w:t>
            </w:r>
          </w:p>
          <w:p>
            <w:pPr>
              <w:pStyle w:val="12"/>
              <w:numPr>
                <w:ilvl w:val="0"/>
                <w:numId w:val="4"/>
              </w:numPr>
              <w:tabs>
                <w:tab w:val="left" w:pos="379"/>
              </w:tabs>
              <w:ind w:left="379"/>
              <w:jc w:val="both"/>
              <w:rPr>
                <w:rFonts w:eastAsia="宋体"/>
                <w:sz w:val="21"/>
                <w:szCs w:val="21"/>
                <w:lang w:eastAsia="zh-CN"/>
              </w:rPr>
            </w:pPr>
            <w:r>
              <w:rPr>
                <w:rFonts w:eastAsia="宋体"/>
                <w:sz w:val="21"/>
                <w:szCs w:val="21"/>
                <w:lang w:eastAsia="zh-CN"/>
              </w:rPr>
              <w:t>产品风险因素(非面对面关系和交易)(6c)</w:t>
            </w:r>
          </w:p>
          <w:p>
            <w:pPr>
              <w:pStyle w:val="12"/>
              <w:numPr>
                <w:ilvl w:val="0"/>
                <w:numId w:val="4"/>
              </w:numPr>
              <w:tabs>
                <w:tab w:val="left" w:pos="379"/>
              </w:tabs>
              <w:ind w:left="379"/>
              <w:jc w:val="both"/>
              <w:rPr>
                <w:rFonts w:eastAsia="宋体"/>
                <w:sz w:val="21"/>
                <w:szCs w:val="21"/>
                <w:lang w:eastAsia="zh-CN"/>
              </w:rPr>
            </w:pPr>
            <w:r>
              <w:rPr>
                <w:rFonts w:eastAsia="宋体"/>
                <w:sz w:val="21"/>
                <w:szCs w:val="21"/>
                <w:lang w:eastAsia="zh-CN"/>
              </w:rPr>
              <w:t>产品风险因素(来源不明的款项)(6d)</w:t>
            </w:r>
          </w:p>
          <w:p>
            <w:pPr>
              <w:pStyle w:val="12"/>
              <w:numPr>
                <w:ilvl w:val="0"/>
                <w:numId w:val="4"/>
              </w:numPr>
              <w:tabs>
                <w:tab w:val="left" w:pos="379"/>
              </w:tabs>
              <w:ind w:right="191" w:firstLine="0"/>
              <w:jc w:val="both"/>
              <w:rPr>
                <w:rFonts w:eastAsia="宋体"/>
                <w:i/>
                <w:sz w:val="21"/>
                <w:szCs w:val="21"/>
                <w:lang w:eastAsia="zh-CN"/>
              </w:rPr>
            </w:pPr>
            <w:r>
              <w:rPr>
                <w:rFonts w:eastAsia="宋体"/>
                <w:sz w:val="21"/>
                <w:szCs w:val="21"/>
                <w:lang w:eastAsia="zh-CN"/>
              </w:rPr>
              <w:t>产品风险因素(高风险地理位置的运营或操作)(6e)</w:t>
            </w:r>
          </w:p>
          <w:p>
            <w:pPr>
              <w:pStyle w:val="12"/>
              <w:numPr>
                <w:ilvl w:val="0"/>
                <w:numId w:val="4"/>
              </w:numPr>
              <w:tabs>
                <w:tab w:val="left" w:pos="379"/>
              </w:tabs>
              <w:ind w:right="191" w:firstLine="0"/>
              <w:jc w:val="both"/>
              <w:rPr>
                <w:rFonts w:eastAsia="宋体"/>
                <w:i/>
                <w:sz w:val="21"/>
                <w:szCs w:val="21"/>
                <w:lang w:eastAsia="zh-CN"/>
              </w:rPr>
            </w:pPr>
            <w:r>
              <w:rPr>
                <w:rFonts w:eastAsia="宋体"/>
                <w:i/>
                <w:sz w:val="21"/>
                <w:szCs w:val="21"/>
                <w:lang w:eastAsia="zh-CN"/>
              </w:rPr>
              <w:t>如果考虑</w:t>
            </w:r>
            <w:r>
              <w:rPr>
                <w:rFonts w:eastAsia="宋体"/>
                <w:i/>
                <w:spacing w:val="-2"/>
                <w:sz w:val="21"/>
                <w:szCs w:val="21"/>
                <w:lang w:eastAsia="zh-CN"/>
              </w:rPr>
              <w:t>到有助于定义产品/服务/交易风险的已识别要素的一半以上，则</w:t>
            </w:r>
            <w:r>
              <w:rPr>
                <w:rFonts w:eastAsia="宋体"/>
                <w:spacing w:val="-5"/>
                <w:sz w:val="21"/>
                <w:szCs w:val="21"/>
                <w:lang w:eastAsia="zh-CN"/>
              </w:rPr>
              <w:t>授予0.25</w:t>
            </w:r>
            <w:r>
              <w:rPr>
                <w:rFonts w:eastAsia="宋体"/>
                <w:i/>
                <w:spacing w:val="-2"/>
                <w:sz w:val="21"/>
                <w:szCs w:val="21"/>
                <w:lang w:eastAsia="zh-CN"/>
              </w:rPr>
              <w:t>分。</w:t>
            </w:r>
          </w:p>
        </w:tc>
        <w:tc>
          <w:tcPr>
            <w:tcW w:w="914" w:type="dxa"/>
            <w:tcBorders>
              <w:top w:val="dashSmallGap" w:color="000000" w:sz="4" w:space="0"/>
              <w:left w:val="dashSmallGap" w:color="000000" w:sz="4" w:space="0"/>
              <w:bottom w:val="dashSmallGap" w:color="000000" w:sz="4" w:space="0"/>
              <w:right w:val="dashSmallGap" w:color="000000" w:sz="4" w:space="0"/>
            </w:tcBorders>
          </w:tcPr>
          <w:p>
            <w:pPr>
              <w:pStyle w:val="12"/>
              <w:ind w:left="115"/>
              <w:jc w:val="center"/>
              <w:rPr>
                <w:rFonts w:eastAsia="宋体"/>
                <w:sz w:val="21"/>
                <w:szCs w:val="21"/>
                <w:lang w:eastAsia="zh-CN"/>
              </w:rPr>
            </w:pPr>
            <w:r>
              <w:rPr>
                <w:rFonts w:eastAsia="宋体"/>
                <w:spacing w:val="-4"/>
                <w:sz w:val="21"/>
                <w:szCs w:val="21"/>
                <w:lang w:eastAsia="zh-CN"/>
              </w:rPr>
              <w:t>不适用</w:t>
            </w:r>
          </w:p>
        </w:tc>
        <w:tc>
          <w:tcPr>
            <w:tcW w:w="1000" w:type="dxa"/>
            <w:tcBorders>
              <w:top w:val="dashSmallGap" w:color="000000" w:sz="4" w:space="0"/>
              <w:left w:val="dashSmallGap" w:color="000000" w:sz="4" w:space="0"/>
              <w:bottom w:val="dashSmallGap" w:color="000000" w:sz="4" w:space="0"/>
              <w:right w:val="dashSmallGap" w:color="000000" w:sz="4" w:space="0"/>
            </w:tcBorders>
          </w:tcPr>
          <w:p>
            <w:pPr>
              <w:pStyle w:val="12"/>
              <w:ind w:left="108"/>
              <w:jc w:val="center"/>
              <w:rPr>
                <w:rFonts w:eastAsia="宋体"/>
                <w:sz w:val="21"/>
                <w:szCs w:val="21"/>
              </w:rPr>
            </w:pPr>
            <w:r>
              <w:rPr>
                <w:rFonts w:eastAsia="宋体"/>
                <w:spacing w:val="-4"/>
                <w:sz w:val="21"/>
                <w:szCs w:val="21"/>
              </w:rPr>
              <w:t>0.25</w:t>
            </w:r>
          </w:p>
        </w:tc>
        <w:tc>
          <w:tcPr>
            <w:tcW w:w="973" w:type="dxa"/>
            <w:tcBorders>
              <w:top w:val="dashSmallGap" w:color="000000" w:sz="4" w:space="0"/>
              <w:left w:val="dashSmallGap" w:color="000000" w:sz="4" w:space="0"/>
              <w:bottom w:val="dashSmallGap" w:color="000000" w:sz="4" w:space="0"/>
              <w:right w:val="dashSmallGap" w:color="000000" w:sz="4" w:space="0"/>
            </w:tcBorders>
          </w:tcPr>
          <w:p>
            <w:pPr>
              <w:pStyle w:val="12"/>
              <w:ind w:left="109"/>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29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2"/>
              <w:spacing w:before="27"/>
              <w:rPr>
                <w:rFonts w:eastAsia="宋体"/>
                <w:b/>
                <w:sz w:val="21"/>
                <w:szCs w:val="21"/>
              </w:rPr>
            </w:pPr>
            <w:r>
              <w:rPr>
                <w:rFonts w:eastAsia="宋体"/>
                <w:b/>
                <w:sz w:val="21"/>
                <w:szCs w:val="21"/>
                <w:lang w:eastAsia="zh-CN"/>
              </w:rPr>
              <w:t>总</w:t>
            </w:r>
            <w:r>
              <w:rPr>
                <w:rFonts w:hint="eastAsia" w:eastAsia="宋体"/>
                <w:b/>
                <w:sz w:val="21"/>
                <w:szCs w:val="21"/>
                <w:lang w:eastAsia="zh-CN"/>
              </w:rPr>
              <w:t>计</w:t>
            </w:r>
          </w:p>
        </w:tc>
        <w:tc>
          <w:tcPr>
            <w:tcW w:w="914"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2"/>
              <w:spacing w:before="27"/>
              <w:ind w:left="115"/>
              <w:jc w:val="center"/>
              <w:rPr>
                <w:rFonts w:eastAsia="宋体"/>
                <w:b/>
                <w:sz w:val="21"/>
                <w:szCs w:val="21"/>
                <w:lang w:eastAsia="zh-CN"/>
              </w:rPr>
            </w:pPr>
            <w:r>
              <w:rPr>
                <w:rFonts w:eastAsia="宋体"/>
                <w:b/>
                <w:spacing w:val="-4"/>
                <w:sz w:val="21"/>
                <w:szCs w:val="21"/>
                <w:lang w:eastAsia="zh-CN"/>
              </w:rPr>
              <w:t>不适用</w:t>
            </w:r>
          </w:p>
        </w:tc>
        <w:tc>
          <w:tcPr>
            <w:tcW w:w="100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2"/>
              <w:spacing w:before="27"/>
              <w:ind w:left="108"/>
              <w:jc w:val="center"/>
              <w:rPr>
                <w:rFonts w:eastAsia="宋体"/>
                <w:b/>
                <w:sz w:val="21"/>
                <w:szCs w:val="21"/>
              </w:rPr>
            </w:pPr>
            <w:r>
              <w:rPr>
                <w:rFonts w:eastAsia="宋体"/>
                <w:b/>
                <w:w w:val="99"/>
                <w:sz w:val="21"/>
                <w:szCs w:val="21"/>
              </w:rPr>
              <w:t>2</w:t>
            </w:r>
          </w:p>
        </w:tc>
        <w:tc>
          <w:tcPr>
            <w:tcW w:w="973"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2"/>
              <w:spacing w:before="27"/>
              <w:ind w:left="109"/>
              <w:jc w:val="center"/>
              <w:rPr>
                <w:rFonts w:eastAsia="宋体"/>
                <w:b/>
                <w:sz w:val="21"/>
                <w:szCs w:val="21"/>
              </w:rPr>
            </w:pPr>
            <w:r>
              <w:rPr>
                <w:rFonts w:eastAsia="宋体"/>
                <w:b/>
                <w:w w:val="99"/>
                <w:sz w:val="21"/>
                <w:szCs w:val="21"/>
              </w:rPr>
              <w:t>2</w:t>
            </w:r>
          </w:p>
        </w:tc>
      </w:tr>
    </w:tbl>
    <w:p>
      <w:pPr>
        <w:rPr>
          <w:rFonts w:eastAsia="宋体"/>
          <w:sz w:val="21"/>
          <w:szCs w:val="21"/>
        </w:rPr>
        <w:sectPr>
          <w:pgSz w:w="12240" w:h="15840"/>
          <w:pgMar w:top="1500" w:right="1240" w:bottom="280" w:left="1240" w:header="720" w:footer="720" w:gutter="0"/>
          <w:cols w:space="720" w:num="1"/>
        </w:sectPr>
      </w:pPr>
    </w:p>
    <w:tbl>
      <w:tblPr>
        <w:tblStyle w:val="8"/>
        <w:tblW w:w="8533"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67"/>
        <w:gridCol w:w="912"/>
        <w:gridCol w:w="930"/>
        <w:gridCol w:w="8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8533" w:type="dxa"/>
            <w:gridSpan w:val="4"/>
            <w:shd w:val="clear" w:color="auto" w:fill="E7EBF5"/>
          </w:tcPr>
          <w:p>
            <w:pPr>
              <w:pStyle w:val="12"/>
              <w:spacing w:before="101"/>
              <w:ind w:left="467"/>
              <w:rPr>
                <w:rFonts w:eastAsia="宋体"/>
                <w:b/>
                <w:sz w:val="21"/>
                <w:szCs w:val="21"/>
                <w:lang w:eastAsia="zh-CN"/>
              </w:rPr>
            </w:pPr>
            <w:r>
              <w:rPr>
                <w:rFonts w:eastAsia="宋体"/>
                <w:b/>
                <w:sz w:val="21"/>
                <w:szCs w:val="21"/>
                <w:lang w:eastAsia="zh-CN"/>
              </w:rPr>
              <w:t>1.1.3增强和简化CDD措施的可用性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867" w:type="dxa"/>
          </w:tcPr>
          <w:p>
            <w:pPr>
              <w:pStyle w:val="12"/>
              <w:spacing w:before="26"/>
              <w:rPr>
                <w:rFonts w:eastAsia="宋体"/>
                <w:b/>
                <w:sz w:val="21"/>
                <w:szCs w:val="21"/>
              </w:rPr>
            </w:pPr>
            <w:r>
              <w:rPr>
                <w:rFonts w:eastAsia="宋体"/>
                <w:b/>
                <w:spacing w:val="-2"/>
                <w:sz w:val="21"/>
                <w:szCs w:val="21"/>
              </w:rPr>
              <w:t>指标</w:t>
            </w:r>
          </w:p>
        </w:tc>
        <w:tc>
          <w:tcPr>
            <w:tcW w:w="912" w:type="dxa"/>
          </w:tcPr>
          <w:p>
            <w:pPr>
              <w:pStyle w:val="12"/>
              <w:jc w:val="center"/>
              <w:rPr>
                <w:rFonts w:eastAsia="宋体"/>
                <w:b/>
                <w:sz w:val="21"/>
                <w:szCs w:val="21"/>
              </w:rPr>
            </w:pPr>
            <w:r>
              <w:rPr>
                <w:rFonts w:eastAsia="宋体"/>
                <w:b/>
                <w:spacing w:val="-5"/>
                <w:sz w:val="21"/>
                <w:szCs w:val="21"/>
              </w:rPr>
              <w:t>FFP</w:t>
            </w:r>
          </w:p>
        </w:tc>
        <w:tc>
          <w:tcPr>
            <w:tcW w:w="930" w:type="dxa"/>
          </w:tcPr>
          <w:p>
            <w:pPr>
              <w:pStyle w:val="12"/>
              <w:ind w:left="106"/>
              <w:jc w:val="center"/>
              <w:rPr>
                <w:rFonts w:eastAsia="宋体"/>
                <w:b/>
                <w:sz w:val="21"/>
                <w:szCs w:val="21"/>
              </w:rPr>
            </w:pPr>
            <w:r>
              <w:rPr>
                <w:rFonts w:eastAsia="宋体"/>
                <w:b/>
                <w:spacing w:val="-5"/>
                <w:sz w:val="21"/>
                <w:szCs w:val="21"/>
              </w:rPr>
              <w:t>SBP</w:t>
            </w:r>
          </w:p>
        </w:tc>
        <w:tc>
          <w:tcPr>
            <w:tcW w:w="824" w:type="dxa"/>
          </w:tcPr>
          <w:p>
            <w:pPr>
              <w:pStyle w:val="12"/>
              <w:ind w:left="105"/>
              <w:jc w:val="center"/>
              <w:rPr>
                <w:rFonts w:eastAsia="宋体"/>
                <w:b/>
                <w:sz w:val="21"/>
                <w:szCs w:val="21"/>
              </w:rPr>
            </w:pP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867" w:type="dxa"/>
            <w:tcBorders>
              <w:bottom w:val="nil"/>
            </w:tcBorders>
          </w:tcPr>
          <w:p>
            <w:pPr>
              <w:pStyle w:val="12"/>
              <w:rPr>
                <w:rFonts w:eastAsia="宋体"/>
                <w:b/>
                <w:sz w:val="21"/>
                <w:szCs w:val="21"/>
              </w:rPr>
            </w:pPr>
            <w:r>
              <w:rPr>
                <w:rFonts w:eastAsia="宋体"/>
                <w:b/>
                <w:sz w:val="21"/>
                <w:szCs w:val="21"/>
              </w:rPr>
              <w:t>简化CDD</w:t>
            </w:r>
          </w:p>
        </w:tc>
        <w:tc>
          <w:tcPr>
            <w:tcW w:w="912" w:type="dxa"/>
            <w:tcBorders>
              <w:bottom w:val="nil"/>
            </w:tcBorders>
          </w:tcPr>
          <w:p>
            <w:pPr>
              <w:pStyle w:val="12"/>
              <w:jc w:val="center"/>
              <w:rPr>
                <w:rFonts w:eastAsia="宋体"/>
                <w:b/>
                <w:sz w:val="21"/>
                <w:szCs w:val="21"/>
              </w:rPr>
            </w:pPr>
            <w:r>
              <w:rPr>
                <w:rFonts w:eastAsia="宋体"/>
                <w:b/>
                <w:w w:val="99"/>
                <w:sz w:val="21"/>
                <w:szCs w:val="21"/>
              </w:rPr>
              <w:t>1</w:t>
            </w:r>
          </w:p>
        </w:tc>
        <w:tc>
          <w:tcPr>
            <w:tcW w:w="930" w:type="dxa"/>
            <w:tcBorders>
              <w:bottom w:val="nil"/>
            </w:tcBorders>
          </w:tcPr>
          <w:p>
            <w:pPr>
              <w:pStyle w:val="12"/>
              <w:ind w:left="106"/>
              <w:jc w:val="center"/>
              <w:rPr>
                <w:rFonts w:eastAsia="宋体"/>
                <w:b/>
                <w:sz w:val="21"/>
                <w:szCs w:val="21"/>
              </w:rPr>
            </w:pPr>
            <w:r>
              <w:rPr>
                <w:rFonts w:eastAsia="宋体"/>
                <w:b/>
                <w:w w:val="99"/>
                <w:sz w:val="21"/>
                <w:szCs w:val="21"/>
              </w:rPr>
              <w:t>1</w:t>
            </w:r>
          </w:p>
        </w:tc>
        <w:tc>
          <w:tcPr>
            <w:tcW w:w="824" w:type="dxa"/>
            <w:tcBorders>
              <w:bottom w:val="nil"/>
            </w:tcBorders>
          </w:tcPr>
          <w:p>
            <w:pPr>
              <w:pStyle w:val="12"/>
              <w:ind w:left="105"/>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867" w:type="dxa"/>
            <w:tcBorders>
              <w:top w:val="nil"/>
              <w:bottom w:val="nil"/>
            </w:tcBorders>
          </w:tcPr>
          <w:p>
            <w:pPr>
              <w:pStyle w:val="12"/>
              <w:ind w:left="199"/>
              <w:rPr>
                <w:rFonts w:eastAsia="宋体"/>
                <w:sz w:val="21"/>
                <w:szCs w:val="21"/>
                <w:lang w:eastAsia="zh-CN"/>
              </w:rPr>
            </w:pPr>
            <w:r>
              <w:rPr>
                <w:rFonts w:eastAsia="宋体"/>
                <w:sz w:val="21"/>
                <w:szCs w:val="21"/>
                <w:lang w:eastAsia="zh-CN"/>
              </w:rPr>
              <w:t>针对低风险的简化AML/CFT 的客户尽职调查(7)</w:t>
            </w:r>
          </w:p>
        </w:tc>
        <w:tc>
          <w:tcPr>
            <w:tcW w:w="912" w:type="dxa"/>
            <w:tcBorders>
              <w:top w:val="nil"/>
              <w:bottom w:val="nil"/>
            </w:tcBorders>
          </w:tcPr>
          <w:p>
            <w:pPr>
              <w:pStyle w:val="12"/>
              <w:jc w:val="center"/>
              <w:rPr>
                <w:rFonts w:eastAsia="宋体"/>
                <w:sz w:val="21"/>
                <w:szCs w:val="21"/>
              </w:rPr>
            </w:pPr>
            <w:r>
              <w:rPr>
                <w:rFonts w:eastAsia="宋体"/>
                <w:spacing w:val="-5"/>
                <w:sz w:val="21"/>
                <w:szCs w:val="21"/>
              </w:rPr>
              <w:t>0.5</w:t>
            </w:r>
          </w:p>
        </w:tc>
        <w:tc>
          <w:tcPr>
            <w:tcW w:w="930" w:type="dxa"/>
            <w:tcBorders>
              <w:top w:val="nil"/>
              <w:bottom w:val="nil"/>
            </w:tcBorders>
          </w:tcPr>
          <w:p>
            <w:pPr>
              <w:pStyle w:val="12"/>
              <w:ind w:left="106"/>
              <w:jc w:val="center"/>
              <w:rPr>
                <w:rFonts w:eastAsia="宋体"/>
                <w:sz w:val="21"/>
                <w:szCs w:val="21"/>
              </w:rPr>
            </w:pPr>
            <w:r>
              <w:rPr>
                <w:rFonts w:eastAsia="宋体"/>
                <w:spacing w:val="-5"/>
                <w:sz w:val="21"/>
                <w:szCs w:val="21"/>
              </w:rPr>
              <w:t>0.5</w:t>
            </w:r>
          </w:p>
        </w:tc>
        <w:tc>
          <w:tcPr>
            <w:tcW w:w="824" w:type="dxa"/>
            <w:tcBorders>
              <w:top w:val="nil"/>
              <w:bottom w:val="nil"/>
            </w:tcBorders>
          </w:tcPr>
          <w:p>
            <w:pPr>
              <w:pStyle w:val="12"/>
              <w:ind w:left="105"/>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867" w:type="dxa"/>
            <w:tcBorders>
              <w:top w:val="nil"/>
            </w:tcBorders>
          </w:tcPr>
          <w:p>
            <w:pPr>
              <w:pStyle w:val="12"/>
              <w:ind w:left="199"/>
              <w:rPr>
                <w:rFonts w:eastAsia="宋体"/>
                <w:sz w:val="21"/>
                <w:szCs w:val="21"/>
                <w:lang w:eastAsia="zh-CN"/>
              </w:rPr>
            </w:pPr>
            <w:r>
              <w:rPr>
                <w:rFonts w:eastAsia="宋体"/>
                <w:b/>
                <w:sz w:val="21"/>
                <w:szCs w:val="21"/>
                <w:lang w:eastAsia="zh-CN"/>
              </w:rPr>
              <w:t>-</w:t>
            </w:r>
            <w:r>
              <w:rPr>
                <w:rFonts w:eastAsia="宋体"/>
                <w:sz w:val="21"/>
                <w:szCs w:val="21"/>
                <w:lang w:eastAsia="zh-CN"/>
              </w:rPr>
              <w:t>确定低风险的监管指导(8)</w:t>
            </w:r>
          </w:p>
        </w:tc>
        <w:tc>
          <w:tcPr>
            <w:tcW w:w="912" w:type="dxa"/>
            <w:tcBorders>
              <w:top w:val="nil"/>
            </w:tcBorders>
          </w:tcPr>
          <w:p>
            <w:pPr>
              <w:pStyle w:val="12"/>
              <w:jc w:val="center"/>
              <w:rPr>
                <w:rFonts w:eastAsia="宋体"/>
                <w:sz w:val="21"/>
                <w:szCs w:val="21"/>
              </w:rPr>
            </w:pPr>
            <w:r>
              <w:rPr>
                <w:rFonts w:eastAsia="宋体"/>
                <w:spacing w:val="-5"/>
                <w:sz w:val="21"/>
                <w:szCs w:val="21"/>
              </w:rPr>
              <w:t>0.5</w:t>
            </w:r>
          </w:p>
        </w:tc>
        <w:tc>
          <w:tcPr>
            <w:tcW w:w="930" w:type="dxa"/>
            <w:tcBorders>
              <w:top w:val="nil"/>
            </w:tcBorders>
          </w:tcPr>
          <w:p>
            <w:pPr>
              <w:pStyle w:val="12"/>
              <w:ind w:left="106"/>
              <w:jc w:val="center"/>
              <w:rPr>
                <w:rFonts w:eastAsia="宋体"/>
                <w:sz w:val="21"/>
                <w:szCs w:val="21"/>
              </w:rPr>
            </w:pPr>
            <w:r>
              <w:rPr>
                <w:rFonts w:eastAsia="宋体"/>
                <w:spacing w:val="-5"/>
                <w:sz w:val="21"/>
                <w:szCs w:val="21"/>
              </w:rPr>
              <w:t>0.5</w:t>
            </w:r>
          </w:p>
        </w:tc>
        <w:tc>
          <w:tcPr>
            <w:tcW w:w="824" w:type="dxa"/>
            <w:tcBorders>
              <w:top w:val="nil"/>
            </w:tcBorders>
          </w:tcPr>
          <w:p>
            <w:pPr>
              <w:pStyle w:val="12"/>
              <w:ind w:left="105"/>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867" w:type="dxa"/>
            <w:tcBorders>
              <w:bottom w:val="nil"/>
            </w:tcBorders>
          </w:tcPr>
          <w:p>
            <w:pPr>
              <w:pStyle w:val="12"/>
              <w:rPr>
                <w:rFonts w:eastAsia="宋体"/>
                <w:b/>
                <w:sz w:val="21"/>
                <w:szCs w:val="21"/>
              </w:rPr>
            </w:pPr>
            <w:r>
              <w:rPr>
                <w:rFonts w:hint="eastAsia" w:eastAsia="宋体"/>
                <w:b/>
                <w:sz w:val="21"/>
                <w:szCs w:val="21"/>
                <w:lang w:eastAsia="zh-CN"/>
              </w:rPr>
              <w:t>加</w:t>
            </w:r>
            <w:r>
              <w:rPr>
                <w:rFonts w:eastAsia="宋体"/>
                <w:b/>
                <w:sz w:val="21"/>
                <w:szCs w:val="21"/>
              </w:rPr>
              <w:t>强CDD</w:t>
            </w:r>
          </w:p>
        </w:tc>
        <w:tc>
          <w:tcPr>
            <w:tcW w:w="912" w:type="dxa"/>
            <w:tcBorders>
              <w:bottom w:val="nil"/>
            </w:tcBorders>
          </w:tcPr>
          <w:p>
            <w:pPr>
              <w:pStyle w:val="12"/>
              <w:jc w:val="center"/>
              <w:rPr>
                <w:rFonts w:eastAsia="宋体"/>
                <w:b/>
                <w:sz w:val="21"/>
                <w:szCs w:val="21"/>
                <w:lang w:eastAsia="zh-CN"/>
              </w:rPr>
            </w:pPr>
            <w:r>
              <w:rPr>
                <w:rFonts w:eastAsia="宋体"/>
                <w:b/>
                <w:spacing w:val="-4"/>
                <w:sz w:val="21"/>
                <w:szCs w:val="21"/>
                <w:lang w:eastAsia="zh-CN"/>
              </w:rPr>
              <w:t>不适用</w:t>
            </w:r>
          </w:p>
        </w:tc>
        <w:tc>
          <w:tcPr>
            <w:tcW w:w="930" w:type="dxa"/>
            <w:tcBorders>
              <w:bottom w:val="nil"/>
            </w:tcBorders>
          </w:tcPr>
          <w:p>
            <w:pPr>
              <w:pStyle w:val="12"/>
              <w:ind w:left="106"/>
              <w:jc w:val="center"/>
              <w:rPr>
                <w:rFonts w:eastAsia="宋体"/>
                <w:b/>
                <w:sz w:val="21"/>
                <w:szCs w:val="21"/>
              </w:rPr>
            </w:pPr>
            <w:r>
              <w:rPr>
                <w:rFonts w:eastAsia="宋体"/>
                <w:b/>
                <w:w w:val="99"/>
                <w:sz w:val="21"/>
                <w:szCs w:val="21"/>
              </w:rPr>
              <w:t>1</w:t>
            </w:r>
          </w:p>
        </w:tc>
        <w:tc>
          <w:tcPr>
            <w:tcW w:w="824" w:type="dxa"/>
            <w:tcBorders>
              <w:bottom w:val="nil"/>
            </w:tcBorders>
          </w:tcPr>
          <w:p>
            <w:pPr>
              <w:pStyle w:val="12"/>
              <w:ind w:left="105"/>
              <w:jc w:val="center"/>
              <w:rPr>
                <w:rFonts w:eastAsia="宋体"/>
                <w:b/>
                <w:sz w:val="21"/>
                <w:szCs w:val="21"/>
              </w:rPr>
            </w:pPr>
            <w:r>
              <w:rPr>
                <w:rFonts w:eastAsia="宋体"/>
                <w:b/>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867" w:type="dxa"/>
            <w:tcBorders>
              <w:top w:val="nil"/>
              <w:bottom w:val="nil"/>
            </w:tcBorders>
          </w:tcPr>
          <w:p>
            <w:pPr>
              <w:pStyle w:val="12"/>
              <w:ind w:left="199"/>
              <w:rPr>
                <w:rFonts w:eastAsia="宋体"/>
                <w:sz w:val="21"/>
                <w:szCs w:val="21"/>
                <w:lang w:eastAsia="zh-CN"/>
              </w:rPr>
            </w:pPr>
            <w:r>
              <w:rPr>
                <w:rFonts w:eastAsia="宋体"/>
                <w:b/>
                <w:sz w:val="21"/>
                <w:szCs w:val="21"/>
                <w:lang w:eastAsia="zh-CN"/>
              </w:rPr>
              <w:t>-</w:t>
            </w:r>
            <w:r>
              <w:rPr>
                <w:rFonts w:eastAsia="宋体"/>
                <w:bCs/>
                <w:sz w:val="21"/>
                <w:szCs w:val="21"/>
                <w:lang w:eastAsia="zh-CN"/>
              </w:rPr>
              <w:t>针对</w:t>
            </w:r>
            <w:r>
              <w:rPr>
                <w:rFonts w:eastAsia="宋体"/>
                <w:sz w:val="21"/>
                <w:szCs w:val="21"/>
                <w:lang w:eastAsia="zh-CN"/>
              </w:rPr>
              <w:t>高风险的加强的AML/CFT CDD审查(9)</w:t>
            </w:r>
          </w:p>
        </w:tc>
        <w:tc>
          <w:tcPr>
            <w:tcW w:w="912" w:type="dxa"/>
            <w:tcBorders>
              <w:top w:val="nil"/>
              <w:bottom w:val="nil"/>
            </w:tcBorders>
          </w:tcPr>
          <w:p>
            <w:pPr>
              <w:pStyle w:val="12"/>
              <w:jc w:val="center"/>
              <w:rPr>
                <w:rFonts w:eastAsia="宋体"/>
                <w:sz w:val="21"/>
                <w:szCs w:val="21"/>
                <w:lang w:eastAsia="zh-CN"/>
              </w:rPr>
            </w:pPr>
            <w:r>
              <w:rPr>
                <w:rFonts w:eastAsia="宋体"/>
                <w:spacing w:val="-4"/>
                <w:sz w:val="21"/>
                <w:szCs w:val="21"/>
                <w:lang w:eastAsia="zh-CN"/>
              </w:rPr>
              <w:t>不适用</w:t>
            </w:r>
          </w:p>
        </w:tc>
        <w:tc>
          <w:tcPr>
            <w:tcW w:w="930" w:type="dxa"/>
            <w:tcBorders>
              <w:top w:val="nil"/>
              <w:bottom w:val="nil"/>
            </w:tcBorders>
          </w:tcPr>
          <w:p>
            <w:pPr>
              <w:pStyle w:val="12"/>
              <w:ind w:left="106"/>
              <w:jc w:val="center"/>
              <w:rPr>
                <w:rFonts w:eastAsia="宋体"/>
                <w:sz w:val="21"/>
                <w:szCs w:val="21"/>
              </w:rPr>
            </w:pPr>
            <w:r>
              <w:rPr>
                <w:rFonts w:eastAsia="宋体"/>
                <w:spacing w:val="-5"/>
                <w:sz w:val="21"/>
                <w:szCs w:val="21"/>
              </w:rPr>
              <w:t>0.5</w:t>
            </w:r>
          </w:p>
        </w:tc>
        <w:tc>
          <w:tcPr>
            <w:tcW w:w="824" w:type="dxa"/>
            <w:tcBorders>
              <w:top w:val="nil"/>
              <w:bottom w:val="nil"/>
            </w:tcBorders>
          </w:tcPr>
          <w:p>
            <w:pPr>
              <w:pStyle w:val="12"/>
              <w:ind w:left="105"/>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867" w:type="dxa"/>
            <w:tcBorders>
              <w:top w:val="nil"/>
            </w:tcBorders>
          </w:tcPr>
          <w:p>
            <w:pPr>
              <w:pStyle w:val="12"/>
              <w:ind w:left="199"/>
              <w:rPr>
                <w:rFonts w:eastAsia="宋体"/>
                <w:sz w:val="21"/>
                <w:szCs w:val="21"/>
                <w:lang w:eastAsia="zh-CN"/>
              </w:rPr>
            </w:pPr>
            <w:r>
              <w:rPr>
                <w:rFonts w:eastAsia="宋体"/>
                <w:b/>
                <w:sz w:val="21"/>
                <w:szCs w:val="21"/>
                <w:lang w:eastAsia="zh-CN"/>
              </w:rPr>
              <w:t>-</w:t>
            </w:r>
            <w:r>
              <w:rPr>
                <w:rFonts w:eastAsia="宋体"/>
                <w:sz w:val="21"/>
                <w:szCs w:val="21"/>
                <w:lang w:eastAsia="zh-CN"/>
              </w:rPr>
              <w:t>确定高风险的监管指导(10)</w:t>
            </w:r>
          </w:p>
        </w:tc>
        <w:tc>
          <w:tcPr>
            <w:tcW w:w="912" w:type="dxa"/>
            <w:tcBorders>
              <w:top w:val="nil"/>
            </w:tcBorders>
          </w:tcPr>
          <w:p>
            <w:pPr>
              <w:pStyle w:val="12"/>
              <w:jc w:val="center"/>
              <w:rPr>
                <w:rFonts w:eastAsia="宋体"/>
                <w:sz w:val="21"/>
                <w:szCs w:val="21"/>
                <w:lang w:eastAsia="zh-CN"/>
              </w:rPr>
            </w:pPr>
            <w:r>
              <w:rPr>
                <w:rFonts w:eastAsia="宋体"/>
                <w:spacing w:val="-4"/>
                <w:sz w:val="21"/>
                <w:szCs w:val="21"/>
                <w:lang w:eastAsia="zh-CN"/>
              </w:rPr>
              <w:t>不适用</w:t>
            </w:r>
          </w:p>
        </w:tc>
        <w:tc>
          <w:tcPr>
            <w:tcW w:w="930" w:type="dxa"/>
            <w:tcBorders>
              <w:top w:val="nil"/>
            </w:tcBorders>
          </w:tcPr>
          <w:p>
            <w:pPr>
              <w:pStyle w:val="12"/>
              <w:ind w:left="106"/>
              <w:jc w:val="center"/>
              <w:rPr>
                <w:rFonts w:eastAsia="宋体"/>
                <w:sz w:val="21"/>
                <w:szCs w:val="21"/>
              </w:rPr>
            </w:pPr>
            <w:r>
              <w:rPr>
                <w:rFonts w:eastAsia="宋体"/>
                <w:spacing w:val="-5"/>
                <w:sz w:val="21"/>
                <w:szCs w:val="21"/>
              </w:rPr>
              <w:t>0.5</w:t>
            </w:r>
          </w:p>
        </w:tc>
        <w:tc>
          <w:tcPr>
            <w:tcW w:w="824" w:type="dxa"/>
            <w:tcBorders>
              <w:top w:val="nil"/>
            </w:tcBorders>
          </w:tcPr>
          <w:p>
            <w:pPr>
              <w:pStyle w:val="12"/>
              <w:ind w:left="105"/>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867" w:type="dxa"/>
            <w:shd w:val="clear" w:color="auto" w:fill="FFC000"/>
          </w:tcPr>
          <w:p>
            <w:pPr>
              <w:pStyle w:val="12"/>
              <w:spacing w:before="26"/>
              <w:rPr>
                <w:rFonts w:eastAsia="宋体"/>
                <w:b/>
                <w:sz w:val="21"/>
                <w:szCs w:val="21"/>
              </w:rPr>
            </w:pPr>
            <w:r>
              <w:rPr>
                <w:rFonts w:eastAsia="宋体"/>
                <w:b/>
                <w:sz w:val="21"/>
                <w:szCs w:val="21"/>
                <w:lang w:eastAsia="zh-CN"/>
              </w:rPr>
              <w:t>总</w:t>
            </w:r>
            <w:r>
              <w:rPr>
                <w:rFonts w:hint="eastAsia" w:eastAsia="宋体"/>
                <w:b/>
                <w:sz w:val="21"/>
                <w:szCs w:val="21"/>
                <w:lang w:eastAsia="zh-CN"/>
              </w:rPr>
              <w:t>计</w:t>
            </w:r>
          </w:p>
        </w:tc>
        <w:tc>
          <w:tcPr>
            <w:tcW w:w="912" w:type="dxa"/>
            <w:shd w:val="clear" w:color="auto" w:fill="FFC000"/>
          </w:tcPr>
          <w:p>
            <w:pPr>
              <w:pStyle w:val="12"/>
              <w:spacing w:before="26"/>
              <w:jc w:val="center"/>
              <w:rPr>
                <w:rFonts w:eastAsia="宋体"/>
                <w:b/>
                <w:sz w:val="21"/>
                <w:szCs w:val="21"/>
              </w:rPr>
            </w:pPr>
            <w:r>
              <w:rPr>
                <w:rFonts w:eastAsia="宋体"/>
                <w:b/>
                <w:w w:val="99"/>
                <w:sz w:val="21"/>
                <w:szCs w:val="21"/>
              </w:rPr>
              <w:t>1</w:t>
            </w:r>
          </w:p>
        </w:tc>
        <w:tc>
          <w:tcPr>
            <w:tcW w:w="930" w:type="dxa"/>
            <w:shd w:val="clear" w:color="auto" w:fill="FFC000"/>
          </w:tcPr>
          <w:p>
            <w:pPr>
              <w:pStyle w:val="12"/>
              <w:spacing w:before="26"/>
              <w:ind w:left="106"/>
              <w:jc w:val="center"/>
              <w:rPr>
                <w:rFonts w:eastAsia="宋体"/>
                <w:b/>
                <w:sz w:val="21"/>
                <w:szCs w:val="21"/>
              </w:rPr>
            </w:pPr>
            <w:r>
              <w:rPr>
                <w:rFonts w:eastAsia="宋体"/>
                <w:b/>
                <w:w w:val="99"/>
                <w:sz w:val="21"/>
                <w:szCs w:val="21"/>
              </w:rPr>
              <w:t>2</w:t>
            </w:r>
          </w:p>
        </w:tc>
        <w:tc>
          <w:tcPr>
            <w:tcW w:w="824" w:type="dxa"/>
            <w:shd w:val="clear" w:color="auto" w:fill="FFC000"/>
          </w:tcPr>
          <w:p>
            <w:pPr>
              <w:pStyle w:val="12"/>
              <w:spacing w:before="26"/>
              <w:ind w:left="105"/>
              <w:jc w:val="center"/>
              <w:rPr>
                <w:rFonts w:eastAsia="宋体"/>
                <w:b/>
                <w:sz w:val="21"/>
                <w:szCs w:val="21"/>
              </w:rPr>
            </w:pPr>
            <w:r>
              <w:rPr>
                <w:rFonts w:eastAsia="宋体"/>
                <w:b/>
                <w:w w:val="99"/>
                <w:sz w:val="21"/>
                <w:szCs w:val="21"/>
              </w:rPr>
              <w:t>3.</w:t>
            </w:r>
          </w:p>
        </w:tc>
      </w:tr>
    </w:tbl>
    <w:p>
      <w:pPr>
        <w:spacing w:before="6"/>
        <w:ind w:left="200" w:right="195"/>
        <w:rPr>
          <w:rFonts w:eastAsia="宋体"/>
          <w:sz w:val="20"/>
          <w:lang w:eastAsia="zh-CN"/>
        </w:rPr>
      </w:pPr>
      <w:r>
        <w:rPr>
          <w:rFonts w:eastAsia="宋体"/>
          <w:i/>
          <w:sz w:val="20"/>
          <w:lang w:eastAsia="zh-CN"/>
        </w:rPr>
        <w:t>注</w:t>
      </w:r>
      <w:r>
        <w:rPr>
          <w:rFonts w:hint="eastAsia" w:eastAsia="宋体"/>
          <w:i/>
          <w:sz w:val="20"/>
          <w:lang w:eastAsia="zh-CN"/>
        </w:rPr>
        <w:t>：</w:t>
      </w:r>
      <w:r>
        <w:rPr>
          <w:rFonts w:eastAsia="宋体"/>
          <w:sz w:val="20"/>
          <w:lang w:eastAsia="zh-CN"/>
        </w:rPr>
        <w:t>n.a. =不适用(指对企业或社会的影响不明确或不存在的情况)。AML/CFT =反洗钱/打击资助恐怖主义</w:t>
      </w:r>
      <w:r>
        <w:rPr>
          <w:rFonts w:hint="eastAsia" w:eastAsia="宋体"/>
          <w:sz w:val="20"/>
          <w:lang w:eastAsia="zh-CN"/>
        </w:rPr>
        <w:t>；</w:t>
      </w:r>
      <w:r>
        <w:rPr>
          <w:rFonts w:eastAsia="宋体"/>
          <w:sz w:val="20"/>
          <w:lang w:eastAsia="zh-CN"/>
        </w:rPr>
        <w:t>CDD =客户尽职调查</w:t>
      </w:r>
      <w:r>
        <w:rPr>
          <w:rFonts w:hint="eastAsia" w:eastAsia="宋体"/>
          <w:sz w:val="20"/>
          <w:lang w:eastAsia="zh-CN"/>
        </w:rPr>
        <w:t>；</w:t>
      </w:r>
      <w:r>
        <w:rPr>
          <w:rFonts w:eastAsia="宋体"/>
          <w:sz w:val="20"/>
          <w:lang w:eastAsia="zh-CN"/>
        </w:rPr>
        <w:t>FFP =企业灵活度得分</w:t>
      </w:r>
      <w:r>
        <w:rPr>
          <w:rFonts w:hint="eastAsia" w:eastAsia="宋体"/>
          <w:sz w:val="20"/>
          <w:lang w:eastAsia="zh-CN"/>
        </w:rPr>
        <w:t>；</w:t>
      </w:r>
      <w:r>
        <w:rPr>
          <w:rFonts w:eastAsia="宋体"/>
          <w:sz w:val="20"/>
          <w:lang w:eastAsia="zh-CN"/>
        </w:rPr>
        <w:t>SBP =社会效益分。</w:t>
      </w:r>
    </w:p>
    <w:p>
      <w:pPr>
        <w:pStyle w:val="5"/>
        <w:spacing w:before="10"/>
        <w:rPr>
          <w:sz w:val="19"/>
          <w:lang w:eastAsia="zh-CN"/>
        </w:rPr>
      </w:pPr>
      <w:r>
        <mc:AlternateContent>
          <mc:Choice Requires="wps">
            <w:drawing>
              <wp:anchor distT="0" distB="0" distL="114300" distR="114300" simplePos="0" relativeHeight="251660288" behindDoc="1" locked="0" layoutInCell="1" allowOverlap="1">
                <wp:simplePos x="0" y="0"/>
                <wp:positionH relativeFrom="page">
                  <wp:posOffset>856615</wp:posOffset>
                </wp:positionH>
                <wp:positionV relativeFrom="paragraph">
                  <wp:posOffset>163830</wp:posOffset>
                </wp:positionV>
                <wp:extent cx="5999480" cy="372110"/>
                <wp:effectExtent l="4445" t="4445" r="15875" b="17145"/>
                <wp:wrapTopAndBottom/>
                <wp:docPr id="11" name="文本框 11"/>
                <wp:cNvGraphicFramePr/>
                <a:graphic xmlns:a="http://schemas.openxmlformats.org/drawingml/2006/main">
                  <a:graphicData uri="http://schemas.microsoft.com/office/word/2010/wordprocessingShape">
                    <wps:wsp>
                      <wps:cNvSpPr txBox="1"/>
                      <wps:spPr>
                        <a:xfrm>
                          <a:off x="0" y="0"/>
                          <a:ext cx="5999480" cy="372110"/>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58"/>
                              <w:ind w:left="103"/>
                              <w:rPr>
                                <w:rFonts w:eastAsia="宋体"/>
                                <w:b/>
                                <w:color w:val="000000"/>
                                <w:sz w:val="28"/>
                                <w:szCs w:val="28"/>
                                <w:lang w:eastAsia="zh-CN"/>
                              </w:rPr>
                            </w:pPr>
                            <w:r>
                              <w:rPr>
                                <w:rFonts w:eastAsia="宋体"/>
                                <w:b/>
                                <w:color w:val="FFFFFF"/>
                                <w:sz w:val="28"/>
                                <w:szCs w:val="28"/>
                                <w:lang w:eastAsia="zh-CN"/>
                              </w:rPr>
                              <w:t>维度II——信贷基础设施信息的可及性和融资渠道（融资的可及性）</w:t>
                            </w:r>
                          </w:p>
                        </w:txbxContent>
                      </wps:txbx>
                      <wps:bodyPr lIns="0" tIns="0" rIns="0" bIns="0" upright="1"/>
                    </wps:wsp>
                  </a:graphicData>
                </a:graphic>
              </wp:anchor>
            </w:drawing>
          </mc:Choice>
          <mc:Fallback>
            <w:pict>
              <v:shape id="_x0000_s1026" o:spid="_x0000_s1026" o:spt="202" type="#_x0000_t202" style="position:absolute;left:0pt;margin-left:67.45pt;margin-top:12.9pt;height:29.3pt;width:472.4pt;mso-position-horizontal-relative:page;mso-wrap-distance-bottom:0pt;mso-wrap-distance-top:0pt;z-index:-251656192;mso-width-relative:page;mso-height-relative:page;" fillcolor="#0F6EC5" filled="t" stroked="t" coordsize="21600,21600" o:gfxdata="UEsDBAoAAAAAAIdO4kAAAAAAAAAAAAAAAAAEAAAAZHJzL1BLAwQUAAAACACHTuJAKCojOdgAAAAK&#10;AQAADwAAAGRycy9kb3ducmV2LnhtbE2PQU+DQBCF7yb+h82YeLNLKUqLLD1ojMZLI5qeF3YKKDuL&#10;7ELrv3d60uPLfHnzvXx7sr2YcfSdIwXLRQQCqXamo0bBx/vTzRqED5qM7h2hgh/0sC0uL3KdGXek&#10;N5zL0AguIZ9pBW0IQyalr1u02i/cgMS3gxutDhzHRppRH7nc9jKOojtpdUf8odUDPrRYf5WTVTBV&#10;sf6On19W+1c/lynh7nH3OSt1fbWM7kEEPIU/GM76rA4FO1VuIuNFz3mVbBhVEN/yhDMQpZsURKVg&#10;nSQgi1z+n1D8AlBLAwQUAAAACACHTuJA2aBnPiACAABcBAAADgAAAGRycy9lMm9Eb2MueG1srVTN&#10;jtMwEL4j8Q6W7zRpYcs2aroS212EhABp4QFc20ks+U8et0lfAN6AExfuPFefg7H7s3Th0AM5JJ/H&#10;429mvhlnfjMYTTYygHK2puNRSYm03All25p++Xz/4poSiMwKpp2VNd1KoDeL58/mva/kxHVOCxkI&#10;klioel/TLkZfFQXwThoGI+elxc3GBcMiLkNbiMB6ZDe6mJTltOhdED44LgHQutxv0gNjuITQNY3i&#10;cun42kgb96xBahaxJOiUB7rI2TaN5PFj04CMRNcUK435jUEQr9K7WMxZ1QbmO8UPKbBLUnhSk2HK&#10;YtAT1ZJFRtZB/UVlFA8OXBNH3JliX0hWBKsYl0+0eeiYl7kWlBr8SXT4f7T8w+ZTIErgJIwpscxg&#10;x3ffv+1+/Nr9/ErQhgL1Hir0e/DoGYc3bkDnox3QmOoemmDSFysiuI/ybk/yyiESjsar2Wz26hq3&#10;OO69fD0Zj7P+xeNpHyC+lc6QBGoasH1ZVbZ5DxEzQdejSwoGTitxr7TOi9CubnUgG5ZafT+9u71K&#10;SeKRMzdtSV/TaTmbYh4M57fBuUFoPGoAts3xzk7AGXGZnn8Rp8SWDLp9ApkhubHKqChDRp1k4s4K&#10;ErceZbZ4vWhKxkhBiZZ4GxPKnpEpfYknVqctFplatG9FQnFYDUiT4MqJLbZNv7M4NOkCHEE4gtUR&#10;rH1QbYey5+ZmShy6rODhgqSp/nOdAz/+FB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gqIznY&#10;AAAACgEAAA8AAAAAAAAAAQAgAAAAIgAAAGRycy9kb3ducmV2LnhtbFBLAQIUABQAAAAIAIdO4kDZ&#10;oGc+IAIAAFwEAAAOAAAAAAAAAAEAIAAAACcBAABkcnMvZTJvRG9jLnhtbFBLBQYAAAAABgAGAFkB&#10;AAC5BQAAAAA=&#10;">
                <v:fill on="t" focussize="0,0"/>
                <v:stroke weight="0.48pt" color="#000000" joinstyle="miter"/>
                <v:imagedata o:title=""/>
                <o:lock v:ext="edit" aspectratio="f"/>
                <v:textbox inset="0mm,0mm,0mm,0mm">
                  <w:txbxContent>
                    <w:p>
                      <w:pPr>
                        <w:spacing w:before="58"/>
                        <w:ind w:left="103"/>
                        <w:rPr>
                          <w:rFonts w:eastAsia="宋体"/>
                          <w:b/>
                          <w:color w:val="000000"/>
                          <w:sz w:val="28"/>
                          <w:szCs w:val="28"/>
                          <w:lang w:eastAsia="zh-CN"/>
                        </w:rPr>
                      </w:pPr>
                      <w:r>
                        <w:rPr>
                          <w:rFonts w:eastAsia="宋体"/>
                          <w:b/>
                          <w:color w:val="FFFFFF"/>
                          <w:sz w:val="28"/>
                          <w:szCs w:val="28"/>
                          <w:lang w:eastAsia="zh-CN"/>
                        </w:rPr>
                        <w:t>维度II——信贷基础设施信息的可及性和融资渠道（融资的可及性）</w:t>
                      </w:r>
                    </w:p>
                  </w:txbxContent>
                </v:textbox>
                <w10:wrap type="topAndBottom"/>
              </v:shape>
            </w:pict>
          </mc:Fallback>
        </mc:AlternateContent>
      </w:r>
    </w:p>
    <w:p>
      <w:pPr>
        <w:pStyle w:val="5"/>
        <w:spacing w:before="3"/>
        <w:rPr>
          <w:sz w:val="10"/>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15.</w:t>
      </w:r>
      <w:r>
        <w:rPr>
          <w:rFonts w:eastAsia="宋体"/>
          <w:b/>
          <w:sz w:val="28"/>
          <w:szCs w:val="28"/>
          <w:lang w:eastAsia="zh-CN"/>
        </w:rPr>
        <w:t>在你的经济体中，银行在决定贷款申请时，是否会审查来自信用局或信用登记处的信用信息?</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附加服务和子类别2.1.1的借款人获取信息指标得分。</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16.</w:t>
      </w:r>
      <w:r>
        <w:rPr>
          <w:rFonts w:eastAsia="宋体"/>
          <w:b/>
          <w:sz w:val="28"/>
          <w:szCs w:val="28"/>
          <w:lang w:eastAsia="zh-CN"/>
        </w:rPr>
        <w:t>如果问题15的答案是肯定的，银行使用这些信息的频率是多少?</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附加服务和子类别2.1.1的借款人获取信息指标得分。</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16a.总是</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16b.有时</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16c.很少</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17.</w:t>
      </w:r>
      <w:r>
        <w:rPr>
          <w:rFonts w:eastAsia="宋体"/>
          <w:b/>
          <w:sz w:val="28"/>
          <w:szCs w:val="28"/>
          <w:lang w:eastAsia="zh-CN"/>
        </w:rPr>
        <w:t>如果没有，请选择您所在经济体的银行,在决定贷款申请时不从信用局或信用登记处审查信用信息的主要原因</w:t>
      </w:r>
      <w:r>
        <w:rPr>
          <w:rFonts w:hint="eastAsia" w:eastAsia="宋体"/>
          <w:i/>
          <w:sz w:val="28"/>
          <w:szCs w:val="28"/>
          <w:lang w:eastAsia="zh-CN"/>
        </w:rPr>
        <w:t>：</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17a.没有可操作的信用报告服务提供商</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17b.征信机构/征信登记机构并不能覆盖所有的客户</w:t>
      </w:r>
    </w:p>
    <w:p>
      <w:pPr>
        <w:pStyle w:val="5"/>
        <w:spacing w:line="400" w:lineRule="exact"/>
        <w:ind w:firstLine="560" w:firstLineChars="200"/>
        <w:jc w:val="both"/>
        <w:rPr>
          <w:rFonts w:eastAsia="宋体"/>
          <w:sz w:val="28"/>
          <w:szCs w:val="28"/>
          <w:lang w:eastAsia="zh-CN"/>
        </w:rPr>
      </w:pPr>
      <w:r>
        <w:rPr>
          <w:rFonts w:eastAsia="宋体"/>
          <w:sz w:val="28"/>
          <w:szCs w:val="28"/>
        </w:rPr>
        <w:t>17c</w:t>
      </w:r>
      <w:r>
        <w:rPr>
          <w:rFonts w:eastAsia="宋体"/>
          <w:sz w:val="28"/>
          <w:szCs w:val="28"/>
          <w:lang w:eastAsia="zh-CN"/>
        </w:rPr>
        <w:t>.</w:t>
      </w:r>
      <w:r>
        <w:rPr>
          <w:rFonts w:eastAsia="宋体"/>
          <w:sz w:val="28"/>
          <w:szCs w:val="28"/>
        </w:rPr>
        <w:t>信息不全面，只包含了最少的信息</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17d.信息没有用</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17e.访问成本太高</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17f.信用信息不及时/不相关.</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17g.其他</w:t>
      </w:r>
    </w:p>
    <w:p>
      <w:pPr>
        <w:pStyle w:val="11"/>
        <w:tabs>
          <w:tab w:val="left" w:pos="561"/>
        </w:tabs>
        <w:spacing w:line="400" w:lineRule="exact"/>
        <w:ind w:left="0" w:firstLine="562" w:firstLineChars="200"/>
        <w:rPr>
          <w:rFonts w:eastAsia="宋体"/>
          <w:b/>
          <w:bCs/>
          <w:sz w:val="28"/>
          <w:szCs w:val="28"/>
          <w:lang w:eastAsia="zh-CN"/>
        </w:rPr>
      </w:pP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18.</w:t>
      </w:r>
      <w:r>
        <w:rPr>
          <w:rFonts w:eastAsia="宋体"/>
          <w:b/>
          <w:sz w:val="28"/>
          <w:szCs w:val="28"/>
          <w:lang w:eastAsia="zh-CN"/>
        </w:rPr>
        <w:t>当一笔贷款包含一项动产</w:t>
      </w:r>
      <w:r>
        <w:rPr>
          <w:rFonts w:eastAsia="宋体"/>
          <w:b/>
          <w:spacing w:val="80"/>
          <w:sz w:val="28"/>
          <w:szCs w:val="28"/>
          <w:lang w:eastAsia="zh-CN"/>
        </w:rPr>
        <w:t>时，</w:t>
      </w:r>
      <w:r>
        <w:rPr>
          <w:rFonts w:eastAsia="宋体"/>
          <w:b/>
          <w:sz w:val="28"/>
          <w:szCs w:val="28"/>
          <w:lang w:eastAsia="zh-CN"/>
        </w:rPr>
        <w:t>您所在的经济体中，银行是否会审查抵押登记处的信息以验证借款人的抵押品记录？</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现代抵押品登记和访问数据指标子类别2.2.1的得分.</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18a.是的</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18b.没有</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18c.没有可操作的担保登记</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outlineLvl w:val="2"/>
        <w:rPr>
          <w:rFonts w:eastAsia="宋体"/>
          <w:b/>
          <w:sz w:val="28"/>
          <w:szCs w:val="28"/>
          <w:lang w:eastAsia="zh-CN"/>
        </w:rPr>
      </w:pPr>
      <w:r>
        <w:rPr>
          <w:rFonts w:eastAsia="宋体"/>
          <w:b/>
          <w:bCs/>
          <w:sz w:val="28"/>
          <w:szCs w:val="28"/>
          <w:lang w:eastAsia="zh-CN"/>
        </w:rPr>
        <w:t>19.</w:t>
      </w:r>
      <w:r>
        <w:rPr>
          <w:rFonts w:eastAsia="宋体"/>
          <w:b/>
          <w:sz w:val="28"/>
          <w:szCs w:val="28"/>
          <w:lang w:eastAsia="zh-CN"/>
        </w:rPr>
        <w:t>银行多久使用一次这些信息?请从下面的选项中选择一个。</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现代抵押品登记和访问子类别2.2.1的数据指标得分。</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19a.总是</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19b.有时</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19c.很少</w:t>
      </w:r>
    </w:p>
    <w:p>
      <w:pPr>
        <w:pStyle w:val="11"/>
        <w:tabs>
          <w:tab w:val="left" w:pos="561"/>
        </w:tabs>
        <w:spacing w:line="400" w:lineRule="exact"/>
        <w:ind w:left="0" w:firstLine="562" w:firstLineChars="200"/>
        <w:rPr>
          <w:rFonts w:eastAsia="宋体"/>
          <w:i/>
          <w:sz w:val="28"/>
          <w:szCs w:val="28"/>
          <w:lang w:eastAsia="zh-CN"/>
        </w:rPr>
      </w:pPr>
      <w:r>
        <w:rPr>
          <w:rFonts w:eastAsia="宋体"/>
          <w:b/>
          <w:bCs/>
          <w:sz w:val="28"/>
          <w:szCs w:val="28"/>
          <w:lang w:eastAsia="zh-CN"/>
        </w:rPr>
        <w:t>20.</w:t>
      </w:r>
      <w:r>
        <w:rPr>
          <w:rFonts w:eastAsia="宋体"/>
          <w:b/>
          <w:sz w:val="28"/>
          <w:szCs w:val="28"/>
          <w:lang w:eastAsia="zh-CN"/>
        </w:rPr>
        <w:t>当贷款中包含动资产时，请选择您所在经济体的银行不审查抵押登记信息，核实借款人抵押登记记录的主要原因</w:t>
      </w:r>
      <w:r>
        <w:rPr>
          <w:rFonts w:hint="eastAsia" w:eastAsia="宋体"/>
          <w:i/>
          <w:sz w:val="28"/>
          <w:szCs w:val="28"/>
          <w:lang w:eastAsia="zh-CN"/>
        </w:rPr>
        <w:t>：</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20a.记录中有许多错误。</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20b</w:t>
      </w:r>
      <w:r>
        <w:rPr>
          <w:rFonts w:hint="eastAsia" w:eastAsia="宋体"/>
          <w:sz w:val="28"/>
          <w:szCs w:val="28"/>
          <w:lang w:eastAsia="zh-CN"/>
        </w:rPr>
        <w:t>.</w:t>
      </w:r>
      <w:r>
        <w:rPr>
          <w:rFonts w:eastAsia="宋体"/>
          <w:sz w:val="28"/>
          <w:szCs w:val="28"/>
          <w:lang w:eastAsia="zh-CN"/>
        </w:rPr>
        <w:t>访问成本比较高。</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20c</w:t>
      </w:r>
      <w:r>
        <w:rPr>
          <w:rFonts w:hint="eastAsia" w:eastAsia="宋体"/>
          <w:sz w:val="28"/>
          <w:szCs w:val="28"/>
          <w:lang w:eastAsia="zh-CN"/>
        </w:rPr>
        <w:t>.</w:t>
      </w:r>
      <w:r>
        <w:rPr>
          <w:rFonts w:eastAsia="宋体"/>
          <w:sz w:val="28"/>
          <w:szCs w:val="28"/>
          <w:lang w:eastAsia="zh-CN"/>
        </w:rPr>
        <w:t>其他</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i/>
          <w:sz w:val="28"/>
          <w:szCs w:val="28"/>
          <w:lang w:eastAsia="zh-CN"/>
        </w:rPr>
      </w:pPr>
      <w:r>
        <w:rPr>
          <w:rFonts w:eastAsia="宋体"/>
          <w:b/>
          <w:bCs/>
          <w:sz w:val="28"/>
          <w:szCs w:val="28"/>
          <w:lang w:eastAsia="zh-CN"/>
        </w:rPr>
        <w:t>21.</w:t>
      </w:r>
      <w:r>
        <w:rPr>
          <w:rFonts w:eastAsia="宋体"/>
          <w:b/>
          <w:sz w:val="28"/>
          <w:szCs w:val="28"/>
          <w:lang w:eastAsia="zh-CN"/>
        </w:rPr>
        <w:t>当贷款中包含不动产时，你所在经济体的银行是否会审查抵押品登记处的信息，以核实借款人的抵押品登记处记录?</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21a.是的</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21b.没有</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21c.没有可操作的担保登记</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i/>
          <w:sz w:val="28"/>
          <w:szCs w:val="28"/>
          <w:lang w:eastAsia="zh-CN"/>
        </w:rPr>
      </w:pPr>
      <w:r>
        <w:rPr>
          <w:rFonts w:eastAsia="宋体"/>
          <w:b/>
          <w:bCs/>
          <w:sz w:val="28"/>
          <w:szCs w:val="28"/>
          <w:lang w:eastAsia="zh-CN"/>
        </w:rPr>
        <w:t>22.</w:t>
      </w:r>
      <w:r>
        <w:rPr>
          <w:rFonts w:eastAsia="宋体"/>
          <w:b/>
          <w:sz w:val="28"/>
          <w:szCs w:val="28"/>
          <w:lang w:eastAsia="zh-CN"/>
        </w:rPr>
        <w:t>银行多久使用一次这些信息?</w:t>
      </w:r>
      <w:r>
        <w:rPr>
          <w:rFonts w:eastAsia="宋体"/>
          <w:i/>
          <w:sz w:val="28"/>
          <w:szCs w:val="28"/>
          <w:lang w:eastAsia="zh-CN"/>
        </w:rPr>
        <w:t>(</w:t>
      </w:r>
      <w:r>
        <w:rPr>
          <w:rFonts w:hint="eastAsia" w:eastAsia="宋体"/>
          <w:i/>
          <w:sz w:val="28"/>
          <w:szCs w:val="28"/>
          <w:lang w:eastAsia="zh-CN"/>
        </w:rPr>
        <w:t>不计分</w:t>
      </w:r>
      <w:r>
        <w:rPr>
          <w:rFonts w:eastAsia="宋体"/>
          <w:i/>
          <w:spacing w:val="-4"/>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22a.总是</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22b.有时</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22c.很少</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i/>
          <w:sz w:val="28"/>
          <w:szCs w:val="28"/>
          <w:lang w:eastAsia="zh-CN"/>
        </w:rPr>
      </w:pPr>
      <w:r>
        <w:rPr>
          <w:rFonts w:eastAsia="宋体"/>
          <w:b/>
          <w:bCs/>
          <w:sz w:val="28"/>
          <w:szCs w:val="28"/>
          <w:lang w:eastAsia="zh-CN"/>
        </w:rPr>
        <w:t>23.</w:t>
      </w:r>
      <w:r>
        <w:rPr>
          <w:rFonts w:eastAsia="宋体"/>
          <w:b/>
          <w:sz w:val="28"/>
          <w:szCs w:val="28"/>
          <w:lang w:eastAsia="zh-CN"/>
        </w:rPr>
        <w:t>当贷款中包含不动产时，请选择您所在经济体的银行不审查抵押登记信息，核实借款人抵押登记记录的主要原因</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23a.记录中有许多错误.</w:t>
      </w:r>
      <w:r>
        <w:rPr>
          <w:rFonts w:eastAsia="宋体"/>
          <w:sz w:val="28"/>
          <w:szCs w:val="28"/>
          <w:lang w:eastAsia="zh-CN"/>
        </w:rPr>
        <w:tab/>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23b</w:t>
      </w:r>
      <w:r>
        <w:rPr>
          <w:rFonts w:hint="eastAsia" w:eastAsia="宋体"/>
          <w:sz w:val="28"/>
          <w:szCs w:val="28"/>
          <w:lang w:eastAsia="zh-CN"/>
        </w:rPr>
        <w:t>.</w:t>
      </w:r>
      <w:r>
        <w:rPr>
          <w:rFonts w:eastAsia="宋体"/>
          <w:sz w:val="28"/>
          <w:szCs w:val="28"/>
          <w:lang w:eastAsia="zh-CN"/>
        </w:rPr>
        <w:t>访问太昂贵</w:t>
      </w:r>
      <w:r>
        <w:rPr>
          <w:rFonts w:hint="eastAsia" w:eastAsia="宋体"/>
          <w:sz w:val="28"/>
          <w:szCs w:val="28"/>
          <w:lang w:eastAsia="zh-CN"/>
        </w:rPr>
        <w:t>；</w:t>
      </w:r>
      <w:r>
        <w:rPr>
          <w:rFonts w:eastAsia="宋体"/>
          <w:sz w:val="28"/>
          <w:szCs w:val="28"/>
          <w:lang w:eastAsia="zh-CN"/>
        </w:rPr>
        <w:tab/>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23c</w:t>
      </w:r>
      <w:r>
        <w:rPr>
          <w:rFonts w:hint="eastAsia" w:eastAsia="宋体"/>
          <w:sz w:val="28"/>
          <w:szCs w:val="28"/>
          <w:lang w:eastAsia="zh-CN"/>
        </w:rPr>
        <w:t>.</w:t>
      </w:r>
      <w:r>
        <w:rPr>
          <w:rFonts w:eastAsia="宋体"/>
          <w:sz w:val="28"/>
          <w:szCs w:val="28"/>
          <w:lang w:eastAsia="zh-CN"/>
        </w:rPr>
        <w:t>其他</w:t>
      </w:r>
    </w:p>
    <w:p>
      <w:pPr>
        <w:pStyle w:val="11"/>
        <w:tabs>
          <w:tab w:val="left" w:pos="561"/>
        </w:tabs>
        <w:spacing w:line="400" w:lineRule="exact"/>
        <w:ind w:left="0" w:firstLine="562" w:firstLineChars="200"/>
        <w:rPr>
          <w:rFonts w:eastAsia="宋体"/>
          <w:i/>
          <w:sz w:val="28"/>
          <w:szCs w:val="28"/>
          <w:lang w:eastAsia="zh-CN"/>
        </w:rPr>
      </w:pPr>
      <w:r>
        <w:rPr>
          <w:rFonts w:eastAsia="宋体"/>
          <w:b/>
          <w:bCs/>
          <w:sz w:val="28"/>
          <w:szCs w:val="28"/>
          <w:lang w:eastAsia="zh-CN"/>
        </w:rPr>
        <w:t>24.</w:t>
      </w:r>
      <w:r>
        <w:rPr>
          <w:rFonts w:eastAsia="宋体"/>
          <w:b/>
          <w:sz w:val="28"/>
          <w:szCs w:val="28"/>
          <w:lang w:eastAsia="zh-CN"/>
        </w:rPr>
        <w:t>当一笔贷款包含一项专门资产时，你们经济体中的银行是否会审查抵押品登记处的信息，以核实借款人的抵押品登记处记录?</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24a.是的</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24b.没有</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24c.没有可操作的担保登记</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outlineLvl w:val="2"/>
        <w:rPr>
          <w:rFonts w:eastAsia="宋体"/>
          <w:i/>
          <w:sz w:val="28"/>
          <w:szCs w:val="28"/>
          <w:lang w:eastAsia="zh-CN"/>
        </w:rPr>
      </w:pPr>
      <w:r>
        <w:rPr>
          <w:rFonts w:eastAsia="宋体"/>
          <w:b/>
          <w:bCs/>
          <w:sz w:val="28"/>
          <w:szCs w:val="28"/>
          <w:lang w:eastAsia="zh-CN"/>
        </w:rPr>
        <w:t>25.</w:t>
      </w:r>
      <w:r>
        <w:rPr>
          <w:rFonts w:eastAsia="宋体"/>
          <w:b/>
          <w:sz w:val="28"/>
          <w:szCs w:val="28"/>
          <w:lang w:eastAsia="zh-CN"/>
        </w:rPr>
        <w:t>银行多久使用一次这些信息?</w:t>
      </w:r>
      <w:r>
        <w:rPr>
          <w:rFonts w:eastAsia="宋体"/>
          <w:i/>
          <w:sz w:val="28"/>
          <w:szCs w:val="28"/>
          <w:lang w:eastAsia="zh-CN"/>
        </w:rPr>
        <w:t>(</w:t>
      </w:r>
      <w:r>
        <w:rPr>
          <w:rFonts w:hint="eastAsia" w:eastAsia="宋体"/>
          <w:i/>
          <w:sz w:val="28"/>
          <w:szCs w:val="28"/>
          <w:lang w:eastAsia="zh-CN"/>
        </w:rPr>
        <w:t>不计分</w:t>
      </w:r>
      <w:r>
        <w:rPr>
          <w:rFonts w:eastAsia="宋体"/>
          <w:i/>
          <w:spacing w:val="-4"/>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25a</w:t>
      </w:r>
      <w:r>
        <w:rPr>
          <w:rFonts w:hint="eastAsia" w:eastAsia="宋体"/>
          <w:sz w:val="28"/>
          <w:szCs w:val="28"/>
          <w:lang w:eastAsia="zh-CN"/>
        </w:rPr>
        <w:t>.</w:t>
      </w:r>
      <w:r>
        <w:rPr>
          <w:rFonts w:eastAsia="宋体"/>
          <w:sz w:val="28"/>
          <w:szCs w:val="28"/>
          <w:lang w:eastAsia="zh-CN"/>
        </w:rPr>
        <w:t>总是</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25b.有时</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25c.很少</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i/>
          <w:sz w:val="28"/>
          <w:szCs w:val="28"/>
          <w:lang w:eastAsia="zh-CN"/>
        </w:rPr>
      </w:pPr>
      <w:r>
        <w:rPr>
          <w:rFonts w:eastAsia="宋体"/>
          <w:b/>
          <w:bCs/>
          <w:sz w:val="28"/>
          <w:szCs w:val="28"/>
          <w:lang w:eastAsia="zh-CN"/>
        </w:rPr>
        <w:t>26.</w:t>
      </w:r>
      <w:r>
        <w:rPr>
          <w:rFonts w:eastAsia="宋体"/>
          <w:b/>
          <w:sz w:val="28"/>
          <w:szCs w:val="28"/>
          <w:lang w:eastAsia="zh-CN"/>
        </w:rPr>
        <w:t>当贷款中包含专业资产时，请选择您所在经济体的银行不审查抵押登记信息以验证借款人抵押登记记录的主要原因</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26a</w:t>
      </w:r>
      <w:r>
        <w:rPr>
          <w:rFonts w:hint="eastAsia" w:eastAsia="宋体"/>
          <w:sz w:val="28"/>
          <w:szCs w:val="28"/>
          <w:lang w:eastAsia="zh-CN"/>
        </w:rPr>
        <w:t>.</w:t>
      </w:r>
      <w:r>
        <w:rPr>
          <w:rFonts w:eastAsia="宋体"/>
          <w:sz w:val="28"/>
          <w:szCs w:val="28"/>
          <w:lang w:eastAsia="zh-CN"/>
        </w:rPr>
        <w:t>记录中有许多错误。</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26b</w:t>
      </w:r>
      <w:r>
        <w:rPr>
          <w:rFonts w:hint="eastAsia" w:eastAsia="宋体"/>
          <w:sz w:val="28"/>
          <w:szCs w:val="28"/>
          <w:lang w:eastAsia="zh-CN"/>
        </w:rPr>
        <w:t>.</w:t>
      </w:r>
      <w:r>
        <w:rPr>
          <w:rFonts w:eastAsia="宋体"/>
          <w:sz w:val="28"/>
          <w:szCs w:val="28"/>
          <w:lang w:eastAsia="zh-CN"/>
        </w:rPr>
        <w:t>访问费用太昂贵</w:t>
      </w:r>
      <w:r>
        <w:rPr>
          <w:rFonts w:hint="eastAsia" w:eastAsia="宋体"/>
          <w:sz w:val="28"/>
          <w:szCs w:val="28"/>
          <w:lang w:eastAsia="zh-CN"/>
        </w:rPr>
        <w:t>；</w:t>
      </w:r>
      <w:r>
        <w:rPr>
          <w:rFonts w:eastAsia="宋体"/>
          <w:sz w:val="28"/>
          <w:szCs w:val="28"/>
          <w:lang w:eastAsia="zh-CN"/>
        </w:rPr>
        <w:tab/>
      </w:r>
    </w:p>
    <w:p>
      <w:pPr>
        <w:pStyle w:val="5"/>
        <w:spacing w:line="400" w:lineRule="exact"/>
        <w:ind w:firstLine="560" w:firstLineChars="200"/>
        <w:jc w:val="both"/>
        <w:rPr>
          <w:rFonts w:eastAsia="宋体"/>
          <w:sz w:val="28"/>
          <w:szCs w:val="28"/>
          <w:lang w:eastAsia="zh-CN"/>
        </w:rPr>
      </w:pPr>
      <w:r>
        <w:rPr>
          <w:rFonts w:eastAsia="宋体"/>
          <w:sz w:val="28"/>
          <w:szCs w:val="28"/>
          <w:lang w:eastAsia="zh-CN"/>
        </w:rPr>
        <w:t>26c</w:t>
      </w:r>
      <w:r>
        <w:rPr>
          <w:rFonts w:hint="eastAsia" w:eastAsia="宋体"/>
          <w:sz w:val="28"/>
          <w:szCs w:val="28"/>
          <w:lang w:eastAsia="zh-CN"/>
        </w:rPr>
        <w:t>.</w:t>
      </w:r>
      <w:r>
        <w:rPr>
          <w:rFonts w:eastAsia="宋体"/>
          <w:sz w:val="28"/>
          <w:szCs w:val="28"/>
          <w:lang w:eastAsia="zh-CN"/>
        </w:rPr>
        <w:t>其他</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27.</w:t>
      </w:r>
      <w:r>
        <w:rPr>
          <w:rFonts w:eastAsia="宋体"/>
          <w:b/>
          <w:sz w:val="28"/>
          <w:szCs w:val="28"/>
          <w:lang w:eastAsia="zh-CN"/>
        </w:rPr>
        <w:t>在你的经济体中，商业银行是否有针对女性的金融产品?</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i/>
          <w:sz w:val="28"/>
          <w:szCs w:val="28"/>
          <w:lang w:eastAsia="zh-CN"/>
        </w:rPr>
      </w:pPr>
      <w:r>
        <w:rPr>
          <w:rFonts w:eastAsia="宋体"/>
          <w:b/>
          <w:bCs/>
          <w:sz w:val="28"/>
          <w:szCs w:val="28"/>
          <w:lang w:eastAsia="zh-CN"/>
        </w:rPr>
        <w:t>28.</w:t>
      </w:r>
      <w:r>
        <w:rPr>
          <w:rFonts w:eastAsia="宋体"/>
          <w:b/>
          <w:sz w:val="28"/>
          <w:szCs w:val="28"/>
          <w:lang w:eastAsia="zh-CN"/>
        </w:rPr>
        <w:t>如果第27题的答案为</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，请说明最常见的产品提供</w:t>
      </w:r>
      <w:r>
        <w:rPr>
          <w:rFonts w:eastAsia="宋体"/>
          <w:i/>
          <w:sz w:val="28"/>
          <w:szCs w:val="28"/>
          <w:lang w:eastAsia="zh-CN"/>
        </w:rPr>
        <w:t>(不</w:t>
      </w:r>
      <w:r>
        <w:rPr>
          <w:rFonts w:eastAsia="宋体"/>
          <w:i/>
          <w:spacing w:val="-6"/>
          <w:sz w:val="28"/>
          <w:szCs w:val="28"/>
          <w:lang w:eastAsia="zh-CN"/>
        </w:rPr>
        <w:t>计分)</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29.</w:t>
      </w:r>
      <w:r>
        <w:rPr>
          <w:rFonts w:eastAsia="宋体"/>
          <w:b/>
          <w:sz w:val="28"/>
          <w:szCs w:val="28"/>
          <w:lang w:eastAsia="zh-CN"/>
        </w:rPr>
        <w:t>如果第27题的答案为</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，是否做过任何市场评估来告知产品的设计?</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30.</w:t>
      </w:r>
      <w:r>
        <w:rPr>
          <w:rFonts w:eastAsia="宋体"/>
          <w:b/>
          <w:sz w:val="28"/>
          <w:szCs w:val="28"/>
          <w:lang w:eastAsia="zh-CN"/>
        </w:rPr>
        <w:t>在你的经济体中，商业银行是否提供针对女性的非金融产品(业务发展服务)?</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30a.提供非金融产品并与金融产品整合。</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30b</w:t>
      </w:r>
      <w:r>
        <w:rPr>
          <w:rFonts w:hint="eastAsia" w:eastAsia="宋体"/>
          <w:sz w:val="28"/>
          <w:szCs w:val="28"/>
          <w:lang w:eastAsia="zh-CN"/>
        </w:rPr>
        <w:t>.</w:t>
      </w:r>
      <w:r>
        <w:rPr>
          <w:rFonts w:eastAsia="宋体"/>
          <w:sz w:val="28"/>
          <w:szCs w:val="28"/>
          <w:lang w:eastAsia="zh-CN"/>
        </w:rPr>
        <w:t>提供非金融产品，但与金融产品分开。</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30c</w:t>
      </w:r>
      <w:r>
        <w:rPr>
          <w:rFonts w:hint="eastAsia" w:eastAsia="宋体"/>
          <w:sz w:val="28"/>
          <w:szCs w:val="28"/>
          <w:lang w:eastAsia="zh-CN"/>
        </w:rPr>
        <w:t>.</w:t>
      </w:r>
      <w:r>
        <w:rPr>
          <w:rFonts w:eastAsia="宋体"/>
          <w:sz w:val="28"/>
          <w:szCs w:val="28"/>
          <w:lang w:eastAsia="zh-CN"/>
        </w:rPr>
        <w:t>不提供非金融产品</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31.</w:t>
      </w:r>
      <w:r>
        <w:rPr>
          <w:rFonts w:eastAsia="宋体"/>
          <w:b/>
          <w:sz w:val="28"/>
          <w:szCs w:val="28"/>
          <w:lang w:eastAsia="zh-CN"/>
        </w:rPr>
        <w:t>如果问题</w:t>
      </w:r>
      <w:r>
        <w:rPr>
          <w:rFonts w:hint="eastAsia" w:eastAsia="宋体"/>
          <w:b/>
          <w:spacing w:val="30"/>
          <w:sz w:val="28"/>
          <w:szCs w:val="28"/>
          <w:lang w:eastAsia="zh-CN"/>
        </w:rPr>
        <w:t>30</w:t>
      </w:r>
      <w:r>
        <w:rPr>
          <w:rFonts w:eastAsia="宋体"/>
          <w:b/>
          <w:spacing w:val="30"/>
          <w:sz w:val="28"/>
          <w:szCs w:val="28"/>
          <w:lang w:eastAsia="zh-CN"/>
        </w:rPr>
        <w:t>的</w:t>
      </w:r>
      <w:r>
        <w:rPr>
          <w:rFonts w:eastAsia="宋体"/>
          <w:b/>
          <w:sz w:val="28"/>
          <w:szCs w:val="28"/>
          <w:lang w:eastAsia="zh-CN"/>
        </w:rPr>
        <w:t>答案</w:t>
      </w:r>
      <w:r>
        <w:rPr>
          <w:rFonts w:eastAsia="宋体"/>
          <w:b/>
          <w:spacing w:val="30"/>
          <w:sz w:val="28"/>
          <w:szCs w:val="28"/>
          <w:lang w:eastAsia="zh-CN"/>
        </w:rPr>
        <w:t>是</w:t>
      </w:r>
      <w:r>
        <w:rPr>
          <w:rFonts w:eastAsia="宋体"/>
          <w:b/>
          <w:sz w:val="28"/>
          <w:szCs w:val="28"/>
          <w:lang w:eastAsia="zh-CN"/>
        </w:rPr>
        <w:t>30a或30b，针对女性的非金融产品(业务发展服务)是否提供给</w:t>
      </w:r>
      <w:r>
        <w:rPr>
          <w:rFonts w:hint="eastAsia" w:eastAsia="宋体"/>
          <w:b/>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31a.仅限商业银行的客户</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31b.任何感兴趣的女企业家</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31c.其他人</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32.</w:t>
      </w:r>
      <w:r>
        <w:rPr>
          <w:rFonts w:eastAsia="宋体"/>
          <w:b/>
          <w:sz w:val="28"/>
          <w:szCs w:val="28"/>
          <w:lang w:eastAsia="zh-CN"/>
        </w:rPr>
        <w:t>如第30题答案为30a或30b，请说明提供何种非金融产品(业务发展服务)</w:t>
      </w:r>
      <w:r>
        <w:rPr>
          <w:rFonts w:hint="eastAsia" w:eastAsia="宋体"/>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32a.信息</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32b.教育</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32c.建议/指导</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32d.网络和市场</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32e.商业管理技术</w:t>
      </w:r>
      <w:r>
        <w:rPr>
          <w:rFonts w:hint="eastAsia" w:eastAsia="宋体"/>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32f.社交情感技能培训</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32g.其他</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33.</w:t>
      </w:r>
      <w:r>
        <w:rPr>
          <w:rFonts w:eastAsia="宋体"/>
          <w:b/>
          <w:sz w:val="28"/>
          <w:szCs w:val="28"/>
          <w:lang w:eastAsia="zh-CN"/>
        </w:rPr>
        <w:t>如果问题3</w:t>
      </w:r>
      <w:r>
        <w:rPr>
          <w:rFonts w:eastAsia="宋体"/>
          <w:b/>
          <w:spacing w:val="69"/>
          <w:sz w:val="28"/>
          <w:szCs w:val="28"/>
          <w:lang w:eastAsia="zh-CN"/>
        </w:rPr>
        <w:t>0的答案</w:t>
      </w:r>
      <w:r>
        <w:rPr>
          <w:rFonts w:eastAsia="宋体"/>
          <w:b/>
          <w:sz w:val="28"/>
          <w:szCs w:val="28"/>
          <w:lang w:eastAsia="zh-CN"/>
        </w:rPr>
        <w:t>是30a或30b，那么这些非金融产品(业务发展服务)是否可用</w:t>
      </w:r>
      <w:r>
        <w:rPr>
          <w:rFonts w:hint="eastAsia" w:eastAsia="宋体"/>
          <w:b/>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33a.在线</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33b.面对面</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33c.短信</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33d.其他</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34.</w:t>
      </w:r>
      <w:r>
        <w:rPr>
          <w:rFonts w:eastAsia="宋体"/>
          <w:b/>
          <w:sz w:val="28"/>
          <w:szCs w:val="28"/>
          <w:lang w:eastAsia="zh-CN"/>
        </w:rPr>
        <w:t>在你的经济体中，商业银行的雇员/职员是否接受过无意识偏见/性别多样性的培训?</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35.</w:t>
      </w:r>
      <w:r>
        <w:rPr>
          <w:rFonts w:eastAsia="宋体"/>
          <w:b/>
          <w:sz w:val="28"/>
          <w:szCs w:val="28"/>
          <w:lang w:eastAsia="zh-CN"/>
        </w:rPr>
        <w:t>如果第34题的答案是肯定的，这些培训是否同时提供给管理人员，和(相关的)非管理人员/雇员?</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35a.提供给管理人员.</w:t>
      </w:r>
      <w:r>
        <w:rPr>
          <w:rFonts w:eastAsia="宋体"/>
          <w:sz w:val="28"/>
          <w:szCs w:val="28"/>
          <w:lang w:eastAsia="zh-CN"/>
        </w:rPr>
        <w:tab/>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35b.提供给非管理人员</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35c.其他</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outlineLvl w:val="2"/>
        <w:rPr>
          <w:rFonts w:eastAsia="宋体"/>
          <w:b/>
          <w:sz w:val="28"/>
          <w:szCs w:val="28"/>
          <w:lang w:eastAsia="zh-CN"/>
        </w:rPr>
      </w:pPr>
      <w:r>
        <w:rPr>
          <w:rFonts w:eastAsia="宋体"/>
          <w:b/>
          <w:bCs/>
          <w:sz w:val="28"/>
          <w:szCs w:val="28"/>
          <w:lang w:eastAsia="zh-CN"/>
        </w:rPr>
        <w:t>36.</w:t>
      </w:r>
      <w:r>
        <w:rPr>
          <w:rFonts w:eastAsia="宋体"/>
          <w:b/>
          <w:sz w:val="28"/>
          <w:szCs w:val="28"/>
          <w:lang w:eastAsia="zh-CN"/>
        </w:rPr>
        <w:t>如果第34</w:t>
      </w:r>
      <w:r>
        <w:rPr>
          <w:rFonts w:eastAsia="宋体"/>
          <w:b/>
          <w:spacing w:val="-4"/>
          <w:sz w:val="28"/>
          <w:szCs w:val="28"/>
          <w:lang w:eastAsia="zh-CN"/>
        </w:rPr>
        <w:t>题</w:t>
      </w:r>
      <w:r>
        <w:rPr>
          <w:rFonts w:eastAsia="宋体"/>
          <w:b/>
          <w:spacing w:val="-2"/>
          <w:sz w:val="28"/>
          <w:szCs w:val="28"/>
          <w:lang w:eastAsia="zh-CN"/>
        </w:rPr>
        <w:t>的</w:t>
      </w:r>
      <w:r>
        <w:rPr>
          <w:rFonts w:eastAsia="宋体"/>
          <w:b/>
          <w:sz w:val="28"/>
          <w:szCs w:val="28"/>
          <w:lang w:eastAsia="zh-CN"/>
        </w:rPr>
        <w:t>答案是肯定的，这些培训是强制性的吗?</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36a.管理人员</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36b.(相关)非管理人员</w:t>
      </w:r>
      <w:r>
        <w:rPr>
          <w:rFonts w:hint="eastAsia" w:eastAsia="宋体"/>
          <w:sz w:val="28"/>
          <w:szCs w:val="28"/>
          <w:lang w:eastAsia="zh-CN"/>
        </w:rPr>
        <w:t>；</w:t>
      </w:r>
      <w:r>
        <w:rPr>
          <w:rFonts w:eastAsia="宋体"/>
          <w:sz w:val="28"/>
          <w:szCs w:val="28"/>
          <w:lang w:eastAsia="zh-CN"/>
        </w:rPr>
        <w:tab/>
      </w:r>
    </w:p>
    <w:p>
      <w:pPr>
        <w:pStyle w:val="5"/>
        <w:spacing w:line="400" w:lineRule="exact"/>
        <w:ind w:firstLine="560" w:firstLineChars="200"/>
        <w:jc w:val="both"/>
        <w:rPr>
          <w:rFonts w:eastAsia="宋体"/>
          <w:sz w:val="28"/>
          <w:szCs w:val="28"/>
          <w:lang w:eastAsia="zh-CN"/>
        </w:rPr>
      </w:pPr>
      <w:r>
        <w:rPr>
          <w:rFonts w:eastAsia="宋体"/>
          <w:sz w:val="28"/>
          <w:szCs w:val="28"/>
          <w:lang w:eastAsia="zh-CN"/>
        </w:rPr>
        <w:t>36c.其他</w:t>
      </w:r>
    </w:p>
    <w:p>
      <w:pPr>
        <w:pStyle w:val="5"/>
        <w:spacing w:line="400" w:lineRule="exact"/>
        <w:ind w:firstLine="560" w:firstLineChars="200"/>
        <w:jc w:val="both"/>
        <w:rPr>
          <w:rFonts w:eastAsia="宋体"/>
          <w:sz w:val="28"/>
          <w:szCs w:val="28"/>
          <w:lang w:eastAsia="zh-CN"/>
        </w:rPr>
      </w:pPr>
    </w:p>
    <w:p>
      <w:pPr>
        <w:pStyle w:val="11"/>
        <w:tabs>
          <w:tab w:val="left" w:pos="561"/>
          <w:tab w:val="left" w:pos="1153"/>
          <w:tab w:val="left" w:pos="1877"/>
          <w:tab w:val="left" w:pos="4009"/>
          <w:tab w:val="left" w:pos="4624"/>
          <w:tab w:val="left" w:pos="5656"/>
          <w:tab w:val="left" w:pos="6186"/>
          <w:tab w:val="left" w:pos="7240"/>
          <w:tab w:val="left" w:pos="7660"/>
          <w:tab w:val="left" w:pos="8570"/>
          <w:tab w:val="left" w:pos="8990"/>
        </w:tabs>
        <w:spacing w:line="400" w:lineRule="exact"/>
        <w:ind w:left="0" w:firstLine="562" w:firstLineChars="200"/>
        <w:rPr>
          <w:rFonts w:eastAsia="宋体"/>
          <w:sz w:val="28"/>
          <w:szCs w:val="28"/>
          <w:lang w:eastAsia="zh-CN"/>
        </w:rPr>
      </w:pPr>
      <w:r>
        <w:rPr>
          <w:rFonts w:eastAsia="宋体"/>
          <w:b/>
          <w:bCs/>
          <w:sz w:val="28"/>
          <w:szCs w:val="28"/>
          <w:lang w:eastAsia="zh-CN"/>
        </w:rPr>
        <w:t>37.</w:t>
      </w:r>
      <w:r>
        <w:rPr>
          <w:rFonts w:eastAsia="宋体"/>
          <w:b/>
          <w:spacing w:val="-4"/>
          <w:sz w:val="28"/>
          <w:szCs w:val="28"/>
          <w:lang w:eastAsia="zh-CN"/>
        </w:rPr>
        <w:t>银行部门</w:t>
      </w:r>
      <w:r>
        <w:rPr>
          <w:rFonts w:eastAsia="宋体"/>
          <w:b/>
          <w:spacing w:val="-2"/>
          <w:sz w:val="28"/>
          <w:szCs w:val="28"/>
          <w:lang w:eastAsia="zh-CN"/>
        </w:rPr>
        <w:t>是否有</w:t>
      </w:r>
      <w:r>
        <w:rPr>
          <w:rFonts w:eastAsia="宋体"/>
          <w:b/>
          <w:spacing w:val="-4"/>
          <w:sz w:val="28"/>
          <w:szCs w:val="28"/>
          <w:lang w:eastAsia="zh-CN"/>
        </w:rPr>
        <w:t>促进</w:t>
      </w:r>
      <w:r>
        <w:rPr>
          <w:rFonts w:eastAsia="宋体"/>
          <w:b/>
          <w:spacing w:val="-2"/>
          <w:sz w:val="28"/>
          <w:szCs w:val="28"/>
          <w:lang w:eastAsia="zh-CN"/>
        </w:rPr>
        <w:t>女性</w:t>
      </w:r>
      <w:r>
        <w:rPr>
          <w:rFonts w:eastAsia="宋体"/>
          <w:b/>
          <w:spacing w:val="-4"/>
          <w:sz w:val="28"/>
          <w:szCs w:val="28"/>
          <w:lang w:eastAsia="zh-CN"/>
        </w:rPr>
        <w:t>担任高级行政/管理职位的</w:t>
      </w:r>
      <w:r>
        <w:rPr>
          <w:rFonts w:eastAsia="宋体"/>
          <w:b/>
          <w:spacing w:val="-2"/>
          <w:sz w:val="28"/>
          <w:szCs w:val="28"/>
          <w:lang w:eastAsia="zh-CN"/>
        </w:rPr>
        <w:t>计划/倡议</w:t>
      </w:r>
      <w:r>
        <w:rPr>
          <w:rFonts w:eastAsia="宋体"/>
          <w:b/>
          <w:spacing w:val="-6"/>
          <w:sz w:val="28"/>
          <w:szCs w:val="28"/>
          <w:lang w:eastAsia="zh-CN"/>
        </w:rPr>
        <w:t>?</w:t>
      </w:r>
      <w:r>
        <w:rPr>
          <w:rFonts w:eastAsia="宋体"/>
          <w:sz w:val="28"/>
          <w:szCs w:val="28"/>
          <w:lang w:eastAsia="zh-CN"/>
        </w:rPr>
        <w:t>(Y/N)</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38.</w:t>
      </w:r>
      <w:r>
        <w:rPr>
          <w:rFonts w:eastAsia="宋体"/>
          <w:b/>
          <w:sz w:val="28"/>
          <w:szCs w:val="28"/>
          <w:lang w:eastAsia="zh-CN"/>
        </w:rPr>
        <w:t>银行部门是否有促进女性担任非管理职位(例如信贷员)的计划/倡议?</w:t>
      </w:r>
      <w:r>
        <w:rPr>
          <w:rFonts w:eastAsia="宋体"/>
          <w:sz w:val="28"/>
          <w:szCs w:val="28"/>
          <w:lang w:eastAsia="zh-CN"/>
        </w:rPr>
        <w:t>(Y/N)</w:t>
      </w:r>
    </w:p>
    <w:p>
      <w:pPr>
        <w:spacing w:line="400" w:lineRule="exact"/>
        <w:rPr>
          <w:rFonts w:eastAsia="宋体"/>
          <w:sz w:val="28"/>
          <w:szCs w:val="28"/>
          <w:lang w:eastAsia="zh-CN"/>
        </w:rPr>
        <w:sectPr>
          <w:pgSz w:w="12240" w:h="15840"/>
          <w:pgMar w:top="1440" w:right="1800" w:bottom="1440" w:left="1800" w:header="720" w:footer="720" w:gutter="0"/>
          <w:cols w:space="720" w:num="1"/>
        </w:sectPr>
      </w:pPr>
    </w:p>
    <w:tbl>
      <w:tblPr>
        <w:tblStyle w:val="8"/>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60"/>
        <w:gridCol w:w="1056"/>
        <w:gridCol w:w="1085"/>
        <w:gridCol w:w="1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2" w:type="dxa"/>
            <w:gridSpan w:val="4"/>
            <w:shd w:val="clear" w:color="auto" w:fill="CCD4EA"/>
          </w:tcPr>
          <w:p>
            <w:pPr>
              <w:pStyle w:val="12"/>
              <w:spacing w:before="101"/>
              <w:rPr>
                <w:rFonts w:eastAsia="宋体"/>
                <w:b/>
                <w:sz w:val="21"/>
                <w:szCs w:val="21"/>
              </w:rPr>
            </w:pPr>
            <w:r>
              <w:rPr>
                <w:rFonts w:eastAsia="宋体"/>
                <w:b/>
                <w:color w:val="4471C4"/>
                <w:sz w:val="21"/>
                <w:szCs w:val="21"/>
              </w:rPr>
              <w:t>2.4性别金融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2" w:type="dxa"/>
            <w:gridSpan w:val="4"/>
            <w:shd w:val="clear" w:color="auto" w:fill="E7EBF5"/>
          </w:tcPr>
          <w:p>
            <w:pPr>
              <w:pStyle w:val="12"/>
              <w:spacing w:before="101"/>
              <w:ind w:left="467"/>
              <w:rPr>
                <w:rFonts w:eastAsia="宋体"/>
                <w:b/>
                <w:sz w:val="21"/>
                <w:szCs w:val="21"/>
                <w:lang w:eastAsia="zh-CN"/>
              </w:rPr>
            </w:pPr>
            <w:r>
              <w:rPr>
                <w:rFonts w:eastAsia="宋体"/>
                <w:b/>
                <w:sz w:val="21"/>
                <w:szCs w:val="21"/>
                <w:lang w:eastAsia="zh-CN"/>
              </w:rPr>
              <w:t>2.4.1促进妇女获得金融服务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60" w:type="dxa"/>
          </w:tcPr>
          <w:p>
            <w:pPr>
              <w:pStyle w:val="12"/>
              <w:spacing w:before="26"/>
              <w:rPr>
                <w:rFonts w:eastAsia="宋体"/>
                <w:b/>
                <w:sz w:val="21"/>
                <w:szCs w:val="21"/>
              </w:rPr>
            </w:pPr>
            <w:r>
              <w:rPr>
                <w:rFonts w:eastAsia="宋体"/>
                <w:b/>
                <w:spacing w:val="-2"/>
                <w:sz w:val="21"/>
                <w:szCs w:val="21"/>
              </w:rPr>
              <w:t>指标</w:t>
            </w:r>
          </w:p>
        </w:tc>
        <w:tc>
          <w:tcPr>
            <w:tcW w:w="1056" w:type="dxa"/>
          </w:tcPr>
          <w:p>
            <w:pPr>
              <w:pStyle w:val="12"/>
              <w:spacing w:before="26"/>
              <w:jc w:val="center"/>
              <w:rPr>
                <w:rFonts w:eastAsia="宋体"/>
                <w:b/>
                <w:sz w:val="21"/>
                <w:szCs w:val="21"/>
              </w:rPr>
            </w:pPr>
            <w:r>
              <w:rPr>
                <w:rFonts w:eastAsia="宋体"/>
                <w:b/>
                <w:spacing w:val="-5"/>
                <w:sz w:val="21"/>
                <w:szCs w:val="21"/>
              </w:rPr>
              <w:t>FFP</w:t>
            </w:r>
          </w:p>
        </w:tc>
        <w:tc>
          <w:tcPr>
            <w:tcW w:w="1085" w:type="dxa"/>
          </w:tcPr>
          <w:p>
            <w:pPr>
              <w:pStyle w:val="12"/>
              <w:spacing w:before="26"/>
              <w:jc w:val="center"/>
              <w:rPr>
                <w:rFonts w:eastAsia="宋体"/>
                <w:b/>
                <w:sz w:val="21"/>
                <w:szCs w:val="21"/>
              </w:rPr>
            </w:pPr>
            <w:r>
              <w:rPr>
                <w:rFonts w:eastAsia="宋体"/>
                <w:b/>
                <w:spacing w:val="-5"/>
                <w:sz w:val="21"/>
                <w:szCs w:val="21"/>
              </w:rPr>
              <w:t>SBP</w:t>
            </w:r>
          </w:p>
        </w:tc>
        <w:tc>
          <w:tcPr>
            <w:tcW w:w="1251" w:type="dxa"/>
          </w:tcPr>
          <w:p>
            <w:pPr>
              <w:pStyle w:val="12"/>
              <w:spacing w:before="26"/>
              <w:ind w:left="108"/>
              <w:jc w:val="center"/>
              <w:rPr>
                <w:rFonts w:eastAsia="宋体"/>
                <w:b/>
                <w:sz w:val="21"/>
                <w:szCs w:val="21"/>
              </w:rPr>
            </w:pP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5960" w:type="dxa"/>
            <w:tcBorders>
              <w:bottom w:val="nil"/>
            </w:tcBorders>
          </w:tcPr>
          <w:p>
            <w:pPr>
              <w:pStyle w:val="12"/>
              <w:spacing w:before="1"/>
              <w:ind w:right="-15"/>
              <w:rPr>
                <w:rFonts w:eastAsia="宋体"/>
                <w:b/>
                <w:sz w:val="21"/>
                <w:szCs w:val="21"/>
                <w:lang w:eastAsia="zh-CN"/>
              </w:rPr>
            </w:pPr>
            <w:r>
              <w:rPr>
                <w:rFonts w:eastAsia="宋体"/>
                <w:b/>
                <w:sz w:val="21"/>
                <w:szCs w:val="21"/>
                <w:lang w:eastAsia="zh-CN"/>
              </w:rPr>
              <w:t>针对女性的产品和促进女性发展的项目</w:t>
            </w:r>
          </w:p>
        </w:tc>
        <w:tc>
          <w:tcPr>
            <w:tcW w:w="1056" w:type="dxa"/>
            <w:tcBorders>
              <w:bottom w:val="nil"/>
            </w:tcBorders>
          </w:tcPr>
          <w:p>
            <w:pPr>
              <w:pStyle w:val="12"/>
              <w:spacing w:before="12"/>
              <w:jc w:val="center"/>
              <w:rPr>
                <w:rFonts w:eastAsia="宋体"/>
                <w:b/>
                <w:sz w:val="21"/>
                <w:szCs w:val="21"/>
              </w:rPr>
            </w:pPr>
            <w:r>
              <w:rPr>
                <w:rFonts w:eastAsia="宋体"/>
                <w:b/>
                <w:w w:val="99"/>
                <w:sz w:val="21"/>
                <w:szCs w:val="21"/>
              </w:rPr>
              <w:t>1</w:t>
            </w:r>
          </w:p>
        </w:tc>
        <w:tc>
          <w:tcPr>
            <w:tcW w:w="1085" w:type="dxa"/>
            <w:tcBorders>
              <w:bottom w:val="nil"/>
            </w:tcBorders>
          </w:tcPr>
          <w:p>
            <w:pPr>
              <w:pStyle w:val="12"/>
              <w:spacing w:before="12"/>
              <w:jc w:val="center"/>
              <w:rPr>
                <w:rFonts w:eastAsia="宋体"/>
                <w:b/>
                <w:sz w:val="21"/>
                <w:szCs w:val="21"/>
              </w:rPr>
            </w:pPr>
            <w:r>
              <w:rPr>
                <w:rFonts w:eastAsia="宋体"/>
                <w:b/>
                <w:w w:val="99"/>
                <w:sz w:val="21"/>
                <w:szCs w:val="21"/>
              </w:rPr>
              <w:t>1</w:t>
            </w:r>
          </w:p>
        </w:tc>
        <w:tc>
          <w:tcPr>
            <w:tcW w:w="1251" w:type="dxa"/>
            <w:tcBorders>
              <w:bottom w:val="nil"/>
            </w:tcBorders>
          </w:tcPr>
          <w:p>
            <w:pPr>
              <w:pStyle w:val="12"/>
              <w:spacing w:before="12"/>
              <w:ind w:left="108"/>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5960" w:type="dxa"/>
            <w:tcBorders>
              <w:top w:val="nil"/>
              <w:bottom w:val="nil"/>
            </w:tcBorders>
          </w:tcPr>
          <w:p>
            <w:pPr>
              <w:pStyle w:val="12"/>
              <w:tabs>
                <w:tab w:val="left" w:pos="467"/>
              </w:tabs>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b/>
                <w:sz w:val="21"/>
                <w:szCs w:val="21"/>
                <w:lang w:eastAsia="zh-CN"/>
              </w:rPr>
              <w:t>商业银行是否提供</w:t>
            </w:r>
            <w:r>
              <w:rPr>
                <w:rFonts w:eastAsia="宋体"/>
                <w:sz w:val="21"/>
                <w:szCs w:val="21"/>
                <w:lang w:eastAsia="zh-CN"/>
              </w:rPr>
              <w:t>针对女性的商业理财产品</w:t>
            </w:r>
          </w:p>
        </w:tc>
        <w:tc>
          <w:tcPr>
            <w:tcW w:w="1056" w:type="dxa"/>
            <w:tcBorders>
              <w:top w:val="nil"/>
              <w:bottom w:val="nil"/>
            </w:tcBorders>
          </w:tcPr>
          <w:p>
            <w:pPr>
              <w:pStyle w:val="12"/>
              <w:jc w:val="center"/>
              <w:rPr>
                <w:rFonts w:eastAsia="宋体"/>
                <w:sz w:val="21"/>
                <w:szCs w:val="21"/>
              </w:rPr>
            </w:pPr>
            <w:r>
              <w:rPr>
                <w:rFonts w:eastAsia="宋体"/>
                <w:spacing w:val="-4"/>
                <w:sz w:val="21"/>
                <w:szCs w:val="21"/>
              </w:rPr>
              <w:t>0.25</w:t>
            </w:r>
          </w:p>
        </w:tc>
        <w:tc>
          <w:tcPr>
            <w:tcW w:w="1085" w:type="dxa"/>
            <w:tcBorders>
              <w:top w:val="nil"/>
              <w:bottom w:val="nil"/>
            </w:tcBorders>
          </w:tcPr>
          <w:p>
            <w:pPr>
              <w:pStyle w:val="12"/>
              <w:jc w:val="center"/>
              <w:rPr>
                <w:rFonts w:eastAsia="宋体"/>
                <w:sz w:val="21"/>
                <w:szCs w:val="21"/>
              </w:rPr>
            </w:pPr>
            <w:r>
              <w:rPr>
                <w:rFonts w:eastAsia="宋体"/>
                <w:spacing w:val="-4"/>
                <w:sz w:val="21"/>
                <w:szCs w:val="21"/>
              </w:rPr>
              <w:t>0.25</w:t>
            </w:r>
          </w:p>
        </w:tc>
        <w:tc>
          <w:tcPr>
            <w:tcW w:w="1251" w:type="dxa"/>
            <w:tcBorders>
              <w:top w:val="nil"/>
              <w:bottom w:val="nil"/>
            </w:tcBorders>
          </w:tcPr>
          <w:p>
            <w:pPr>
              <w:pStyle w:val="12"/>
              <w:ind w:left="108"/>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960" w:type="dxa"/>
            <w:tcBorders>
              <w:top w:val="nil"/>
              <w:bottom w:val="nil"/>
            </w:tcBorders>
          </w:tcPr>
          <w:p>
            <w:pPr>
              <w:pStyle w:val="12"/>
              <w:ind w:left="467"/>
              <w:rPr>
                <w:rFonts w:eastAsia="宋体"/>
                <w:sz w:val="21"/>
                <w:szCs w:val="21"/>
              </w:rPr>
            </w:pPr>
            <w:r>
              <w:rPr>
                <w:rFonts w:eastAsia="宋体"/>
                <w:sz w:val="21"/>
                <w:szCs w:val="21"/>
              </w:rPr>
              <w:t>(27和29)</w:t>
            </w:r>
          </w:p>
        </w:tc>
        <w:tc>
          <w:tcPr>
            <w:tcW w:w="1056" w:type="dxa"/>
            <w:tcBorders>
              <w:top w:val="nil"/>
              <w:bottom w:val="nil"/>
            </w:tcBorders>
          </w:tcPr>
          <w:p>
            <w:pPr>
              <w:pStyle w:val="12"/>
              <w:ind w:left="0"/>
              <w:jc w:val="center"/>
              <w:rPr>
                <w:rFonts w:eastAsia="宋体"/>
                <w:sz w:val="21"/>
                <w:szCs w:val="21"/>
              </w:rPr>
            </w:pPr>
          </w:p>
        </w:tc>
        <w:tc>
          <w:tcPr>
            <w:tcW w:w="1085" w:type="dxa"/>
            <w:tcBorders>
              <w:top w:val="nil"/>
              <w:bottom w:val="nil"/>
            </w:tcBorders>
          </w:tcPr>
          <w:p>
            <w:pPr>
              <w:pStyle w:val="12"/>
              <w:ind w:left="0"/>
              <w:jc w:val="center"/>
              <w:rPr>
                <w:rFonts w:eastAsia="宋体"/>
                <w:sz w:val="21"/>
                <w:szCs w:val="21"/>
              </w:rPr>
            </w:pPr>
          </w:p>
        </w:tc>
        <w:tc>
          <w:tcPr>
            <w:tcW w:w="1251" w:type="dxa"/>
            <w:tcBorders>
              <w:top w:val="nil"/>
              <w:bottom w:val="nil"/>
            </w:tcBorders>
          </w:tcPr>
          <w:p>
            <w:pPr>
              <w:pStyle w:val="12"/>
              <w:ind w:left="0"/>
              <w:jc w:val="center"/>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960" w:type="dxa"/>
            <w:tcBorders>
              <w:top w:val="nil"/>
              <w:bottom w:val="nil"/>
            </w:tcBorders>
          </w:tcPr>
          <w:p>
            <w:pPr>
              <w:pStyle w:val="12"/>
              <w:tabs>
                <w:tab w:val="left" w:pos="467"/>
              </w:tabs>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b/>
                <w:sz w:val="21"/>
                <w:szCs w:val="21"/>
                <w:lang w:eastAsia="zh-CN"/>
              </w:rPr>
              <w:t>商业银行</w:t>
            </w:r>
            <w:r>
              <w:rPr>
                <w:rFonts w:eastAsia="宋体"/>
                <w:sz w:val="21"/>
                <w:szCs w:val="21"/>
                <w:lang w:eastAsia="zh-CN"/>
              </w:rPr>
              <w:t>是否提供有针对女性的(业务发展)非金融产品</w:t>
            </w:r>
          </w:p>
        </w:tc>
        <w:tc>
          <w:tcPr>
            <w:tcW w:w="1056" w:type="dxa"/>
            <w:tcBorders>
              <w:top w:val="nil"/>
              <w:bottom w:val="nil"/>
            </w:tcBorders>
          </w:tcPr>
          <w:p>
            <w:pPr>
              <w:pStyle w:val="12"/>
              <w:jc w:val="center"/>
              <w:rPr>
                <w:rFonts w:eastAsia="宋体"/>
                <w:sz w:val="21"/>
                <w:szCs w:val="21"/>
              </w:rPr>
            </w:pPr>
            <w:r>
              <w:rPr>
                <w:rFonts w:eastAsia="宋体"/>
                <w:spacing w:val="-4"/>
                <w:sz w:val="21"/>
                <w:szCs w:val="21"/>
              </w:rPr>
              <w:t>0.25</w:t>
            </w:r>
          </w:p>
        </w:tc>
        <w:tc>
          <w:tcPr>
            <w:tcW w:w="1085" w:type="dxa"/>
            <w:tcBorders>
              <w:top w:val="nil"/>
              <w:bottom w:val="nil"/>
            </w:tcBorders>
          </w:tcPr>
          <w:p>
            <w:pPr>
              <w:pStyle w:val="12"/>
              <w:jc w:val="center"/>
              <w:rPr>
                <w:rFonts w:eastAsia="宋体"/>
                <w:sz w:val="21"/>
                <w:szCs w:val="21"/>
              </w:rPr>
            </w:pPr>
            <w:r>
              <w:rPr>
                <w:rFonts w:eastAsia="宋体"/>
                <w:spacing w:val="-4"/>
                <w:sz w:val="21"/>
                <w:szCs w:val="21"/>
              </w:rPr>
              <w:t>0.25</w:t>
            </w:r>
          </w:p>
        </w:tc>
        <w:tc>
          <w:tcPr>
            <w:tcW w:w="1251" w:type="dxa"/>
            <w:tcBorders>
              <w:top w:val="nil"/>
              <w:bottom w:val="nil"/>
            </w:tcBorders>
          </w:tcPr>
          <w:p>
            <w:pPr>
              <w:pStyle w:val="12"/>
              <w:ind w:left="108"/>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5960" w:type="dxa"/>
            <w:tcBorders>
              <w:top w:val="nil"/>
              <w:bottom w:val="nil"/>
            </w:tcBorders>
          </w:tcPr>
          <w:p>
            <w:pPr>
              <w:pStyle w:val="12"/>
              <w:ind w:left="467"/>
              <w:rPr>
                <w:rFonts w:eastAsia="宋体"/>
                <w:sz w:val="21"/>
                <w:szCs w:val="21"/>
              </w:rPr>
            </w:pPr>
            <w:r>
              <w:rPr>
                <w:rFonts w:eastAsia="宋体"/>
                <w:sz w:val="21"/>
                <w:szCs w:val="21"/>
              </w:rPr>
              <w:t>(30和31以及32和</w:t>
            </w:r>
            <w:r>
              <w:rPr>
                <w:rFonts w:eastAsia="宋体"/>
                <w:spacing w:val="-5"/>
                <w:sz w:val="21"/>
                <w:szCs w:val="21"/>
              </w:rPr>
              <w:t>33)</w:t>
            </w:r>
          </w:p>
        </w:tc>
        <w:tc>
          <w:tcPr>
            <w:tcW w:w="1056" w:type="dxa"/>
            <w:tcBorders>
              <w:top w:val="nil"/>
              <w:bottom w:val="nil"/>
            </w:tcBorders>
          </w:tcPr>
          <w:p>
            <w:pPr>
              <w:pStyle w:val="12"/>
              <w:ind w:left="0"/>
              <w:jc w:val="center"/>
              <w:rPr>
                <w:rFonts w:eastAsia="宋体"/>
                <w:sz w:val="21"/>
                <w:szCs w:val="21"/>
              </w:rPr>
            </w:pPr>
          </w:p>
        </w:tc>
        <w:tc>
          <w:tcPr>
            <w:tcW w:w="1085" w:type="dxa"/>
            <w:tcBorders>
              <w:top w:val="nil"/>
              <w:bottom w:val="nil"/>
            </w:tcBorders>
          </w:tcPr>
          <w:p>
            <w:pPr>
              <w:pStyle w:val="12"/>
              <w:ind w:left="0"/>
              <w:jc w:val="center"/>
              <w:rPr>
                <w:rFonts w:eastAsia="宋体"/>
                <w:sz w:val="21"/>
                <w:szCs w:val="21"/>
              </w:rPr>
            </w:pPr>
          </w:p>
        </w:tc>
        <w:tc>
          <w:tcPr>
            <w:tcW w:w="1251" w:type="dxa"/>
            <w:tcBorders>
              <w:top w:val="nil"/>
              <w:bottom w:val="nil"/>
            </w:tcBorders>
          </w:tcPr>
          <w:p>
            <w:pPr>
              <w:pStyle w:val="12"/>
              <w:ind w:left="0"/>
              <w:jc w:val="center"/>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960" w:type="dxa"/>
            <w:tcBorders>
              <w:top w:val="nil"/>
              <w:bottom w:val="nil"/>
            </w:tcBorders>
          </w:tcPr>
          <w:p>
            <w:pPr>
              <w:pStyle w:val="12"/>
              <w:tabs>
                <w:tab w:val="left" w:pos="467"/>
              </w:tabs>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b/>
                <w:sz w:val="21"/>
                <w:szCs w:val="21"/>
                <w:lang w:eastAsia="zh-CN"/>
              </w:rPr>
              <w:t>商业银行从业人员</w:t>
            </w:r>
            <w:r>
              <w:rPr>
                <w:rFonts w:eastAsia="宋体"/>
                <w:sz w:val="21"/>
                <w:szCs w:val="21"/>
                <w:lang w:eastAsia="zh-CN"/>
              </w:rPr>
              <w:t>是否有无意识偏见/性别多样性培训</w:t>
            </w:r>
          </w:p>
        </w:tc>
        <w:tc>
          <w:tcPr>
            <w:tcW w:w="1056" w:type="dxa"/>
            <w:tcBorders>
              <w:top w:val="nil"/>
              <w:bottom w:val="nil"/>
            </w:tcBorders>
          </w:tcPr>
          <w:p>
            <w:pPr>
              <w:pStyle w:val="12"/>
              <w:jc w:val="center"/>
              <w:rPr>
                <w:rFonts w:eastAsia="宋体"/>
                <w:sz w:val="21"/>
                <w:szCs w:val="21"/>
              </w:rPr>
            </w:pPr>
            <w:r>
              <w:rPr>
                <w:rFonts w:eastAsia="宋体"/>
                <w:spacing w:val="-4"/>
                <w:sz w:val="21"/>
                <w:szCs w:val="21"/>
              </w:rPr>
              <w:t>0.25</w:t>
            </w:r>
          </w:p>
        </w:tc>
        <w:tc>
          <w:tcPr>
            <w:tcW w:w="1085" w:type="dxa"/>
            <w:tcBorders>
              <w:top w:val="nil"/>
              <w:bottom w:val="nil"/>
            </w:tcBorders>
          </w:tcPr>
          <w:p>
            <w:pPr>
              <w:pStyle w:val="12"/>
              <w:jc w:val="center"/>
              <w:rPr>
                <w:rFonts w:eastAsia="宋体"/>
                <w:sz w:val="21"/>
                <w:szCs w:val="21"/>
              </w:rPr>
            </w:pPr>
            <w:r>
              <w:rPr>
                <w:rFonts w:eastAsia="宋体"/>
                <w:spacing w:val="-4"/>
                <w:sz w:val="21"/>
                <w:szCs w:val="21"/>
              </w:rPr>
              <w:t>0.25</w:t>
            </w:r>
          </w:p>
        </w:tc>
        <w:tc>
          <w:tcPr>
            <w:tcW w:w="1251" w:type="dxa"/>
            <w:tcBorders>
              <w:top w:val="nil"/>
              <w:bottom w:val="nil"/>
            </w:tcBorders>
          </w:tcPr>
          <w:p>
            <w:pPr>
              <w:pStyle w:val="12"/>
              <w:ind w:left="108"/>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960" w:type="dxa"/>
            <w:tcBorders>
              <w:top w:val="nil"/>
              <w:bottom w:val="nil"/>
            </w:tcBorders>
          </w:tcPr>
          <w:p>
            <w:pPr>
              <w:pStyle w:val="12"/>
              <w:ind w:left="467"/>
              <w:rPr>
                <w:rFonts w:eastAsia="宋体"/>
                <w:sz w:val="21"/>
                <w:szCs w:val="21"/>
              </w:rPr>
            </w:pPr>
            <w:r>
              <w:rPr>
                <w:rFonts w:eastAsia="宋体"/>
                <w:sz w:val="21"/>
                <w:szCs w:val="21"/>
              </w:rPr>
              <w:t>(34、35、36)</w:t>
            </w:r>
          </w:p>
        </w:tc>
        <w:tc>
          <w:tcPr>
            <w:tcW w:w="1056" w:type="dxa"/>
            <w:tcBorders>
              <w:top w:val="nil"/>
              <w:bottom w:val="nil"/>
            </w:tcBorders>
          </w:tcPr>
          <w:p>
            <w:pPr>
              <w:pStyle w:val="12"/>
              <w:ind w:left="0"/>
              <w:jc w:val="center"/>
              <w:rPr>
                <w:rFonts w:eastAsia="宋体"/>
                <w:sz w:val="21"/>
                <w:szCs w:val="21"/>
              </w:rPr>
            </w:pPr>
          </w:p>
        </w:tc>
        <w:tc>
          <w:tcPr>
            <w:tcW w:w="1085" w:type="dxa"/>
            <w:tcBorders>
              <w:top w:val="nil"/>
              <w:bottom w:val="nil"/>
            </w:tcBorders>
          </w:tcPr>
          <w:p>
            <w:pPr>
              <w:pStyle w:val="12"/>
              <w:ind w:left="0"/>
              <w:jc w:val="center"/>
              <w:rPr>
                <w:rFonts w:eastAsia="宋体"/>
                <w:sz w:val="21"/>
                <w:szCs w:val="21"/>
              </w:rPr>
            </w:pPr>
          </w:p>
        </w:tc>
        <w:tc>
          <w:tcPr>
            <w:tcW w:w="1251" w:type="dxa"/>
            <w:tcBorders>
              <w:top w:val="nil"/>
              <w:bottom w:val="nil"/>
            </w:tcBorders>
          </w:tcPr>
          <w:p>
            <w:pPr>
              <w:pStyle w:val="12"/>
              <w:ind w:left="0"/>
              <w:jc w:val="center"/>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5960" w:type="dxa"/>
            <w:tcBorders>
              <w:top w:val="nil"/>
              <w:bottom w:val="nil"/>
            </w:tcBorders>
          </w:tcPr>
          <w:p>
            <w:pPr>
              <w:pStyle w:val="12"/>
              <w:tabs>
                <w:tab w:val="left" w:pos="467"/>
              </w:tabs>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b/>
                <w:sz w:val="21"/>
                <w:szCs w:val="21"/>
                <w:lang w:eastAsia="zh-CN"/>
              </w:rPr>
              <w:t>存在促进妇女在银行部门担任高级行政/管理职务和/或非管理职务的方案/举措</w:t>
            </w:r>
          </w:p>
        </w:tc>
        <w:tc>
          <w:tcPr>
            <w:tcW w:w="1056" w:type="dxa"/>
            <w:tcBorders>
              <w:top w:val="nil"/>
              <w:bottom w:val="nil"/>
            </w:tcBorders>
          </w:tcPr>
          <w:p>
            <w:pPr>
              <w:pStyle w:val="12"/>
              <w:jc w:val="center"/>
              <w:rPr>
                <w:rFonts w:eastAsia="宋体"/>
                <w:sz w:val="21"/>
                <w:szCs w:val="21"/>
              </w:rPr>
            </w:pPr>
            <w:r>
              <w:rPr>
                <w:rFonts w:eastAsia="宋体"/>
                <w:spacing w:val="-4"/>
                <w:sz w:val="21"/>
                <w:szCs w:val="21"/>
              </w:rPr>
              <w:t>0.25</w:t>
            </w:r>
          </w:p>
        </w:tc>
        <w:tc>
          <w:tcPr>
            <w:tcW w:w="1085" w:type="dxa"/>
            <w:tcBorders>
              <w:top w:val="nil"/>
              <w:bottom w:val="nil"/>
            </w:tcBorders>
          </w:tcPr>
          <w:p>
            <w:pPr>
              <w:pStyle w:val="12"/>
              <w:jc w:val="center"/>
              <w:rPr>
                <w:rFonts w:eastAsia="宋体"/>
                <w:sz w:val="21"/>
                <w:szCs w:val="21"/>
              </w:rPr>
            </w:pPr>
            <w:r>
              <w:rPr>
                <w:rFonts w:eastAsia="宋体"/>
                <w:spacing w:val="-4"/>
                <w:sz w:val="21"/>
                <w:szCs w:val="21"/>
              </w:rPr>
              <w:t>0.25</w:t>
            </w:r>
          </w:p>
        </w:tc>
        <w:tc>
          <w:tcPr>
            <w:tcW w:w="1251" w:type="dxa"/>
            <w:tcBorders>
              <w:top w:val="nil"/>
              <w:bottom w:val="nil"/>
            </w:tcBorders>
          </w:tcPr>
          <w:p>
            <w:pPr>
              <w:pStyle w:val="12"/>
              <w:ind w:left="108"/>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960" w:type="dxa"/>
            <w:tcBorders>
              <w:top w:val="nil"/>
            </w:tcBorders>
          </w:tcPr>
          <w:p>
            <w:pPr>
              <w:pStyle w:val="12"/>
              <w:spacing w:before="2"/>
              <w:ind w:left="467"/>
              <w:rPr>
                <w:rFonts w:eastAsia="宋体"/>
                <w:sz w:val="21"/>
                <w:szCs w:val="21"/>
              </w:rPr>
            </w:pPr>
            <w:r>
              <w:rPr>
                <w:rFonts w:eastAsia="宋体"/>
                <w:sz w:val="21"/>
                <w:szCs w:val="21"/>
              </w:rPr>
              <w:t>(37和38)</w:t>
            </w:r>
          </w:p>
        </w:tc>
        <w:tc>
          <w:tcPr>
            <w:tcW w:w="1056" w:type="dxa"/>
            <w:tcBorders>
              <w:top w:val="nil"/>
            </w:tcBorders>
          </w:tcPr>
          <w:p>
            <w:pPr>
              <w:pStyle w:val="12"/>
              <w:ind w:left="0"/>
              <w:jc w:val="center"/>
              <w:rPr>
                <w:rFonts w:eastAsia="宋体"/>
                <w:sz w:val="21"/>
                <w:szCs w:val="21"/>
              </w:rPr>
            </w:pPr>
          </w:p>
        </w:tc>
        <w:tc>
          <w:tcPr>
            <w:tcW w:w="1085" w:type="dxa"/>
            <w:tcBorders>
              <w:top w:val="nil"/>
            </w:tcBorders>
          </w:tcPr>
          <w:p>
            <w:pPr>
              <w:pStyle w:val="12"/>
              <w:ind w:left="0"/>
              <w:jc w:val="center"/>
              <w:rPr>
                <w:rFonts w:eastAsia="宋体"/>
                <w:sz w:val="21"/>
                <w:szCs w:val="21"/>
              </w:rPr>
            </w:pPr>
          </w:p>
        </w:tc>
        <w:tc>
          <w:tcPr>
            <w:tcW w:w="1251" w:type="dxa"/>
            <w:tcBorders>
              <w:top w:val="nil"/>
            </w:tcBorders>
          </w:tcPr>
          <w:p>
            <w:pPr>
              <w:pStyle w:val="12"/>
              <w:ind w:left="0"/>
              <w:jc w:val="center"/>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960" w:type="dxa"/>
            <w:shd w:val="clear" w:color="auto" w:fill="FFC000"/>
          </w:tcPr>
          <w:p>
            <w:pPr>
              <w:pStyle w:val="12"/>
              <w:spacing w:before="26"/>
              <w:rPr>
                <w:rFonts w:eastAsia="宋体"/>
                <w:b/>
                <w:sz w:val="21"/>
                <w:szCs w:val="21"/>
              </w:rPr>
            </w:pPr>
            <w:r>
              <w:rPr>
                <w:rFonts w:eastAsia="宋体"/>
                <w:b/>
                <w:sz w:val="21"/>
                <w:szCs w:val="21"/>
                <w:lang w:eastAsia="zh-CN"/>
              </w:rPr>
              <w:t>总</w:t>
            </w:r>
            <w:r>
              <w:rPr>
                <w:rFonts w:hint="eastAsia" w:eastAsia="宋体"/>
                <w:b/>
                <w:sz w:val="21"/>
                <w:szCs w:val="21"/>
                <w:lang w:eastAsia="zh-CN"/>
              </w:rPr>
              <w:t>计</w:t>
            </w:r>
          </w:p>
        </w:tc>
        <w:tc>
          <w:tcPr>
            <w:tcW w:w="1056" w:type="dxa"/>
            <w:shd w:val="clear" w:color="auto" w:fill="FFC000"/>
          </w:tcPr>
          <w:p>
            <w:pPr>
              <w:pStyle w:val="12"/>
              <w:spacing w:before="26"/>
              <w:jc w:val="center"/>
              <w:rPr>
                <w:rFonts w:eastAsia="宋体"/>
                <w:b/>
                <w:sz w:val="21"/>
                <w:szCs w:val="21"/>
              </w:rPr>
            </w:pPr>
            <w:r>
              <w:rPr>
                <w:rFonts w:eastAsia="宋体"/>
                <w:b/>
                <w:w w:val="99"/>
                <w:sz w:val="21"/>
                <w:szCs w:val="21"/>
              </w:rPr>
              <w:t>1</w:t>
            </w:r>
          </w:p>
        </w:tc>
        <w:tc>
          <w:tcPr>
            <w:tcW w:w="1085" w:type="dxa"/>
            <w:shd w:val="clear" w:color="auto" w:fill="FFC000"/>
          </w:tcPr>
          <w:p>
            <w:pPr>
              <w:pStyle w:val="12"/>
              <w:spacing w:before="26"/>
              <w:jc w:val="center"/>
              <w:rPr>
                <w:rFonts w:eastAsia="宋体"/>
                <w:b/>
                <w:sz w:val="21"/>
                <w:szCs w:val="21"/>
              </w:rPr>
            </w:pPr>
            <w:r>
              <w:rPr>
                <w:rFonts w:eastAsia="宋体"/>
                <w:b/>
                <w:w w:val="99"/>
                <w:sz w:val="21"/>
                <w:szCs w:val="21"/>
              </w:rPr>
              <w:t>1</w:t>
            </w:r>
          </w:p>
        </w:tc>
        <w:tc>
          <w:tcPr>
            <w:tcW w:w="1251" w:type="dxa"/>
            <w:shd w:val="clear" w:color="auto" w:fill="FFC000"/>
          </w:tcPr>
          <w:p>
            <w:pPr>
              <w:pStyle w:val="12"/>
              <w:spacing w:before="26"/>
              <w:ind w:left="108"/>
              <w:jc w:val="center"/>
              <w:rPr>
                <w:rFonts w:eastAsia="宋体"/>
                <w:b/>
                <w:sz w:val="21"/>
                <w:szCs w:val="21"/>
              </w:rPr>
            </w:pPr>
            <w:r>
              <w:rPr>
                <w:rFonts w:eastAsia="宋体"/>
                <w:b/>
                <w:w w:val="99"/>
                <w:sz w:val="21"/>
                <w:szCs w:val="21"/>
              </w:rPr>
              <w:t>2</w:t>
            </w:r>
          </w:p>
        </w:tc>
      </w:tr>
    </w:tbl>
    <w:p>
      <w:pPr>
        <w:spacing w:before="7"/>
        <w:ind w:left="200"/>
        <w:rPr>
          <w:rFonts w:eastAsia="宋体"/>
          <w:sz w:val="20"/>
          <w:lang w:eastAsia="zh-CN"/>
        </w:rPr>
      </w:pPr>
      <w:r>
        <w:rPr>
          <w:rFonts w:eastAsia="宋体"/>
          <w:i/>
          <w:sz w:val="20"/>
          <w:lang w:eastAsia="zh-CN"/>
        </w:rPr>
        <w:t>注</w:t>
      </w:r>
      <w:r>
        <w:rPr>
          <w:rFonts w:hint="eastAsia" w:eastAsia="宋体"/>
          <w:i/>
          <w:sz w:val="20"/>
          <w:lang w:eastAsia="zh-CN"/>
        </w:rPr>
        <w:t>：</w:t>
      </w:r>
      <w:r>
        <w:rPr>
          <w:rFonts w:eastAsia="宋体"/>
          <w:sz w:val="20"/>
          <w:lang w:eastAsia="zh-CN"/>
        </w:rPr>
        <w:t>FFP =企业灵活度得分</w:t>
      </w:r>
      <w:r>
        <w:rPr>
          <w:rFonts w:hint="eastAsia" w:eastAsia="宋体"/>
          <w:sz w:val="20"/>
          <w:lang w:eastAsia="zh-CN"/>
        </w:rPr>
        <w:t>；</w:t>
      </w:r>
      <w:r>
        <w:rPr>
          <w:rFonts w:eastAsia="宋体"/>
          <w:sz w:val="20"/>
          <w:lang w:eastAsia="zh-CN"/>
        </w:rPr>
        <w:t>SBP =社会效益得分。</w:t>
      </w:r>
    </w:p>
    <w:p>
      <w:pPr>
        <w:rPr>
          <w:sz w:val="20"/>
          <w:lang w:eastAsia="zh-CN"/>
        </w:rPr>
        <w:sectPr>
          <w:pgSz w:w="12240" w:h="15840"/>
          <w:pgMar w:top="1440" w:right="1240" w:bottom="280" w:left="1240" w:header="720" w:footer="720" w:gutter="0"/>
          <w:cols w:space="720" w:num="1"/>
        </w:sectPr>
      </w:pPr>
    </w:p>
    <w:p>
      <w:pPr>
        <w:pStyle w:val="4"/>
        <w:jc w:val="center"/>
        <w:rPr>
          <w:rFonts w:eastAsia="宋体"/>
          <w:sz w:val="28"/>
          <w:szCs w:val="28"/>
          <w:lang w:eastAsia="zh-CN"/>
        </w:rPr>
      </w:pPr>
      <w:r>
        <w:rPr>
          <w:rFonts w:eastAsia="宋体"/>
          <w:color w:val="4F81BD" w:themeColor="accent1"/>
          <w:sz w:val="28"/>
          <w:szCs w:val="28"/>
          <w:lang w:eastAsia="zh-CN"/>
          <w14:textFill>
            <w14:solidFill>
              <w14:schemeClr w14:val="accent1"/>
            </w14:solidFill>
          </w14:textFill>
        </w:rPr>
        <w:t>担保交易的监管质量及抵押品登记的运作</w:t>
      </w:r>
    </w:p>
    <w:p>
      <w:pPr>
        <w:spacing w:line="400" w:lineRule="exact"/>
        <w:ind w:firstLine="560" w:firstLineChars="200"/>
        <w:jc w:val="both"/>
        <w:rPr>
          <w:rFonts w:eastAsia="宋体"/>
          <w:i/>
          <w:sz w:val="28"/>
          <w:szCs w:val="28"/>
          <w:lang w:eastAsia="zh-CN"/>
        </w:rPr>
      </w:pPr>
      <w:r>
        <w:rPr>
          <w:rFonts w:eastAsia="宋体"/>
          <w:i/>
          <w:sz w:val="28"/>
          <w:szCs w:val="28"/>
          <w:lang w:eastAsia="zh-CN"/>
        </w:rPr>
        <w:t>下面的表格列出了每个维度下的所有指标(包括其组成部分，如果适用的话)，并在括号中注明了相应的问题编号。为了便于参考，每个表格前都列出了这些问题。</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对于Y/N题，Y回答占分数，并被认为是良好的做法，除非另有标记</w:t>
      </w:r>
      <w:r>
        <w:rPr>
          <w:rFonts w:hint="eastAsia" w:eastAsia="宋体"/>
          <w:i/>
          <w:sz w:val="28"/>
          <w:szCs w:val="28"/>
          <w:lang w:eastAsia="zh-CN"/>
        </w:rPr>
        <w:t>“</w:t>
      </w:r>
      <w:r>
        <w:rPr>
          <w:rFonts w:eastAsia="宋体"/>
          <w:i/>
          <w:sz w:val="28"/>
          <w:szCs w:val="28"/>
          <w:lang w:eastAsia="zh-CN"/>
        </w:rPr>
        <w:t>Y/N</w:t>
      </w:r>
      <w:r>
        <w:rPr>
          <w:rFonts w:hint="eastAsia" w:eastAsia="宋体"/>
          <w:i/>
          <w:sz w:val="28"/>
          <w:szCs w:val="28"/>
          <w:lang w:eastAsia="zh-CN"/>
        </w:rPr>
        <w:t>；</w:t>
      </w:r>
      <w:r>
        <w:rPr>
          <w:rFonts w:eastAsia="宋体"/>
          <w:i/>
          <w:sz w:val="28"/>
          <w:szCs w:val="28"/>
          <w:lang w:eastAsia="zh-CN"/>
        </w:rPr>
        <w:t>N-良好做法</w:t>
      </w:r>
      <w:r>
        <w:rPr>
          <w:rFonts w:hint="eastAsia" w:eastAsia="宋体"/>
          <w:i/>
          <w:sz w:val="28"/>
          <w:szCs w:val="28"/>
          <w:lang w:eastAsia="zh-CN"/>
        </w:rPr>
        <w:t>”</w:t>
      </w:r>
      <w:r>
        <w:rPr>
          <w:rFonts w:eastAsia="宋体"/>
          <w:i/>
          <w:sz w:val="28"/>
          <w:szCs w:val="28"/>
          <w:lang w:eastAsia="zh-CN"/>
        </w:rPr>
        <w:t>。</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在下面的表格中，</w:t>
      </w:r>
      <w:r>
        <w:rPr>
          <w:rFonts w:hint="eastAsia" w:eastAsia="宋体"/>
          <w:i/>
          <w:sz w:val="28"/>
          <w:szCs w:val="28"/>
          <w:lang w:eastAsia="zh-CN"/>
        </w:rPr>
        <w:t>“</w:t>
      </w:r>
      <w:r>
        <w:rPr>
          <w:rFonts w:eastAsia="宋体"/>
          <w:i/>
          <w:sz w:val="28"/>
          <w:szCs w:val="28"/>
          <w:lang w:eastAsia="zh-CN"/>
        </w:rPr>
        <w:t>和AND</w:t>
      </w:r>
      <w:r>
        <w:rPr>
          <w:rFonts w:hint="eastAsia" w:eastAsia="宋体"/>
          <w:i/>
          <w:sz w:val="28"/>
          <w:szCs w:val="28"/>
          <w:lang w:eastAsia="zh-CN"/>
        </w:rPr>
        <w:t>”</w:t>
      </w:r>
      <w:r>
        <w:rPr>
          <w:rFonts w:eastAsia="宋体"/>
          <w:i/>
          <w:sz w:val="28"/>
          <w:szCs w:val="28"/>
          <w:lang w:eastAsia="zh-CN"/>
        </w:rPr>
        <w:t>表示所有参考问题都必须有一个良好的做法的回答，才能在指标上获得分数。</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在下面的表格中，</w:t>
      </w:r>
      <w:r>
        <w:rPr>
          <w:rFonts w:hint="eastAsia" w:eastAsia="宋体"/>
          <w:i/>
          <w:sz w:val="28"/>
          <w:szCs w:val="28"/>
          <w:lang w:eastAsia="zh-CN"/>
        </w:rPr>
        <w:t>“</w:t>
      </w:r>
      <w:r>
        <w:rPr>
          <w:rFonts w:eastAsia="宋体"/>
          <w:i/>
          <w:sz w:val="28"/>
          <w:szCs w:val="28"/>
          <w:lang w:eastAsia="zh-CN"/>
        </w:rPr>
        <w:t>或OR</w:t>
      </w:r>
      <w:r>
        <w:rPr>
          <w:rFonts w:hint="eastAsia" w:eastAsia="宋体"/>
          <w:i/>
          <w:sz w:val="28"/>
          <w:szCs w:val="28"/>
          <w:lang w:eastAsia="zh-CN"/>
        </w:rPr>
        <w:t>”</w:t>
      </w:r>
      <w:r>
        <w:rPr>
          <w:rFonts w:eastAsia="宋体"/>
          <w:i/>
          <w:sz w:val="28"/>
          <w:szCs w:val="28"/>
          <w:lang w:eastAsia="zh-CN"/>
        </w:rPr>
        <w:t>表示一个或多个参考问题必须具有良好的做法的回答，才能获得指标上的分数。</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某些问题被标记为</w:t>
      </w:r>
      <w:r>
        <w:rPr>
          <w:rFonts w:hint="eastAsia" w:eastAsia="宋体"/>
          <w:i/>
          <w:sz w:val="28"/>
          <w:szCs w:val="28"/>
          <w:lang w:eastAsia="zh-CN"/>
        </w:rPr>
        <w:t>“不计分”</w:t>
      </w:r>
      <w:r>
        <w:rPr>
          <w:rFonts w:eastAsia="宋体"/>
          <w:i/>
          <w:sz w:val="28"/>
          <w:szCs w:val="28"/>
          <w:lang w:eastAsia="zh-CN"/>
        </w:rPr>
        <w:t>，这表明它们不会以任何方式影响分数。这些问题的目的是，这些问题的目的是进一步完善问题设计以供后续试点年度使用，如有需要，同时为得分的问题提供进一步信息和补充证明。</w:t>
      </w:r>
    </w:p>
    <w:p>
      <w:pPr>
        <w:pStyle w:val="5"/>
        <w:rPr>
          <w:i/>
          <w:sz w:val="20"/>
          <w:lang w:eastAsia="zh-CN"/>
        </w:rPr>
      </w:pPr>
      <w:r>
        <mc:AlternateContent>
          <mc:Choice Requires="wps">
            <w:drawing>
              <wp:anchor distT="0" distB="0" distL="114300" distR="114300" simplePos="0" relativeHeight="251661312" behindDoc="1" locked="0" layoutInCell="1" allowOverlap="1">
                <wp:simplePos x="0" y="0"/>
                <wp:positionH relativeFrom="page">
                  <wp:posOffset>856615</wp:posOffset>
                </wp:positionH>
                <wp:positionV relativeFrom="paragraph">
                  <wp:posOffset>164465</wp:posOffset>
                </wp:positionV>
                <wp:extent cx="6060440" cy="372110"/>
                <wp:effectExtent l="4445" t="4445" r="5715" b="17145"/>
                <wp:wrapTopAndBottom/>
                <wp:docPr id="15" name="文本框 15"/>
                <wp:cNvGraphicFramePr/>
                <a:graphic xmlns:a="http://schemas.openxmlformats.org/drawingml/2006/main">
                  <a:graphicData uri="http://schemas.microsoft.com/office/word/2010/wordprocessingShape">
                    <wps:wsp>
                      <wps:cNvSpPr txBox="1"/>
                      <wps:spPr>
                        <a:xfrm>
                          <a:off x="0" y="0"/>
                          <a:ext cx="6060440" cy="372110"/>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58"/>
                              <w:ind w:left="103" w:right="235"/>
                              <w:rPr>
                                <w:rFonts w:eastAsia="宋体"/>
                                <w:b/>
                                <w:color w:val="000000"/>
                                <w:sz w:val="28"/>
                                <w:szCs w:val="28"/>
                                <w:lang w:eastAsia="zh-CN"/>
                              </w:rPr>
                            </w:pPr>
                            <w:r>
                              <w:rPr>
                                <w:rFonts w:eastAsia="宋体"/>
                                <w:b/>
                                <w:color w:val="FFFFFF"/>
                                <w:sz w:val="28"/>
                                <w:szCs w:val="28"/>
                                <w:lang w:eastAsia="zh-CN"/>
                              </w:rPr>
                              <w:t>维度I– 监管框架</w:t>
                            </w:r>
                            <w:r>
                              <w:rPr>
                                <w:rFonts w:hint="eastAsia" w:eastAsia="宋体"/>
                                <w:b/>
                                <w:color w:val="FFFFFF"/>
                                <w:sz w:val="28"/>
                                <w:szCs w:val="28"/>
                                <w:lang w:eastAsia="zh-CN"/>
                              </w:rPr>
                              <w:t>：</w:t>
                            </w:r>
                            <w:r>
                              <w:rPr>
                                <w:rFonts w:eastAsia="宋体"/>
                                <w:b/>
                                <w:color w:val="FFFFFF"/>
                                <w:sz w:val="28"/>
                                <w:szCs w:val="28"/>
                                <w:lang w:eastAsia="zh-CN"/>
                              </w:rPr>
                              <w:t>担保交易的监管质量</w:t>
                            </w:r>
                          </w:p>
                        </w:txbxContent>
                      </wps:txbx>
                      <wps:bodyPr lIns="0" tIns="0" rIns="0" bIns="0" upright="1"/>
                    </wps:wsp>
                  </a:graphicData>
                </a:graphic>
              </wp:anchor>
            </w:drawing>
          </mc:Choice>
          <mc:Fallback>
            <w:pict>
              <v:shape id="_x0000_s1026" o:spid="_x0000_s1026" o:spt="202" type="#_x0000_t202" style="position:absolute;left:0pt;margin-left:67.45pt;margin-top:12.95pt;height:29.3pt;width:477.2pt;mso-position-horizontal-relative:page;mso-wrap-distance-bottom:0pt;mso-wrap-distance-top:0pt;z-index:-251655168;mso-width-relative:page;mso-height-relative:page;" fillcolor="#0F6EC5" filled="t" stroked="t" coordsize="21600,21600" o:gfxdata="UEsDBAoAAAAAAIdO4kAAAAAAAAAAAAAAAAAEAAAAZHJzL1BLAwQUAAAACACHTuJANRrKU9gAAAAK&#10;AQAADwAAAGRycy9kb3ducmV2LnhtbE2PwU6DQBCG7ya+w2ZMvNml0CpFlh40RuOlEZueB3YElJ1F&#10;dqH17d2e9DT5M1/++SbfnkwvZhpdZ1nBchGBIK6t7rhRsH9/uklBOI+ssbdMCn7Iwba4vMgx0/bI&#10;bzSXvhGhhF2GClrvh0xKV7dk0C3sQBx2H3Y06EMcG6lHPIZy08s4im6lwY7DhRYHemip/iono2Cq&#10;YvyOn1+Sw6ubyzum3ePuc1bq+moZ3YPwdPJ/MJz1gzoUwamyE2sn+pCT1SagCuJ1mGcgSjcJiEpB&#10;ulqDLHL5/4XiF1BLAwQUAAAACACHTuJAgDpD7B4CAABcBAAADgAAAGRycy9lMm9Eb2MueG1srVTN&#10;jtMwEL4j8Q6W7zRpWQpUTVdiu0VICJAWHsC1ncSS/+Rxm/QF4A04ceG+z9XnYOy0XVouPZBDMh6P&#10;v/nmm3Hmt73RZCsDKGcrOh6VlEjLnVC2qei3r6sXbyiByKxg2llZ0Z0Eert4/mze+ZmcuNZpIQNB&#10;EAuzzle0jdHPigJ4Kw2DkfPS4mbtgmERl6EpRGAdohtdTMpyWnQuCB8clwDoXQ6b9IAYrgF0da24&#10;XDq+MdLGATVIzSKWBK3yQBeZbV1LHj/XNchIdEWx0pjfmATtdXoXizmbNYH5VvEDBXYNhYuaDFMW&#10;k56gliwysgnqHyijeHDg6jjizhRDIVkRrGJcXmjz0DIvcy0oNfiT6PD/YPmn7ZdAlMBJeEWJZQY7&#10;vv/5Y//rcf/7O0EfCtR5mGHcg8fI2L9zPQYf/YDOVHdfB5O+WBHBfZR3d5JX9pFwdE7LaXlzg1sc&#10;916+nozHWf/i6bQPEN9LZ0gyKhqwfVlVtv0IEZlg6DEkJQOnlVgprfMiNOs7HciWpVavpvd3mTwe&#10;OQvTlnSJytsp8mA4vzXODZrGowZgm5zv7AScAZfpSdVfAidiSwbtQCAjDNNlVJQhz1krmbi3gsSd&#10;R5ktXi+ayBgpKNESb2OycmRkSl8TiSS0RS6pRUMrkhX7dY8wyVw7scO26Q8WhyZdgKMRjsb6aGx8&#10;UE2LsufmZkgculzo4YKkqf57nRM//RQW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1GspT2AAA&#10;AAoBAAAPAAAAAAAAAAEAIAAAACIAAABkcnMvZG93bnJldi54bWxQSwECFAAUAAAACACHTuJAgDpD&#10;7B4CAABcBAAADgAAAAAAAAABACAAAAAnAQAAZHJzL2Uyb0RvYy54bWxQSwUGAAAAAAYABgBZAQAA&#10;twUAAAAA&#10;">
                <v:fill on="t" focussize="0,0"/>
                <v:stroke weight="0.48pt" color="#000000" joinstyle="miter"/>
                <v:imagedata o:title=""/>
                <o:lock v:ext="edit" aspectratio="f"/>
                <v:textbox inset="0mm,0mm,0mm,0mm">
                  <w:txbxContent>
                    <w:p>
                      <w:pPr>
                        <w:spacing w:before="58"/>
                        <w:ind w:left="103" w:right="235"/>
                        <w:rPr>
                          <w:rFonts w:eastAsia="宋体"/>
                          <w:b/>
                          <w:color w:val="000000"/>
                          <w:sz w:val="28"/>
                          <w:szCs w:val="28"/>
                          <w:lang w:eastAsia="zh-CN"/>
                        </w:rPr>
                      </w:pPr>
                      <w:r>
                        <w:rPr>
                          <w:rFonts w:eastAsia="宋体"/>
                          <w:b/>
                          <w:color w:val="FFFFFF"/>
                          <w:sz w:val="28"/>
                          <w:szCs w:val="28"/>
                          <w:lang w:eastAsia="zh-CN"/>
                        </w:rPr>
                        <w:t>维度I– 监管框架</w:t>
                      </w:r>
                      <w:r>
                        <w:rPr>
                          <w:rFonts w:hint="eastAsia" w:eastAsia="宋体"/>
                          <w:b/>
                          <w:color w:val="FFFFFF"/>
                          <w:sz w:val="28"/>
                          <w:szCs w:val="28"/>
                          <w:lang w:eastAsia="zh-CN"/>
                        </w:rPr>
                        <w:t>：</w:t>
                      </w:r>
                      <w:r>
                        <w:rPr>
                          <w:rFonts w:eastAsia="宋体"/>
                          <w:b/>
                          <w:color w:val="FFFFFF"/>
                          <w:sz w:val="28"/>
                          <w:szCs w:val="28"/>
                          <w:lang w:eastAsia="zh-CN"/>
                        </w:rPr>
                        <w:t>担保交易的监管质量</w:t>
                      </w:r>
                    </w:p>
                  </w:txbxContent>
                </v:textbox>
                <w10:wrap type="topAndBottom"/>
              </v:shape>
            </w:pict>
          </mc:Fallback>
        </mc:AlternateContent>
      </w:r>
    </w:p>
    <w:p>
      <w:pPr>
        <w:pStyle w:val="5"/>
        <w:spacing w:before="3"/>
        <w:rPr>
          <w:i/>
          <w:sz w:val="14"/>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39.</w:t>
      </w:r>
      <w:r>
        <w:rPr>
          <w:rFonts w:eastAsia="宋体"/>
          <w:b/>
          <w:sz w:val="28"/>
          <w:szCs w:val="28"/>
          <w:lang w:eastAsia="zh-CN"/>
        </w:rPr>
        <w:t>在4个功能对等物(所有权的信托转让、融资租赁、应收款的转让或转让和保留所有权的销售)中，是否至少有3个受同一法律监管并在同一登记处登记，可以对第三方强制执行?</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40.</w:t>
      </w:r>
      <w:r>
        <w:rPr>
          <w:rFonts w:eastAsia="宋体"/>
          <w:b/>
          <w:sz w:val="28"/>
          <w:szCs w:val="28"/>
          <w:lang w:eastAsia="zh-CN"/>
        </w:rPr>
        <w:t>是否有法律/法规涵盖所有权信托转让的设立、优先权和执行?</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41.</w:t>
      </w:r>
      <w:r>
        <w:rPr>
          <w:rFonts w:eastAsia="宋体"/>
          <w:b/>
          <w:sz w:val="28"/>
          <w:szCs w:val="28"/>
          <w:lang w:eastAsia="zh-CN"/>
        </w:rPr>
        <w:t>如果第40题的答案是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，那么信托所有权的转让是否必须登记注册才能对第三方生效?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561"/>
        </w:tabs>
        <w:spacing w:line="400" w:lineRule="exact"/>
        <w:ind w:left="0" w:firstLine="562" w:firstLineChars="200"/>
        <w:outlineLvl w:val="2"/>
        <w:rPr>
          <w:rFonts w:eastAsia="宋体"/>
          <w:sz w:val="28"/>
          <w:szCs w:val="28"/>
          <w:lang w:eastAsia="zh-CN"/>
        </w:rPr>
      </w:pPr>
      <w:r>
        <w:rPr>
          <w:rFonts w:eastAsia="宋体"/>
          <w:b/>
          <w:bCs/>
          <w:sz w:val="28"/>
          <w:szCs w:val="28"/>
          <w:lang w:eastAsia="zh-CN"/>
        </w:rPr>
        <w:t>42.</w:t>
      </w:r>
      <w:r>
        <w:rPr>
          <w:rFonts w:eastAsia="宋体"/>
          <w:b/>
          <w:sz w:val="28"/>
          <w:szCs w:val="28"/>
          <w:lang w:eastAsia="zh-CN"/>
        </w:rPr>
        <w:t>是否有法律/法规涵盖融资租赁的创建、优先权和执行?</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43.</w:t>
      </w:r>
      <w:r>
        <w:rPr>
          <w:rFonts w:eastAsia="宋体"/>
          <w:b/>
          <w:sz w:val="28"/>
          <w:szCs w:val="28"/>
          <w:lang w:eastAsia="zh-CN"/>
        </w:rPr>
        <w:t>如果第42题的答案是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，那么融资租赁权利是否必须经过登记才能对第三方生效?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44.</w:t>
      </w:r>
      <w:r>
        <w:rPr>
          <w:rFonts w:eastAsia="宋体"/>
          <w:b/>
          <w:sz w:val="28"/>
          <w:szCs w:val="28"/>
          <w:lang w:eastAsia="zh-CN"/>
        </w:rPr>
        <w:t>是否有法律/法规涵盖信托所有权转让的设立、优先权和执行?涵盖应收款转让和应收款直接转让的设立、优先和执行的法律/法规?</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45.</w:t>
      </w:r>
      <w:r>
        <w:rPr>
          <w:rFonts w:eastAsia="宋体"/>
          <w:b/>
          <w:sz w:val="28"/>
          <w:szCs w:val="28"/>
          <w:lang w:eastAsia="zh-CN"/>
        </w:rPr>
        <w:t>如果第44题的答案是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，那么应收款转让和应收款直接转让是否必须登记，才能对第三方有效?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46.</w:t>
      </w:r>
      <w:r>
        <w:rPr>
          <w:rFonts w:eastAsia="宋体"/>
          <w:b/>
          <w:sz w:val="28"/>
          <w:szCs w:val="28"/>
          <w:lang w:eastAsia="zh-CN"/>
        </w:rPr>
        <w:t>是否有法律/法规涵盖保留所有权销售的创建、优先级和执行?</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2" w:firstLineChars="200"/>
        <w:jc w:val="both"/>
        <w:rPr>
          <w:rFonts w:eastAsia="宋体"/>
          <w:b/>
          <w:bCs/>
          <w:sz w:val="28"/>
          <w:szCs w:val="28"/>
          <w:lang w:eastAsia="zh-CN"/>
        </w:rPr>
      </w:pPr>
    </w:p>
    <w:p>
      <w:pPr>
        <w:spacing w:line="400" w:lineRule="exact"/>
        <w:ind w:firstLine="562" w:firstLineChars="200"/>
        <w:jc w:val="both"/>
        <w:rPr>
          <w:rFonts w:eastAsia="宋体"/>
          <w:sz w:val="28"/>
          <w:szCs w:val="28"/>
          <w:lang w:eastAsia="zh-CN"/>
        </w:rPr>
      </w:pPr>
      <w:r>
        <w:rPr>
          <w:rFonts w:eastAsia="宋体"/>
          <w:b/>
          <w:bCs/>
          <w:sz w:val="28"/>
          <w:szCs w:val="28"/>
          <w:lang w:eastAsia="zh-CN"/>
        </w:rPr>
        <w:t>47.</w:t>
      </w:r>
      <w:r>
        <w:rPr>
          <w:rFonts w:eastAsia="宋体"/>
          <w:b/>
          <w:sz w:val="28"/>
          <w:szCs w:val="28"/>
          <w:lang w:eastAsia="zh-CN"/>
        </w:rPr>
        <w:t>如果对问题46的回答是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，保留所有权销售是否必须登记才能对第三方有效?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48.</w:t>
      </w:r>
      <w:r>
        <w:rPr>
          <w:rFonts w:eastAsia="宋体"/>
          <w:b/>
          <w:sz w:val="28"/>
          <w:szCs w:val="28"/>
          <w:lang w:eastAsia="zh-CN"/>
        </w:rPr>
        <w:t>如果债务人或债权人是法人实体或非法人实体，是否适用不同的创建、优先权和执行规则?</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49.</w:t>
      </w:r>
      <w:r>
        <w:rPr>
          <w:rFonts w:eastAsia="宋体"/>
          <w:b/>
          <w:sz w:val="28"/>
          <w:szCs w:val="28"/>
          <w:lang w:eastAsia="zh-CN"/>
        </w:rPr>
        <w:t>债务人能否仅就其应收帐款或第三方欠债务人的未偿债务，向有担保债权人授予非占有性担保权益?</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例如，债务人有权从买方获得其商品或服务的金额。</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50.</w:t>
      </w:r>
      <w:r>
        <w:rPr>
          <w:rFonts w:eastAsia="宋体"/>
          <w:b/>
          <w:sz w:val="28"/>
          <w:szCs w:val="28"/>
          <w:lang w:eastAsia="zh-CN"/>
        </w:rPr>
        <w:t>如果对第49题的回答是肯定的，那么根据法律规定，在担保协议和担保权益登记时，是否可以对应收账款或未偿债务进行一般性描述</w:t>
      </w:r>
      <w:r>
        <w:rPr>
          <w:rFonts w:eastAsia="宋体"/>
          <w:i/>
          <w:sz w:val="28"/>
          <w:szCs w:val="28"/>
          <w:lang w:eastAsia="zh-CN"/>
        </w:rPr>
        <w:t>(例如</w:t>
      </w:r>
      <w:r>
        <w:rPr>
          <w:rFonts w:hint="eastAsia" w:eastAsia="宋体"/>
          <w:i/>
          <w:sz w:val="28"/>
          <w:szCs w:val="28"/>
          <w:lang w:eastAsia="zh-CN"/>
        </w:rPr>
        <w:t>“</w:t>
      </w:r>
      <w:r>
        <w:rPr>
          <w:rFonts w:eastAsia="宋体"/>
          <w:i/>
          <w:sz w:val="28"/>
          <w:szCs w:val="28"/>
          <w:lang w:eastAsia="zh-CN"/>
        </w:rPr>
        <w:t>所有应收账款</w:t>
      </w:r>
      <w:r>
        <w:rPr>
          <w:rFonts w:hint="eastAsia" w:eastAsia="宋体"/>
          <w:i/>
          <w:sz w:val="28"/>
          <w:szCs w:val="28"/>
          <w:lang w:eastAsia="zh-CN"/>
        </w:rPr>
        <w:t>”</w:t>
      </w:r>
      <w:r>
        <w:rPr>
          <w:rFonts w:eastAsia="宋体"/>
          <w:i/>
          <w:sz w:val="28"/>
          <w:szCs w:val="28"/>
          <w:lang w:eastAsia="zh-CN"/>
        </w:rPr>
        <w:t>)</w:t>
      </w:r>
      <w:r>
        <w:rPr>
          <w:rFonts w:eastAsia="宋体"/>
          <w:b/>
          <w:sz w:val="28"/>
          <w:szCs w:val="28"/>
          <w:lang w:eastAsia="zh-CN"/>
        </w:rPr>
        <w:t>，还是需要单独说明?</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51.</w:t>
      </w:r>
      <w:r>
        <w:rPr>
          <w:rFonts w:eastAsia="宋体"/>
          <w:b/>
          <w:sz w:val="28"/>
          <w:szCs w:val="28"/>
          <w:lang w:eastAsia="zh-CN"/>
        </w:rPr>
        <w:t>债务人能否可以将其存货作为抵押品让给担保债权人而不必交出实际控制权（给予有担保债权人非占有担保权益）?</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52.</w:t>
      </w:r>
      <w:r>
        <w:rPr>
          <w:rFonts w:eastAsia="宋体"/>
          <w:b/>
          <w:sz w:val="28"/>
          <w:szCs w:val="28"/>
          <w:lang w:eastAsia="zh-CN"/>
        </w:rPr>
        <w:t>如果第51题的答案是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，那么在使用库存作为担保时，是否有法律规定的重大限制或要求?</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如保留存货规定值，具体描述存放位置，更新列表（清单）等。</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53.</w:t>
      </w:r>
      <w:r>
        <w:rPr>
          <w:rFonts w:eastAsia="宋体"/>
          <w:b/>
          <w:sz w:val="28"/>
          <w:szCs w:val="28"/>
          <w:lang w:eastAsia="zh-CN"/>
        </w:rPr>
        <w:t>如果第51题的答案是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，那么根据法律，无论是在担保协议中，还是在担保权益登记时，是否都可以对库存进行一般性描述?</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比如</w:t>
      </w:r>
      <w:r>
        <w:rPr>
          <w:rFonts w:hint="eastAsia" w:eastAsia="宋体"/>
          <w:i/>
          <w:sz w:val="28"/>
          <w:szCs w:val="28"/>
          <w:lang w:eastAsia="zh-CN"/>
        </w:rPr>
        <w:t>“</w:t>
      </w:r>
      <w:r>
        <w:rPr>
          <w:rFonts w:eastAsia="宋体"/>
          <w:i/>
          <w:sz w:val="28"/>
          <w:szCs w:val="28"/>
          <w:lang w:eastAsia="zh-CN"/>
        </w:rPr>
        <w:t>所有笔记本电脑库存</w:t>
      </w:r>
      <w:r>
        <w:rPr>
          <w:rFonts w:hint="eastAsia" w:eastAsia="宋体"/>
          <w:i/>
          <w:sz w:val="28"/>
          <w:szCs w:val="28"/>
          <w:lang w:eastAsia="zh-CN"/>
        </w:rPr>
        <w:t>”</w:t>
      </w:r>
      <w:r>
        <w:rPr>
          <w:rFonts w:eastAsia="宋体"/>
          <w:i/>
          <w:sz w:val="28"/>
          <w:szCs w:val="28"/>
          <w:lang w:eastAsia="zh-CN"/>
        </w:rPr>
        <w:t>而不是</w:t>
      </w:r>
      <w:r>
        <w:rPr>
          <w:rFonts w:hint="eastAsia" w:eastAsia="宋体"/>
          <w:i/>
          <w:sz w:val="28"/>
          <w:szCs w:val="28"/>
          <w:lang w:eastAsia="zh-CN"/>
        </w:rPr>
        <w:t>“</w:t>
      </w:r>
      <w:r>
        <w:rPr>
          <w:rFonts w:eastAsia="宋体"/>
          <w:i/>
          <w:sz w:val="28"/>
          <w:szCs w:val="28"/>
          <w:lang w:eastAsia="zh-CN"/>
        </w:rPr>
        <w:t>PXS笔记本电脑，序列号3278632，金属色，14寸屏幕</w:t>
      </w:r>
      <w:r>
        <w:rPr>
          <w:rFonts w:hint="eastAsia" w:eastAsia="宋体"/>
          <w:i/>
          <w:sz w:val="28"/>
          <w:szCs w:val="28"/>
          <w:lang w:eastAsia="zh-CN"/>
        </w:rPr>
        <w:t>”</w:t>
      </w:r>
      <w:r>
        <w:rPr>
          <w:rFonts w:eastAsia="宋体"/>
          <w:i/>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54.</w:t>
      </w:r>
      <w:r>
        <w:rPr>
          <w:rFonts w:eastAsia="宋体"/>
          <w:b/>
          <w:sz w:val="28"/>
          <w:szCs w:val="28"/>
          <w:lang w:eastAsia="zh-CN"/>
        </w:rPr>
        <w:t>债务人能否仅对其存货以外的有形动产授予有担保债权人非占有性担保权益</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如机械、家具、牲畜、农作物等。</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55.</w:t>
      </w:r>
      <w:r>
        <w:rPr>
          <w:rFonts w:eastAsia="宋体"/>
          <w:b/>
          <w:sz w:val="28"/>
          <w:szCs w:val="28"/>
          <w:lang w:eastAsia="zh-CN"/>
        </w:rPr>
        <w:t>如果第55题的答案是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，那么根据法律规定，无论是在担保协议中，还是在担保权益登记时，有形动产</w:t>
      </w:r>
      <w:r>
        <w:rPr>
          <w:rFonts w:eastAsia="宋体"/>
          <w:sz w:val="28"/>
          <w:szCs w:val="28"/>
          <w:lang w:eastAsia="zh-CN"/>
        </w:rPr>
        <w:t>(</w:t>
      </w:r>
      <w:r>
        <w:rPr>
          <w:rFonts w:eastAsia="宋体"/>
          <w:b/>
          <w:sz w:val="28"/>
          <w:szCs w:val="28"/>
          <w:lang w:eastAsia="zh-CN"/>
        </w:rPr>
        <w:t>库存除外)</w:t>
      </w:r>
      <w:r>
        <w:rPr>
          <w:rFonts w:eastAsia="宋体"/>
          <w:b/>
          <w:spacing w:val="-14"/>
          <w:sz w:val="28"/>
          <w:szCs w:val="28"/>
          <w:lang w:eastAsia="zh-CN"/>
        </w:rPr>
        <w:t>都可以用一般术语来描述吗</w:t>
      </w:r>
      <w:r>
        <w:rPr>
          <w:rFonts w:eastAsia="宋体"/>
          <w:spacing w:val="-14"/>
          <w:sz w:val="28"/>
          <w:szCs w:val="28"/>
          <w:lang w:eastAsia="zh-CN"/>
        </w:rPr>
        <w:t>?</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rPr>
      </w:pPr>
      <w:r>
        <w:rPr>
          <w:rFonts w:eastAsia="宋体"/>
          <w:i/>
          <w:sz w:val="28"/>
          <w:szCs w:val="28"/>
        </w:rPr>
        <w:t>注</w:t>
      </w:r>
      <w:r>
        <w:rPr>
          <w:rFonts w:hint="eastAsia" w:eastAsia="宋体"/>
          <w:i/>
          <w:sz w:val="28"/>
          <w:szCs w:val="28"/>
          <w:lang w:eastAsia="zh-CN"/>
        </w:rPr>
        <w:t>：</w:t>
      </w:r>
      <w:r>
        <w:rPr>
          <w:rFonts w:eastAsia="宋体"/>
          <w:i/>
          <w:sz w:val="28"/>
          <w:szCs w:val="28"/>
        </w:rPr>
        <w:t>比如</w:t>
      </w:r>
      <w:r>
        <w:rPr>
          <w:rFonts w:hint="eastAsia" w:eastAsia="宋体"/>
          <w:i/>
          <w:sz w:val="28"/>
          <w:szCs w:val="28"/>
          <w:lang w:eastAsia="zh-CN"/>
        </w:rPr>
        <w:t>“</w:t>
      </w:r>
      <w:r>
        <w:rPr>
          <w:rFonts w:eastAsia="宋体"/>
          <w:i/>
          <w:sz w:val="28"/>
          <w:szCs w:val="28"/>
        </w:rPr>
        <w:t>10台打印机</w:t>
      </w:r>
      <w:r>
        <w:rPr>
          <w:rFonts w:hint="eastAsia" w:eastAsia="宋体"/>
          <w:i/>
          <w:sz w:val="28"/>
          <w:szCs w:val="28"/>
          <w:lang w:eastAsia="zh-CN"/>
        </w:rPr>
        <w:t>”</w:t>
      </w:r>
      <w:r>
        <w:rPr>
          <w:rFonts w:eastAsia="宋体"/>
          <w:i/>
          <w:sz w:val="28"/>
          <w:szCs w:val="28"/>
        </w:rPr>
        <w:t>而不是</w:t>
      </w:r>
      <w:r>
        <w:rPr>
          <w:rFonts w:hint="eastAsia" w:eastAsia="宋体"/>
          <w:i/>
          <w:sz w:val="28"/>
          <w:szCs w:val="28"/>
          <w:lang w:eastAsia="zh-CN"/>
        </w:rPr>
        <w:t>“</w:t>
      </w:r>
      <w:r>
        <w:rPr>
          <w:rFonts w:eastAsia="宋体"/>
          <w:i/>
          <w:sz w:val="28"/>
          <w:szCs w:val="28"/>
        </w:rPr>
        <w:t>佳能11-Color +Chroma Optimizer 24英寸打印机，序列号# 12345</w:t>
      </w:r>
      <w:r>
        <w:rPr>
          <w:rFonts w:hint="eastAsia" w:eastAsia="宋体"/>
          <w:i/>
          <w:sz w:val="28"/>
          <w:szCs w:val="28"/>
          <w:lang w:eastAsia="zh-CN"/>
        </w:rPr>
        <w:t>”</w:t>
      </w:r>
      <w:r>
        <w:rPr>
          <w:rFonts w:eastAsia="宋体"/>
          <w:i/>
          <w:sz w:val="28"/>
          <w:szCs w:val="28"/>
        </w:rPr>
        <w:t>。</w:t>
      </w:r>
    </w:p>
    <w:p>
      <w:pPr>
        <w:pStyle w:val="5"/>
        <w:spacing w:line="400" w:lineRule="exact"/>
        <w:ind w:firstLine="560" w:firstLineChars="200"/>
        <w:jc w:val="both"/>
        <w:rPr>
          <w:rFonts w:eastAsia="宋体"/>
          <w:i/>
          <w:sz w:val="28"/>
          <w:szCs w:val="28"/>
        </w:rPr>
      </w:pPr>
    </w:p>
    <w:p>
      <w:pPr>
        <w:pStyle w:val="11"/>
        <w:tabs>
          <w:tab w:val="left" w:pos="561"/>
        </w:tabs>
        <w:spacing w:line="400" w:lineRule="exact"/>
        <w:ind w:left="0" w:firstLine="562" w:firstLineChars="200"/>
        <w:rPr>
          <w:rFonts w:eastAsia="宋体"/>
          <w:sz w:val="28"/>
          <w:szCs w:val="28"/>
        </w:rPr>
      </w:pPr>
      <w:r>
        <w:rPr>
          <w:rFonts w:eastAsia="宋体"/>
          <w:b/>
          <w:bCs/>
          <w:sz w:val="28"/>
          <w:szCs w:val="28"/>
        </w:rPr>
        <w:t>56.</w:t>
      </w:r>
      <w:r>
        <w:rPr>
          <w:rFonts w:eastAsia="宋体"/>
          <w:b/>
          <w:sz w:val="28"/>
          <w:szCs w:val="28"/>
        </w:rPr>
        <w:t>根据法律规定，债务人是否可以将不同种类的资产组合作为抵押品让给受担保债权人?</w:t>
      </w:r>
      <w:r>
        <w:rPr>
          <w:rFonts w:eastAsia="宋体"/>
          <w:sz w:val="28"/>
          <w:szCs w:val="28"/>
        </w:rPr>
        <w:t>(</w:t>
      </w:r>
      <w:r>
        <w:rPr>
          <w:rFonts w:hint="eastAsia" w:eastAsia="宋体"/>
          <w:sz w:val="28"/>
          <w:szCs w:val="28"/>
          <w:lang w:eastAsia="zh-CN"/>
        </w:rPr>
        <w:t>Y/N</w:t>
      </w:r>
      <w:r>
        <w:rPr>
          <w:rFonts w:eastAsia="宋体"/>
          <w:sz w:val="28"/>
          <w:szCs w:val="28"/>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例如浮动抵押或企业抵押。</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57.</w:t>
      </w:r>
      <w:r>
        <w:rPr>
          <w:rFonts w:eastAsia="宋体"/>
          <w:b/>
          <w:sz w:val="28"/>
          <w:szCs w:val="28"/>
          <w:lang w:eastAsia="zh-CN"/>
        </w:rPr>
        <w:t>如果第56题的答案是肯定的，那么根据法律规定，这种担保权益可以包含的资产是否有限制?</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比如抵押品是抵押的附属物，对动产位置的具体描述，变更时抵押品清单的更新，价值限制。</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58.</w:t>
      </w:r>
      <w:r>
        <w:rPr>
          <w:rFonts w:eastAsia="宋体"/>
          <w:b/>
          <w:sz w:val="28"/>
          <w:szCs w:val="28"/>
          <w:lang w:eastAsia="zh-CN"/>
        </w:rPr>
        <w:t>如果第57题的答案是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，那么根据法律规定，无论是在担保协议中，还是在担保权益登记时，是否都可以对该抵押物进行一般表述?</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如</w:t>
      </w:r>
      <w:r>
        <w:rPr>
          <w:rFonts w:hint="eastAsia" w:eastAsia="宋体"/>
          <w:i/>
          <w:sz w:val="28"/>
          <w:szCs w:val="28"/>
          <w:lang w:eastAsia="zh-CN"/>
        </w:rPr>
        <w:t>“</w:t>
      </w:r>
      <w:r>
        <w:rPr>
          <w:rFonts w:eastAsia="宋体"/>
          <w:i/>
          <w:sz w:val="28"/>
          <w:szCs w:val="28"/>
          <w:lang w:eastAsia="zh-CN"/>
        </w:rPr>
        <w:t>企业的所有合并资产</w:t>
      </w:r>
      <w:r>
        <w:rPr>
          <w:rFonts w:hint="eastAsia" w:eastAsia="宋体"/>
          <w:i/>
          <w:sz w:val="28"/>
          <w:szCs w:val="28"/>
          <w:lang w:eastAsia="zh-CN"/>
        </w:rPr>
        <w:t>”</w:t>
      </w:r>
      <w:r>
        <w:rPr>
          <w:rFonts w:eastAsia="宋体"/>
          <w:i/>
          <w:sz w:val="28"/>
          <w:szCs w:val="28"/>
          <w:lang w:eastAsia="zh-CN"/>
        </w:rPr>
        <w:t>。</w:t>
      </w:r>
    </w:p>
    <w:p>
      <w:pPr>
        <w:pStyle w:val="11"/>
        <w:tabs>
          <w:tab w:val="left" w:pos="561"/>
        </w:tabs>
        <w:spacing w:line="400" w:lineRule="exact"/>
        <w:ind w:left="0" w:firstLine="562" w:firstLineChars="200"/>
        <w:rPr>
          <w:rFonts w:eastAsia="宋体"/>
          <w:b/>
          <w:bCs/>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59.</w:t>
      </w:r>
      <w:r>
        <w:rPr>
          <w:rFonts w:eastAsia="宋体"/>
          <w:b/>
          <w:sz w:val="28"/>
          <w:szCs w:val="28"/>
          <w:lang w:eastAsia="zh-CN"/>
        </w:rPr>
        <w:t>债务人可以使用未来资产</w:t>
      </w:r>
      <w:r>
        <w:rPr>
          <w:rFonts w:eastAsia="宋体"/>
          <w:i/>
          <w:sz w:val="28"/>
          <w:szCs w:val="28"/>
          <w:lang w:eastAsia="zh-CN"/>
        </w:rPr>
        <w:t>(例如，债务人知道将来会收到一批卡车，并将其用作抵押品)</w:t>
      </w:r>
      <w:r>
        <w:rPr>
          <w:rFonts w:eastAsia="宋体"/>
          <w:b/>
          <w:sz w:val="28"/>
          <w:szCs w:val="28"/>
          <w:lang w:eastAsia="zh-CN"/>
        </w:rPr>
        <w:t>作为动产来获得贷款吗?</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60.</w:t>
      </w:r>
      <w:r>
        <w:rPr>
          <w:rFonts w:eastAsia="宋体"/>
          <w:b/>
          <w:sz w:val="28"/>
          <w:szCs w:val="28"/>
          <w:lang w:eastAsia="zh-CN"/>
        </w:rPr>
        <w:t>债务人</w:t>
      </w:r>
      <w:r>
        <w:rPr>
          <w:rFonts w:eastAsia="宋体"/>
          <w:i/>
          <w:sz w:val="28"/>
          <w:szCs w:val="28"/>
          <w:lang w:eastAsia="zh-CN"/>
        </w:rPr>
        <w:t>是否</w:t>
      </w:r>
      <w:r>
        <w:rPr>
          <w:rFonts w:eastAsia="宋体"/>
          <w:b/>
          <w:spacing w:val="-12"/>
          <w:sz w:val="28"/>
          <w:szCs w:val="28"/>
          <w:lang w:eastAsia="zh-CN"/>
        </w:rPr>
        <w:t>可以</w:t>
      </w:r>
      <w:r>
        <w:rPr>
          <w:rFonts w:eastAsia="宋体"/>
          <w:b/>
          <w:sz w:val="28"/>
          <w:szCs w:val="28"/>
          <w:lang w:eastAsia="zh-CN"/>
        </w:rPr>
        <w:t>使用</w:t>
      </w:r>
      <w:r>
        <w:rPr>
          <w:rFonts w:eastAsia="宋体"/>
          <w:i/>
          <w:spacing w:val="-11"/>
          <w:sz w:val="28"/>
          <w:szCs w:val="28"/>
          <w:lang w:eastAsia="zh-CN"/>
        </w:rPr>
        <w:t>后取得</w:t>
      </w:r>
      <w:r>
        <w:rPr>
          <w:rFonts w:eastAsia="宋体"/>
          <w:i/>
          <w:sz w:val="28"/>
          <w:szCs w:val="28"/>
          <w:lang w:eastAsia="zh-CN"/>
        </w:rPr>
        <w:t>的</w:t>
      </w:r>
      <w:r>
        <w:rPr>
          <w:rFonts w:eastAsia="宋体"/>
          <w:b/>
          <w:spacing w:val="-12"/>
          <w:sz w:val="28"/>
          <w:szCs w:val="28"/>
          <w:lang w:eastAsia="zh-CN"/>
        </w:rPr>
        <w:t>财产</w:t>
      </w:r>
      <w:r>
        <w:rPr>
          <w:rFonts w:eastAsia="宋体"/>
          <w:i/>
          <w:spacing w:val="-12"/>
          <w:sz w:val="28"/>
          <w:szCs w:val="28"/>
          <w:lang w:eastAsia="zh-CN"/>
        </w:rPr>
        <w:t>(例如，尚未取得且可能永远不会取得的财产，或现在和将来的存货)</w:t>
      </w:r>
      <w:r>
        <w:rPr>
          <w:rFonts w:eastAsia="宋体"/>
          <w:b/>
          <w:sz w:val="28"/>
          <w:szCs w:val="28"/>
          <w:lang w:eastAsia="zh-CN"/>
        </w:rPr>
        <w:t>作为流动资产来获得贷款?</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61.</w:t>
      </w:r>
      <w:r>
        <w:rPr>
          <w:rFonts w:eastAsia="宋体"/>
          <w:b/>
          <w:sz w:val="28"/>
          <w:szCs w:val="28"/>
          <w:lang w:eastAsia="zh-CN"/>
        </w:rPr>
        <w:t>根据法律规定，担保权益是否自动延伸至原抵押品的</w:t>
      </w:r>
      <w:r>
        <w:rPr>
          <w:rFonts w:hint="eastAsia" w:eastAsia="宋体"/>
          <w:b/>
          <w:sz w:val="28"/>
          <w:szCs w:val="28"/>
          <w:lang w:eastAsia="zh-CN"/>
        </w:rPr>
        <w:t>“</w:t>
      </w:r>
      <w:r>
        <w:rPr>
          <w:rFonts w:eastAsia="宋体"/>
          <w:b/>
          <w:sz w:val="28"/>
          <w:szCs w:val="28"/>
          <w:lang w:eastAsia="zh-CN"/>
        </w:rPr>
        <w:t>产品</w:t>
      </w:r>
      <w:r>
        <w:rPr>
          <w:rFonts w:hint="eastAsia" w:eastAsia="宋体"/>
          <w:b/>
          <w:sz w:val="28"/>
          <w:szCs w:val="28"/>
          <w:lang w:eastAsia="zh-CN"/>
        </w:rPr>
        <w:t>”</w:t>
      </w:r>
      <w:r>
        <w:rPr>
          <w:rFonts w:eastAsia="宋体"/>
          <w:b/>
          <w:sz w:val="28"/>
          <w:szCs w:val="28"/>
          <w:lang w:eastAsia="zh-CN"/>
        </w:rPr>
        <w:t>?</w:t>
      </w:r>
    </w:p>
    <w:p>
      <w:pPr>
        <w:pStyle w:val="5"/>
        <w:spacing w:line="400" w:lineRule="exact"/>
        <w:ind w:firstLine="552" w:firstLineChars="200"/>
        <w:jc w:val="both"/>
        <w:rPr>
          <w:rFonts w:eastAsia="宋体"/>
          <w:sz w:val="28"/>
          <w:szCs w:val="28"/>
          <w:lang w:eastAsia="zh-CN"/>
        </w:rPr>
      </w:pP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例如，如果原始抵押品涵盖原材料，如木材，则该资产的产品将包括用该原材料制造的家具。</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62.</w:t>
      </w:r>
      <w:r>
        <w:rPr>
          <w:rFonts w:eastAsia="宋体"/>
          <w:b/>
          <w:sz w:val="28"/>
          <w:szCs w:val="28"/>
          <w:lang w:eastAsia="zh-CN"/>
        </w:rPr>
        <w:t>根据法律规定，担保权益是否自动延伸至原抵押品的</w:t>
      </w:r>
      <w:r>
        <w:rPr>
          <w:rFonts w:hint="eastAsia" w:eastAsia="宋体"/>
          <w:b/>
          <w:sz w:val="28"/>
          <w:szCs w:val="28"/>
          <w:lang w:eastAsia="zh-CN"/>
        </w:rPr>
        <w:t>“</w:t>
      </w:r>
      <w:r>
        <w:rPr>
          <w:rFonts w:eastAsia="宋体"/>
          <w:b/>
          <w:sz w:val="28"/>
          <w:szCs w:val="28"/>
          <w:lang w:eastAsia="zh-CN"/>
        </w:rPr>
        <w:t>收益</w:t>
      </w:r>
      <w:r>
        <w:rPr>
          <w:rFonts w:hint="eastAsia" w:eastAsia="宋体"/>
          <w:b/>
          <w:sz w:val="28"/>
          <w:szCs w:val="28"/>
          <w:lang w:eastAsia="zh-CN"/>
        </w:rPr>
        <w:t>”</w:t>
      </w:r>
      <w:r>
        <w:rPr>
          <w:rFonts w:eastAsia="宋体"/>
          <w:b/>
          <w:sz w:val="28"/>
          <w:szCs w:val="28"/>
          <w:lang w:eastAsia="zh-CN"/>
        </w:rPr>
        <w:t>?</w:t>
      </w:r>
    </w:p>
    <w:p>
      <w:pPr>
        <w:pStyle w:val="5"/>
        <w:spacing w:line="400" w:lineRule="exact"/>
        <w:ind w:firstLine="552" w:firstLineChars="200"/>
        <w:jc w:val="both"/>
        <w:rPr>
          <w:rFonts w:eastAsia="宋体"/>
          <w:sz w:val="28"/>
          <w:szCs w:val="28"/>
          <w:lang w:eastAsia="zh-CN"/>
        </w:rPr>
      </w:pP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例如，如果原始抵押品涵盖原材料，如木材，则收益将包括出售家具收到的货币和应收账款。</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63.</w:t>
      </w:r>
      <w:r>
        <w:rPr>
          <w:rFonts w:eastAsia="宋体"/>
          <w:b/>
          <w:sz w:val="28"/>
          <w:szCs w:val="28"/>
          <w:lang w:eastAsia="zh-CN"/>
        </w:rPr>
        <w:t>根据法律规定，担保权益是否自动延伸至原抵押品的</w:t>
      </w:r>
      <w:r>
        <w:rPr>
          <w:rFonts w:hint="eastAsia" w:eastAsia="宋体"/>
          <w:b/>
          <w:sz w:val="28"/>
          <w:szCs w:val="28"/>
          <w:lang w:eastAsia="zh-CN"/>
        </w:rPr>
        <w:t>“</w:t>
      </w:r>
      <w:r>
        <w:rPr>
          <w:rFonts w:eastAsia="宋体"/>
          <w:b/>
          <w:sz w:val="28"/>
          <w:szCs w:val="28"/>
          <w:lang w:eastAsia="zh-CN"/>
        </w:rPr>
        <w:t>替代物</w:t>
      </w:r>
      <w:r>
        <w:rPr>
          <w:rFonts w:hint="eastAsia" w:eastAsia="宋体"/>
          <w:b/>
          <w:sz w:val="28"/>
          <w:szCs w:val="28"/>
          <w:lang w:eastAsia="zh-CN"/>
        </w:rPr>
        <w:t>”</w:t>
      </w:r>
      <w:r>
        <w:rPr>
          <w:rFonts w:eastAsia="宋体"/>
          <w:b/>
          <w:sz w:val="28"/>
          <w:szCs w:val="28"/>
          <w:lang w:eastAsia="zh-CN"/>
        </w:rPr>
        <w:t>?</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例如，如果原始抵押品涵盖原材料，如木材，则替代品将是在后续制造过程中使用的另一种新木材。</w:t>
      </w:r>
    </w:p>
    <w:p>
      <w:pPr>
        <w:pStyle w:val="5"/>
        <w:spacing w:line="400" w:lineRule="exact"/>
        <w:ind w:firstLine="560" w:firstLineChars="200"/>
        <w:jc w:val="both"/>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64.</w:t>
      </w:r>
      <w:r>
        <w:rPr>
          <w:rFonts w:eastAsia="宋体"/>
          <w:b/>
          <w:sz w:val="28"/>
          <w:szCs w:val="28"/>
          <w:lang w:eastAsia="zh-CN"/>
        </w:rPr>
        <w:t>如果第61题、或第62题、或第63题的答案是肯定的，如果担保权益自动延伸到原抵押品的</w:t>
      </w:r>
      <w:r>
        <w:rPr>
          <w:rFonts w:hint="eastAsia" w:eastAsia="宋体"/>
          <w:b/>
          <w:sz w:val="28"/>
          <w:szCs w:val="28"/>
          <w:lang w:eastAsia="zh-CN"/>
        </w:rPr>
        <w:t>“</w:t>
      </w:r>
      <w:r>
        <w:rPr>
          <w:rFonts w:eastAsia="宋体"/>
          <w:b/>
          <w:sz w:val="28"/>
          <w:szCs w:val="28"/>
          <w:lang w:eastAsia="zh-CN"/>
        </w:rPr>
        <w:t>产品、收益和替代物</w:t>
      </w:r>
      <w:r>
        <w:rPr>
          <w:rFonts w:hint="eastAsia" w:eastAsia="宋体"/>
          <w:b/>
          <w:sz w:val="28"/>
          <w:szCs w:val="28"/>
          <w:lang w:eastAsia="zh-CN"/>
        </w:rPr>
        <w:t>”</w:t>
      </w:r>
      <w:r>
        <w:rPr>
          <w:rFonts w:eastAsia="宋体"/>
          <w:b/>
          <w:sz w:val="28"/>
          <w:szCs w:val="28"/>
          <w:lang w:eastAsia="zh-CN"/>
        </w:rPr>
        <w:t>，是否适用于单一类动产的担保权益?</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65.</w:t>
      </w:r>
      <w:r>
        <w:rPr>
          <w:rFonts w:eastAsia="宋体"/>
          <w:b/>
          <w:sz w:val="28"/>
          <w:szCs w:val="28"/>
          <w:lang w:eastAsia="zh-CN"/>
        </w:rPr>
        <w:t>如果第61题、或第62题、或第63题的答案是肯定的，那么如果担保权益自动延伸至原抵押品的</w:t>
      </w:r>
      <w:r>
        <w:rPr>
          <w:rFonts w:hint="eastAsia" w:eastAsia="宋体"/>
          <w:b/>
          <w:sz w:val="28"/>
          <w:szCs w:val="28"/>
          <w:lang w:eastAsia="zh-CN"/>
        </w:rPr>
        <w:t>“</w:t>
      </w:r>
      <w:r>
        <w:rPr>
          <w:rFonts w:eastAsia="宋体"/>
          <w:b/>
          <w:sz w:val="28"/>
          <w:szCs w:val="28"/>
          <w:lang w:eastAsia="zh-CN"/>
        </w:rPr>
        <w:t>产品、收益和置换物</w:t>
      </w:r>
      <w:r>
        <w:rPr>
          <w:rFonts w:hint="eastAsia" w:eastAsia="宋体"/>
          <w:b/>
          <w:sz w:val="28"/>
          <w:szCs w:val="28"/>
          <w:lang w:eastAsia="zh-CN"/>
        </w:rPr>
        <w:t>”</w:t>
      </w:r>
      <w:r>
        <w:rPr>
          <w:rFonts w:eastAsia="宋体"/>
          <w:b/>
          <w:sz w:val="28"/>
          <w:szCs w:val="28"/>
          <w:lang w:eastAsia="zh-CN"/>
        </w:rPr>
        <w:t>，是否适用于合并类别的动产担保权益?</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66.</w:t>
      </w:r>
      <w:r>
        <w:rPr>
          <w:rFonts w:eastAsia="宋体"/>
          <w:b/>
          <w:sz w:val="28"/>
          <w:szCs w:val="28"/>
          <w:lang w:eastAsia="zh-CN"/>
        </w:rPr>
        <w:t>当前和未来的债务和义务可以用单一类别的流动资产担保吗?</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67.</w:t>
      </w:r>
      <w:r>
        <w:rPr>
          <w:rFonts w:eastAsia="宋体"/>
          <w:b/>
          <w:sz w:val="28"/>
          <w:szCs w:val="28"/>
          <w:lang w:eastAsia="zh-CN"/>
        </w:rPr>
        <w:t>当前和未来的债务和义务是否可以用一个合并类别的流动资产来担保?</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68.</w:t>
      </w:r>
      <w:r>
        <w:rPr>
          <w:rFonts w:eastAsia="宋体"/>
          <w:b/>
          <w:sz w:val="28"/>
          <w:szCs w:val="28"/>
          <w:lang w:eastAsia="zh-CN"/>
        </w:rPr>
        <w:t>所有类型的固定债务和义务都可以用单一类别的流动资产担保吗?</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69.</w:t>
      </w:r>
      <w:r>
        <w:rPr>
          <w:rFonts w:eastAsia="宋体"/>
          <w:b/>
          <w:sz w:val="28"/>
          <w:szCs w:val="28"/>
          <w:lang w:eastAsia="zh-CN"/>
        </w:rPr>
        <w:t>所有类型的附条件债务和义务都可以用单一类别的流动资产担保吗?</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70.</w:t>
      </w:r>
      <w:r>
        <w:rPr>
          <w:rFonts w:eastAsia="宋体"/>
          <w:b/>
          <w:sz w:val="28"/>
          <w:szCs w:val="28"/>
          <w:lang w:eastAsia="zh-CN"/>
        </w:rPr>
        <w:t>所有类型的波动债务和义务都可以用单一类别的流动资产担保吗?</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71.</w:t>
      </w:r>
      <w:r>
        <w:rPr>
          <w:rFonts w:eastAsia="宋体"/>
          <w:b/>
          <w:sz w:val="28"/>
          <w:szCs w:val="28"/>
          <w:lang w:eastAsia="zh-CN"/>
        </w:rPr>
        <w:t>所有类型的固定债务和义务都可以用一个组合类别的动产来担保吗?</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72.</w:t>
      </w:r>
      <w:r>
        <w:rPr>
          <w:rFonts w:eastAsia="宋体"/>
          <w:b/>
          <w:sz w:val="28"/>
          <w:szCs w:val="28"/>
          <w:lang w:eastAsia="zh-CN"/>
        </w:rPr>
        <w:t>所有类型的附条件债务和义务是否可以用合并类别的动产进行担保?</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561"/>
        </w:tabs>
        <w:spacing w:before="79" w:line="400" w:lineRule="exact"/>
        <w:ind w:right="197" w:hanging="560"/>
        <w:rPr>
          <w:rFonts w:eastAsia="宋体"/>
          <w:b/>
          <w:bCs/>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73.</w:t>
      </w:r>
      <w:r>
        <w:rPr>
          <w:rFonts w:eastAsia="宋体"/>
          <w:b/>
          <w:sz w:val="28"/>
          <w:szCs w:val="28"/>
          <w:lang w:eastAsia="zh-CN"/>
        </w:rPr>
        <w:t>所有类型的波动债务和义务都可以用一个合并类别的流动资产来担保吗?</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74.</w:t>
      </w:r>
      <w:r>
        <w:rPr>
          <w:rFonts w:eastAsia="宋体"/>
          <w:b/>
          <w:sz w:val="28"/>
          <w:szCs w:val="28"/>
          <w:lang w:eastAsia="zh-CN"/>
        </w:rPr>
        <w:t>在法律上，担保协议中的义务能否在担保权益登记时以一般条款描述?</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例如，</w:t>
      </w:r>
      <w:r>
        <w:rPr>
          <w:rFonts w:hint="eastAsia" w:eastAsia="宋体"/>
          <w:i/>
          <w:sz w:val="28"/>
          <w:szCs w:val="28"/>
          <w:lang w:eastAsia="zh-CN"/>
        </w:rPr>
        <w:t>“</w:t>
      </w:r>
      <w:r>
        <w:rPr>
          <w:rFonts w:eastAsia="宋体"/>
          <w:i/>
          <w:sz w:val="28"/>
          <w:szCs w:val="28"/>
          <w:lang w:eastAsia="zh-CN"/>
        </w:rPr>
        <w:t>双方之间的所有义务</w:t>
      </w:r>
      <w:r>
        <w:rPr>
          <w:rFonts w:hint="eastAsia" w:eastAsia="宋体"/>
          <w:i/>
          <w:sz w:val="28"/>
          <w:szCs w:val="28"/>
          <w:lang w:eastAsia="zh-CN"/>
        </w:rPr>
        <w:t>”</w:t>
      </w:r>
      <w:r>
        <w:rPr>
          <w:rFonts w:eastAsia="宋体"/>
          <w:i/>
          <w:sz w:val="28"/>
          <w:szCs w:val="28"/>
          <w:lang w:eastAsia="zh-CN"/>
        </w:rPr>
        <w:t>，或</w:t>
      </w:r>
      <w:r>
        <w:rPr>
          <w:rFonts w:hint="eastAsia" w:eastAsia="宋体"/>
          <w:i/>
          <w:sz w:val="28"/>
          <w:szCs w:val="28"/>
          <w:lang w:eastAsia="zh-CN"/>
        </w:rPr>
        <w:t>“</w:t>
      </w:r>
      <w:r>
        <w:rPr>
          <w:rFonts w:eastAsia="宋体"/>
          <w:i/>
          <w:sz w:val="28"/>
          <w:szCs w:val="28"/>
          <w:lang w:eastAsia="zh-CN"/>
        </w:rPr>
        <w:t>高达1,000,000美元的债务义务(如信贷额度)</w:t>
      </w:r>
      <w:r>
        <w:rPr>
          <w:rFonts w:hint="eastAsia" w:eastAsia="宋体"/>
          <w:i/>
          <w:sz w:val="28"/>
          <w:szCs w:val="28"/>
          <w:lang w:eastAsia="zh-CN"/>
        </w:rPr>
        <w:t>；</w:t>
      </w:r>
      <w:r>
        <w:rPr>
          <w:rFonts w:eastAsia="宋体"/>
          <w:i/>
          <w:sz w:val="28"/>
          <w:szCs w:val="28"/>
          <w:lang w:eastAsia="zh-CN"/>
        </w:rPr>
        <w:t>义务将在该阈值下波动，而不需要每次创建新义务时都签订新协议</w:t>
      </w:r>
      <w:r>
        <w:rPr>
          <w:rFonts w:hint="eastAsia" w:eastAsia="宋体"/>
          <w:i/>
          <w:sz w:val="28"/>
          <w:szCs w:val="28"/>
          <w:lang w:eastAsia="zh-CN"/>
        </w:rPr>
        <w:t>”</w:t>
      </w:r>
      <w:r>
        <w:rPr>
          <w:rFonts w:eastAsia="宋体"/>
          <w:i/>
          <w:sz w:val="28"/>
          <w:szCs w:val="28"/>
          <w:lang w:eastAsia="zh-CN"/>
        </w:rPr>
        <w:t>。</w:t>
      </w:r>
    </w:p>
    <w:p>
      <w:pPr>
        <w:pStyle w:val="5"/>
        <w:spacing w:line="400" w:lineRule="exact"/>
        <w:ind w:firstLine="560" w:firstLineChars="200"/>
        <w:rPr>
          <w:rFonts w:eastAsia="宋体"/>
          <w:i/>
          <w:sz w:val="28"/>
          <w:szCs w:val="28"/>
          <w:lang w:eastAsia="zh-CN"/>
        </w:rPr>
      </w:pPr>
    </w:p>
    <w:p>
      <w:pPr>
        <w:pStyle w:val="11"/>
        <w:tabs>
          <w:tab w:val="left" w:pos="561"/>
        </w:tabs>
        <w:spacing w:line="400" w:lineRule="exact"/>
        <w:ind w:left="0" w:firstLine="562" w:firstLineChars="200"/>
        <w:rPr>
          <w:rFonts w:eastAsia="宋体"/>
          <w:i/>
          <w:sz w:val="28"/>
          <w:szCs w:val="28"/>
        </w:rPr>
      </w:pPr>
      <w:r>
        <w:rPr>
          <w:rFonts w:eastAsia="宋体"/>
          <w:b/>
          <w:bCs/>
          <w:sz w:val="28"/>
          <w:szCs w:val="28"/>
          <w:lang w:eastAsia="zh-CN"/>
        </w:rPr>
        <w:t>75.</w:t>
      </w:r>
      <w:r>
        <w:rPr>
          <w:rFonts w:eastAsia="宋体"/>
          <w:b/>
          <w:sz w:val="28"/>
          <w:szCs w:val="28"/>
          <w:lang w:eastAsia="zh-CN"/>
        </w:rPr>
        <w:t>如果问题74的答案是否定的，请说明说明要求是什么。</w:t>
      </w:r>
      <w:r>
        <w:rPr>
          <w:rFonts w:eastAsia="宋体"/>
          <w:i/>
          <w:sz w:val="28"/>
          <w:szCs w:val="28"/>
        </w:rPr>
        <w:t>(</w:t>
      </w:r>
      <w:r>
        <w:rPr>
          <w:rFonts w:hint="eastAsia" w:eastAsia="宋体"/>
          <w:i/>
          <w:sz w:val="28"/>
          <w:szCs w:val="28"/>
          <w:lang w:eastAsia="zh-CN"/>
        </w:rPr>
        <w:t>不计分</w:t>
      </w:r>
      <w:r>
        <w:rPr>
          <w:rFonts w:eastAsia="宋体"/>
          <w:i/>
          <w:sz w:val="28"/>
          <w:szCs w:val="28"/>
        </w:rPr>
        <w:t>)</w:t>
      </w:r>
    </w:p>
    <w:p>
      <w:pPr>
        <w:pStyle w:val="11"/>
        <w:tabs>
          <w:tab w:val="left" w:pos="561"/>
        </w:tabs>
        <w:spacing w:line="400" w:lineRule="exact"/>
        <w:ind w:left="0" w:firstLine="560" w:firstLineChars="200"/>
        <w:rPr>
          <w:rFonts w:eastAsia="宋体"/>
          <w:i/>
          <w:sz w:val="28"/>
          <w:szCs w:val="28"/>
        </w:rPr>
      </w:pPr>
    </w:p>
    <w:p>
      <w:pPr>
        <w:pStyle w:val="11"/>
        <w:tabs>
          <w:tab w:val="left" w:pos="561"/>
        </w:tabs>
        <w:spacing w:line="400" w:lineRule="exact"/>
        <w:ind w:left="0" w:firstLine="562" w:firstLineChars="200"/>
        <w:rPr>
          <w:rFonts w:eastAsia="宋体"/>
          <w:sz w:val="28"/>
          <w:szCs w:val="28"/>
        </w:rPr>
      </w:pPr>
      <w:r>
        <w:rPr>
          <w:rFonts w:eastAsia="宋体"/>
          <w:b/>
          <w:bCs/>
          <w:sz w:val="28"/>
          <w:szCs w:val="28"/>
          <w:lang w:eastAsia="zh-CN"/>
        </w:rPr>
        <w:t>76.</w:t>
      </w:r>
      <w:r>
        <w:rPr>
          <w:rFonts w:eastAsia="宋体"/>
          <w:b/>
          <w:sz w:val="28"/>
          <w:szCs w:val="28"/>
          <w:lang w:eastAsia="zh-CN"/>
        </w:rPr>
        <w:t>有担保债权人是否对从未登记或在任何法院程序启动之前登记的所有其他债权享有绝对优先权？请就一类动产和一类组合动产的担保权益考虑这个问题。</w:t>
      </w:r>
      <w:r>
        <w:rPr>
          <w:rFonts w:eastAsia="宋体"/>
          <w:sz w:val="28"/>
          <w:szCs w:val="28"/>
        </w:rPr>
        <w:t>(</w:t>
      </w:r>
      <w:r>
        <w:rPr>
          <w:rFonts w:hint="eastAsia" w:eastAsia="宋体"/>
          <w:sz w:val="28"/>
          <w:szCs w:val="28"/>
          <w:lang w:eastAsia="zh-CN"/>
        </w:rPr>
        <w:t>Y/N</w:t>
      </w:r>
      <w:r>
        <w:rPr>
          <w:rFonts w:eastAsia="宋体"/>
          <w:sz w:val="28"/>
          <w:szCs w:val="28"/>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有担保债权人是否在任何其他可能的债权人索赔（如劳动工资或国家税收）之前支付了抵押物。</w:t>
      </w:r>
    </w:p>
    <w:p>
      <w:pPr>
        <w:pStyle w:val="5"/>
        <w:spacing w:line="400" w:lineRule="exact"/>
        <w:ind w:firstLine="560" w:firstLineChars="200"/>
        <w:rPr>
          <w:rFonts w:eastAsia="宋体"/>
          <w:i/>
          <w:sz w:val="28"/>
          <w:szCs w:val="28"/>
          <w:lang w:eastAsia="zh-CN"/>
        </w:rPr>
      </w:pPr>
    </w:p>
    <w:p>
      <w:pPr>
        <w:pStyle w:val="11"/>
        <w:tabs>
          <w:tab w:val="left" w:pos="561"/>
        </w:tabs>
        <w:spacing w:line="400" w:lineRule="exact"/>
        <w:ind w:left="0" w:firstLine="562" w:firstLineChars="200"/>
        <w:jc w:val="left"/>
        <w:outlineLvl w:val="2"/>
        <w:rPr>
          <w:rFonts w:eastAsia="宋体"/>
          <w:sz w:val="28"/>
          <w:szCs w:val="28"/>
          <w:lang w:eastAsia="zh-CN"/>
        </w:rPr>
      </w:pPr>
      <w:r>
        <w:rPr>
          <w:rFonts w:eastAsia="宋体"/>
          <w:b/>
          <w:bCs/>
          <w:sz w:val="28"/>
          <w:szCs w:val="28"/>
          <w:lang w:eastAsia="zh-CN"/>
        </w:rPr>
        <w:t>77.</w:t>
      </w:r>
      <w:r>
        <w:rPr>
          <w:rFonts w:eastAsia="宋体"/>
          <w:b/>
          <w:sz w:val="28"/>
          <w:szCs w:val="28"/>
          <w:lang w:eastAsia="zh-CN"/>
        </w:rPr>
        <w:t>请提供不同类型债权的优先级排序。</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请注意，由于债务人处于任何破产或破产程序之外，相关条款可能在不同的法律中找到，例如劳动法或税法。</w:t>
      </w:r>
    </w:p>
    <w:p>
      <w:pPr>
        <w:pStyle w:val="5"/>
        <w:spacing w:line="400" w:lineRule="exact"/>
        <w:ind w:firstLine="560" w:firstLineChars="200"/>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78.</w:t>
      </w:r>
      <w:r>
        <w:rPr>
          <w:rFonts w:eastAsia="宋体"/>
          <w:b/>
          <w:sz w:val="28"/>
          <w:szCs w:val="28"/>
          <w:lang w:eastAsia="zh-CN"/>
        </w:rPr>
        <w:t>法律是否允许担保协议的当事人在设立担保权益时，同意在债务人违约的情况下在法庭外强制执行担保权益?请就一类动产和一类组合动产的担保权益考虑这个问题（请考虑这一问题的担保权益在一个类别和一个组合类别的动产)。</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也就是说，在违约时，担保权人可以（1）占有担保物或（2）私下或通过拍卖出售、交换、转换为货币、收取或以其他方式强制执行担保物。</w:t>
      </w:r>
    </w:p>
    <w:p>
      <w:pPr>
        <w:pStyle w:val="5"/>
        <w:spacing w:line="400" w:lineRule="exact"/>
        <w:ind w:firstLine="560" w:firstLineChars="200"/>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79.</w:t>
      </w:r>
      <w:r>
        <w:rPr>
          <w:rFonts w:eastAsia="宋体"/>
          <w:b/>
          <w:sz w:val="28"/>
          <w:szCs w:val="28"/>
          <w:lang w:eastAsia="zh-CN"/>
        </w:rPr>
        <w:t>如果第78题的答案是肯定的，那么资产的出售可以通过公开拍卖进行吗?</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rPr>
          <w:rFonts w:eastAsia="宋体"/>
          <w:sz w:val="28"/>
          <w:szCs w:val="28"/>
          <w:lang w:eastAsia="zh-CN"/>
        </w:rPr>
      </w:pPr>
      <w:r>
        <w:rPr>
          <w:rFonts w:eastAsia="宋体"/>
          <w:b/>
          <w:bCs/>
          <w:sz w:val="28"/>
          <w:szCs w:val="28"/>
          <w:lang w:eastAsia="zh-CN"/>
        </w:rPr>
        <w:t>80.</w:t>
      </w:r>
      <w:r>
        <w:rPr>
          <w:rFonts w:eastAsia="宋体"/>
          <w:b/>
          <w:sz w:val="28"/>
          <w:szCs w:val="28"/>
          <w:lang w:eastAsia="zh-CN"/>
        </w:rPr>
        <w:t>如果第78题的答案是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，那么该资产的出售是否可以通过私人出售进行?</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81.</w:t>
      </w:r>
      <w:r>
        <w:rPr>
          <w:rFonts w:eastAsia="宋体"/>
          <w:b/>
          <w:sz w:val="28"/>
          <w:szCs w:val="28"/>
          <w:lang w:eastAsia="zh-CN"/>
        </w:rPr>
        <w:t>如果第</w:t>
      </w:r>
      <w:r>
        <w:rPr>
          <w:rFonts w:eastAsia="宋体"/>
          <w:b/>
          <w:spacing w:val="-3"/>
          <w:sz w:val="28"/>
          <w:szCs w:val="28"/>
          <w:lang w:eastAsia="zh-CN"/>
        </w:rPr>
        <w:t>78题的答案</w:t>
      </w:r>
      <w:r>
        <w:rPr>
          <w:rFonts w:eastAsia="宋体"/>
          <w:b/>
          <w:i/>
          <w:sz w:val="28"/>
          <w:szCs w:val="28"/>
          <w:lang w:eastAsia="zh-CN"/>
        </w:rPr>
        <w:t>是肯定的，那么在你们的</w:t>
      </w:r>
      <w:r>
        <w:rPr>
          <w:rFonts w:eastAsia="宋体"/>
          <w:b/>
          <w:sz w:val="28"/>
          <w:szCs w:val="28"/>
          <w:lang w:eastAsia="zh-CN"/>
        </w:rPr>
        <w:t>经济体</w:t>
      </w:r>
      <w:r>
        <w:rPr>
          <w:rFonts w:eastAsia="宋体"/>
          <w:b/>
          <w:i/>
          <w:sz w:val="28"/>
          <w:szCs w:val="28"/>
          <w:lang w:eastAsia="zh-CN"/>
        </w:rPr>
        <w:t>中，建立</w:t>
      </w:r>
      <w:r>
        <w:rPr>
          <w:rFonts w:hint="eastAsia" w:eastAsia="宋体"/>
          <w:b/>
          <w:i/>
          <w:sz w:val="28"/>
          <w:szCs w:val="28"/>
          <w:lang w:eastAsia="zh-CN"/>
        </w:rPr>
        <w:t>“</w:t>
      </w:r>
      <w:r>
        <w:rPr>
          <w:rFonts w:eastAsia="宋体"/>
          <w:b/>
          <w:i/>
          <w:sz w:val="28"/>
          <w:szCs w:val="28"/>
          <w:lang w:eastAsia="zh-CN"/>
        </w:rPr>
        <w:t>合约委员会</w:t>
      </w:r>
      <w:r>
        <w:rPr>
          <w:rFonts w:hint="eastAsia" w:eastAsia="宋体"/>
          <w:b/>
          <w:sz w:val="28"/>
          <w:szCs w:val="28"/>
          <w:lang w:eastAsia="zh-CN"/>
        </w:rPr>
        <w:t>”</w:t>
      </w:r>
      <w:r>
        <w:rPr>
          <w:rFonts w:eastAsia="宋体"/>
          <w:b/>
          <w:sz w:val="28"/>
          <w:szCs w:val="28"/>
          <w:lang w:eastAsia="zh-CN"/>
        </w:rPr>
        <w:t>是可能</w:t>
      </w:r>
      <w:r>
        <w:rPr>
          <w:rFonts w:eastAsia="宋体"/>
          <w:b/>
          <w:i/>
          <w:sz w:val="28"/>
          <w:szCs w:val="28"/>
          <w:lang w:eastAsia="zh-CN"/>
        </w:rPr>
        <w:t>的吗?当债务人违约时，有担保的债权人是否可以自动提取抵押担保资产</w:t>
      </w:r>
      <w:r>
        <w:rPr>
          <w:rFonts w:eastAsia="宋体"/>
          <w:b/>
          <w:sz w:val="28"/>
          <w:szCs w:val="28"/>
          <w:lang w:eastAsia="zh-CN"/>
        </w:rPr>
        <w:t>?</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82.</w:t>
      </w:r>
      <w:r>
        <w:rPr>
          <w:rFonts w:eastAsia="宋体"/>
          <w:b/>
          <w:sz w:val="28"/>
          <w:szCs w:val="28"/>
          <w:lang w:eastAsia="zh-CN"/>
        </w:rPr>
        <w:t>如果第81题的答案为</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，是否允许债权人以协议全额或部分偿还债务的方式取得该资产?</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rPr>
          <w:rFonts w:eastAsia="宋体"/>
          <w:sz w:val="28"/>
          <w:szCs w:val="28"/>
          <w:lang w:eastAsia="zh-CN"/>
        </w:rPr>
      </w:pPr>
      <w:r>
        <w:rPr>
          <w:rFonts w:eastAsia="宋体"/>
          <w:sz w:val="28"/>
          <w:szCs w:val="28"/>
          <w:lang w:eastAsia="zh-CN"/>
        </w:rPr>
        <w:br w:type="page"/>
      </w:r>
    </w:p>
    <w:p>
      <w:pPr>
        <w:pStyle w:val="11"/>
        <w:tabs>
          <w:tab w:val="left" w:pos="561"/>
        </w:tabs>
        <w:spacing w:line="400" w:lineRule="exact"/>
        <w:ind w:left="0" w:firstLine="0"/>
        <w:rPr>
          <w:rFonts w:eastAsia="宋体"/>
          <w:sz w:val="28"/>
          <w:szCs w:val="28"/>
          <w:lang w:eastAsia="zh-CN"/>
        </w:rPr>
      </w:pPr>
    </w:p>
    <w:p>
      <w:pPr>
        <w:pStyle w:val="5"/>
        <w:rPr>
          <w:lang w:eastAsia="zh-CN"/>
        </w:rPr>
      </w:pPr>
    </w:p>
    <w:tbl>
      <w:tblPr>
        <w:tblStyle w:val="8"/>
        <w:tblW w:w="8516"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67"/>
        <w:gridCol w:w="859"/>
        <w:gridCol w:w="895"/>
        <w:gridCol w:w="8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8516" w:type="dxa"/>
            <w:gridSpan w:val="4"/>
            <w:shd w:val="clear" w:color="auto" w:fill="CCD4EA"/>
            <w:vAlign w:val="center"/>
          </w:tcPr>
          <w:p>
            <w:pPr>
              <w:pStyle w:val="12"/>
              <w:spacing w:before="14" w:line="227" w:lineRule="exact"/>
              <w:jc w:val="both"/>
              <w:rPr>
                <w:rFonts w:eastAsia="宋体"/>
                <w:b/>
                <w:sz w:val="21"/>
                <w:szCs w:val="21"/>
                <w:lang w:eastAsia="zh-CN"/>
              </w:rPr>
            </w:pPr>
            <w:r>
              <w:rPr>
                <w:rFonts w:eastAsia="宋体"/>
                <w:b/>
                <w:color w:val="4471C4"/>
                <w:sz w:val="21"/>
                <w:szCs w:val="21"/>
                <w:lang w:eastAsia="zh-CN"/>
              </w:rPr>
              <w:t>2.5对担保交易的良好监管做法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8516" w:type="dxa"/>
            <w:gridSpan w:val="4"/>
            <w:shd w:val="clear" w:color="auto" w:fill="E7EBF5"/>
          </w:tcPr>
          <w:p>
            <w:pPr>
              <w:pStyle w:val="12"/>
              <w:spacing w:before="14" w:line="224" w:lineRule="exact"/>
              <w:ind w:left="467"/>
              <w:rPr>
                <w:rFonts w:eastAsia="宋体"/>
                <w:b/>
                <w:sz w:val="21"/>
                <w:szCs w:val="21"/>
                <w:lang w:eastAsia="zh-CN"/>
              </w:rPr>
            </w:pPr>
            <w:r>
              <w:rPr>
                <w:rFonts w:eastAsia="宋体"/>
                <w:b/>
                <w:sz w:val="21"/>
                <w:szCs w:val="21"/>
                <w:lang w:eastAsia="zh-CN"/>
              </w:rPr>
              <w:t>2.5.1担保交易的统一法律框架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867" w:type="dxa"/>
            <w:vAlign w:val="center"/>
          </w:tcPr>
          <w:p>
            <w:pPr>
              <w:pStyle w:val="12"/>
              <w:spacing w:before="115"/>
              <w:jc w:val="both"/>
              <w:rPr>
                <w:rFonts w:eastAsia="宋体"/>
                <w:b/>
                <w:sz w:val="21"/>
                <w:szCs w:val="21"/>
              </w:rPr>
            </w:pPr>
            <w:r>
              <w:rPr>
                <w:rFonts w:eastAsia="宋体"/>
                <w:b/>
                <w:spacing w:val="-2"/>
                <w:sz w:val="21"/>
                <w:szCs w:val="21"/>
              </w:rPr>
              <w:t>指标</w:t>
            </w:r>
          </w:p>
        </w:tc>
        <w:tc>
          <w:tcPr>
            <w:tcW w:w="859" w:type="dxa"/>
          </w:tcPr>
          <w:p>
            <w:pPr>
              <w:pStyle w:val="12"/>
              <w:spacing w:before="115"/>
              <w:jc w:val="center"/>
              <w:rPr>
                <w:rFonts w:eastAsia="宋体"/>
                <w:b/>
                <w:sz w:val="21"/>
                <w:szCs w:val="21"/>
              </w:rPr>
            </w:pPr>
            <w:r>
              <w:rPr>
                <w:rFonts w:eastAsia="宋体"/>
                <w:b/>
                <w:spacing w:val="-5"/>
                <w:sz w:val="21"/>
                <w:szCs w:val="21"/>
              </w:rPr>
              <w:t>FFP</w:t>
            </w:r>
          </w:p>
        </w:tc>
        <w:tc>
          <w:tcPr>
            <w:tcW w:w="895" w:type="dxa"/>
          </w:tcPr>
          <w:p>
            <w:pPr>
              <w:pStyle w:val="12"/>
              <w:spacing w:before="115"/>
              <w:ind w:left="106"/>
              <w:jc w:val="center"/>
              <w:rPr>
                <w:rFonts w:eastAsia="宋体"/>
                <w:b/>
                <w:sz w:val="21"/>
                <w:szCs w:val="21"/>
              </w:rPr>
            </w:pPr>
            <w:r>
              <w:rPr>
                <w:rFonts w:eastAsia="宋体"/>
                <w:b/>
                <w:spacing w:val="-5"/>
                <w:sz w:val="21"/>
                <w:szCs w:val="21"/>
              </w:rPr>
              <w:t>SBP</w:t>
            </w:r>
          </w:p>
        </w:tc>
        <w:tc>
          <w:tcPr>
            <w:tcW w:w="895" w:type="dxa"/>
          </w:tcPr>
          <w:p>
            <w:pPr>
              <w:pStyle w:val="12"/>
              <w:ind w:left="106" w:right="535"/>
              <w:jc w:val="center"/>
              <w:rPr>
                <w:rFonts w:eastAsia="宋体"/>
                <w:b/>
                <w:sz w:val="21"/>
                <w:szCs w:val="21"/>
              </w:rPr>
            </w:pPr>
            <w:r>
              <w:rPr>
                <w:rFonts w:eastAsia="宋体"/>
                <w:b/>
                <w:spacing w:val="-2"/>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867" w:type="dxa"/>
            <w:tcBorders>
              <w:bottom w:val="dashSmallGap" w:color="000000" w:sz="4" w:space="0"/>
            </w:tcBorders>
            <w:vAlign w:val="center"/>
          </w:tcPr>
          <w:p>
            <w:pPr>
              <w:pStyle w:val="12"/>
              <w:spacing w:before="36"/>
              <w:jc w:val="both"/>
              <w:rPr>
                <w:rFonts w:eastAsia="宋体"/>
                <w:b/>
                <w:sz w:val="21"/>
                <w:szCs w:val="21"/>
                <w:lang w:eastAsia="zh-CN"/>
              </w:rPr>
            </w:pPr>
            <w:r>
              <w:rPr>
                <w:rFonts w:eastAsia="宋体"/>
                <w:b/>
                <w:sz w:val="21"/>
                <w:szCs w:val="21"/>
                <w:lang w:eastAsia="zh-CN"/>
              </w:rPr>
              <w:t>担保交易法律架构(选项1)</w:t>
            </w:r>
          </w:p>
        </w:tc>
        <w:tc>
          <w:tcPr>
            <w:tcW w:w="859" w:type="dxa"/>
            <w:tcBorders>
              <w:bottom w:val="dashSmallGap" w:color="000000" w:sz="4" w:space="0"/>
            </w:tcBorders>
          </w:tcPr>
          <w:p>
            <w:pPr>
              <w:pStyle w:val="12"/>
              <w:spacing w:before="36"/>
              <w:jc w:val="center"/>
              <w:rPr>
                <w:rFonts w:eastAsia="宋体"/>
                <w:b/>
                <w:sz w:val="21"/>
                <w:szCs w:val="21"/>
              </w:rPr>
            </w:pPr>
            <w:r>
              <w:rPr>
                <w:rFonts w:eastAsia="宋体"/>
                <w:b/>
                <w:w w:val="99"/>
                <w:sz w:val="21"/>
                <w:szCs w:val="21"/>
              </w:rPr>
              <w:t>1</w:t>
            </w:r>
          </w:p>
        </w:tc>
        <w:tc>
          <w:tcPr>
            <w:tcW w:w="895" w:type="dxa"/>
            <w:tcBorders>
              <w:bottom w:val="dashSmallGap" w:color="000000" w:sz="4" w:space="0"/>
            </w:tcBorders>
          </w:tcPr>
          <w:p>
            <w:pPr>
              <w:pStyle w:val="12"/>
              <w:spacing w:before="36"/>
              <w:ind w:left="106"/>
              <w:jc w:val="center"/>
              <w:rPr>
                <w:rFonts w:eastAsia="宋体"/>
                <w:b/>
                <w:sz w:val="21"/>
                <w:szCs w:val="21"/>
              </w:rPr>
            </w:pPr>
            <w:r>
              <w:rPr>
                <w:rFonts w:eastAsia="宋体"/>
                <w:b/>
                <w:w w:val="99"/>
                <w:sz w:val="21"/>
                <w:szCs w:val="21"/>
              </w:rPr>
              <w:t>1</w:t>
            </w:r>
          </w:p>
        </w:tc>
        <w:tc>
          <w:tcPr>
            <w:tcW w:w="895" w:type="dxa"/>
            <w:tcBorders>
              <w:bottom w:val="dashSmallGap" w:color="000000" w:sz="4" w:space="0"/>
            </w:tcBorders>
          </w:tcPr>
          <w:p>
            <w:pPr>
              <w:pStyle w:val="12"/>
              <w:spacing w:before="36"/>
              <w:ind w:left="106"/>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5867" w:type="dxa"/>
            <w:tcBorders>
              <w:top w:val="dashSmallGap" w:color="000000" w:sz="4" w:space="0"/>
              <w:left w:val="dashSmallGap" w:color="000000" w:sz="4" w:space="0"/>
              <w:bottom w:val="dashSmallGap" w:color="000000" w:sz="4" w:space="0"/>
              <w:right w:val="dashSmallGap" w:color="000000" w:sz="4" w:space="0"/>
            </w:tcBorders>
            <w:vAlign w:val="center"/>
          </w:tcPr>
          <w:p>
            <w:pPr>
              <w:pStyle w:val="12"/>
              <w:spacing w:line="230" w:lineRule="exact"/>
              <w:ind w:left="379" w:right="208" w:hanging="180"/>
              <w:jc w:val="both"/>
              <w:rPr>
                <w:rFonts w:eastAsia="宋体"/>
                <w:sz w:val="21"/>
                <w:szCs w:val="21"/>
                <w:lang w:eastAsia="zh-CN"/>
              </w:rPr>
            </w:pPr>
            <w:r>
              <w:rPr>
                <w:rFonts w:eastAsia="宋体"/>
                <w:b/>
                <w:sz w:val="21"/>
                <w:szCs w:val="21"/>
                <w:lang w:eastAsia="zh-CN"/>
              </w:rPr>
              <w:t>-</w:t>
            </w:r>
            <w:r>
              <w:rPr>
                <w:rFonts w:eastAsia="宋体"/>
                <w:sz w:val="21"/>
                <w:szCs w:val="21"/>
                <w:lang w:eastAsia="zh-CN"/>
              </w:rPr>
              <w:t>统一的法律框架和相同的规则适用于注册法人和非注册法人债务人和债权人(39和48)或</w:t>
            </w:r>
          </w:p>
        </w:tc>
        <w:tc>
          <w:tcPr>
            <w:tcW w:w="859" w:type="dxa"/>
            <w:tcBorders>
              <w:top w:val="dashSmallGap" w:color="000000" w:sz="4" w:space="0"/>
              <w:left w:val="dashSmallGap" w:color="000000" w:sz="4" w:space="0"/>
              <w:bottom w:val="dashSmallGap" w:color="000000" w:sz="4" w:space="0"/>
              <w:right w:val="dashSmallGap" w:color="000000" w:sz="4" w:space="0"/>
            </w:tcBorders>
          </w:tcPr>
          <w:p>
            <w:pPr>
              <w:pStyle w:val="12"/>
              <w:spacing w:before="118"/>
              <w:jc w:val="center"/>
              <w:rPr>
                <w:rFonts w:eastAsia="宋体"/>
                <w:sz w:val="21"/>
                <w:szCs w:val="21"/>
              </w:rPr>
            </w:pPr>
            <w:r>
              <w:rPr>
                <w:rFonts w:eastAsia="宋体"/>
                <w:sz w:val="21"/>
                <w:szCs w:val="21"/>
              </w:rPr>
              <w:t>1或</w:t>
            </w:r>
          </w:p>
        </w:tc>
        <w:tc>
          <w:tcPr>
            <w:tcW w:w="895" w:type="dxa"/>
            <w:tcBorders>
              <w:top w:val="dashSmallGap" w:color="000000" w:sz="4" w:space="0"/>
              <w:left w:val="dashSmallGap" w:color="000000" w:sz="4" w:space="0"/>
              <w:bottom w:val="dashSmallGap" w:color="000000" w:sz="4" w:space="0"/>
              <w:right w:val="dashSmallGap" w:color="000000" w:sz="4" w:space="0"/>
            </w:tcBorders>
          </w:tcPr>
          <w:p>
            <w:pPr>
              <w:pStyle w:val="12"/>
              <w:spacing w:before="118"/>
              <w:ind w:left="106"/>
              <w:jc w:val="center"/>
              <w:rPr>
                <w:rFonts w:eastAsia="宋体"/>
                <w:sz w:val="21"/>
                <w:szCs w:val="21"/>
              </w:rPr>
            </w:pPr>
            <w:r>
              <w:rPr>
                <w:rFonts w:eastAsia="宋体"/>
                <w:sz w:val="21"/>
                <w:szCs w:val="21"/>
              </w:rPr>
              <w:t>1或</w:t>
            </w:r>
          </w:p>
        </w:tc>
        <w:tc>
          <w:tcPr>
            <w:tcW w:w="895" w:type="dxa"/>
            <w:tcBorders>
              <w:top w:val="dashSmallGap" w:color="000000" w:sz="4" w:space="0"/>
              <w:left w:val="dashSmallGap" w:color="000000" w:sz="4" w:space="0"/>
              <w:bottom w:val="dashSmallGap" w:color="000000" w:sz="4" w:space="0"/>
              <w:right w:val="dashSmallGap" w:color="000000" w:sz="4" w:space="0"/>
            </w:tcBorders>
          </w:tcPr>
          <w:p>
            <w:pPr>
              <w:pStyle w:val="12"/>
              <w:spacing w:before="118"/>
              <w:ind w:left="106"/>
              <w:jc w:val="center"/>
              <w:rPr>
                <w:rFonts w:eastAsia="宋体"/>
                <w:sz w:val="21"/>
                <w:szCs w:val="21"/>
              </w:rPr>
            </w:pPr>
            <w:r>
              <w:rPr>
                <w:rFonts w:eastAsia="宋体"/>
                <w:sz w:val="21"/>
                <w:szCs w:val="21"/>
              </w:rPr>
              <w:t>2或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867" w:type="dxa"/>
            <w:tcBorders>
              <w:top w:val="dashSmallGap" w:color="000000" w:sz="4" w:space="0"/>
              <w:left w:val="dashSmallGap" w:color="000000" w:sz="4" w:space="0"/>
              <w:bottom w:val="dashSmallGap" w:color="000000" w:sz="4" w:space="0"/>
              <w:right w:val="dashSmallGap" w:color="000000" w:sz="4" w:space="0"/>
            </w:tcBorders>
            <w:vAlign w:val="center"/>
          </w:tcPr>
          <w:p>
            <w:pPr>
              <w:pStyle w:val="12"/>
              <w:spacing w:before="115"/>
              <w:jc w:val="both"/>
              <w:rPr>
                <w:rFonts w:eastAsia="宋体"/>
                <w:i/>
                <w:sz w:val="21"/>
                <w:szCs w:val="21"/>
                <w:lang w:eastAsia="zh-CN"/>
              </w:rPr>
            </w:pPr>
            <w:r>
              <w:rPr>
                <w:rFonts w:eastAsia="宋体"/>
                <w:i/>
                <w:sz w:val="21"/>
                <w:szCs w:val="21"/>
                <w:lang w:eastAsia="zh-CN"/>
              </w:rPr>
              <w:t>如果29是</w:t>
            </w:r>
            <w:r>
              <w:rPr>
                <w:rFonts w:hint="eastAsia" w:eastAsia="宋体"/>
                <w:i/>
                <w:sz w:val="21"/>
                <w:szCs w:val="21"/>
                <w:lang w:eastAsia="zh-CN"/>
              </w:rPr>
              <w:t>“</w:t>
            </w:r>
            <w:r>
              <w:rPr>
                <w:rFonts w:eastAsia="宋体"/>
                <w:i/>
                <w:sz w:val="21"/>
                <w:szCs w:val="21"/>
                <w:lang w:eastAsia="zh-CN"/>
              </w:rPr>
              <w:t>否</w:t>
            </w:r>
            <w:r>
              <w:rPr>
                <w:rFonts w:hint="eastAsia" w:eastAsia="宋体"/>
                <w:i/>
                <w:sz w:val="21"/>
                <w:szCs w:val="21"/>
                <w:lang w:eastAsia="zh-CN"/>
              </w:rPr>
              <w:t>”</w:t>
            </w:r>
            <w:r>
              <w:rPr>
                <w:rFonts w:eastAsia="宋体"/>
                <w:i/>
                <w:sz w:val="21"/>
                <w:szCs w:val="21"/>
                <w:lang w:eastAsia="zh-CN"/>
              </w:rPr>
              <w:t>，48是</w:t>
            </w:r>
            <w:r>
              <w:rPr>
                <w:rFonts w:hint="eastAsia" w:eastAsia="宋体"/>
                <w:i/>
                <w:sz w:val="21"/>
                <w:szCs w:val="21"/>
                <w:lang w:eastAsia="zh-CN"/>
              </w:rPr>
              <w:t>“</w:t>
            </w:r>
            <w:r>
              <w:rPr>
                <w:rFonts w:eastAsia="宋体"/>
                <w:i/>
                <w:sz w:val="21"/>
                <w:szCs w:val="21"/>
                <w:lang w:eastAsia="zh-CN"/>
              </w:rPr>
              <w:t>是</w:t>
            </w:r>
            <w:r>
              <w:rPr>
                <w:rFonts w:hint="eastAsia" w:eastAsia="宋体"/>
                <w:i/>
                <w:sz w:val="21"/>
                <w:szCs w:val="21"/>
                <w:lang w:eastAsia="zh-CN"/>
              </w:rPr>
              <w:t>”</w:t>
            </w:r>
            <w:r>
              <w:rPr>
                <w:rFonts w:eastAsia="宋体"/>
                <w:i/>
                <w:sz w:val="21"/>
                <w:szCs w:val="21"/>
                <w:lang w:eastAsia="zh-CN"/>
              </w:rPr>
              <w:t>，则可以按如下方式打分</w:t>
            </w:r>
            <w:r>
              <w:rPr>
                <w:rFonts w:hint="eastAsia" w:eastAsia="宋体"/>
                <w:i/>
                <w:sz w:val="21"/>
                <w:szCs w:val="21"/>
                <w:lang w:eastAsia="zh-CN"/>
              </w:rPr>
              <w:t>：</w:t>
            </w:r>
          </w:p>
        </w:tc>
        <w:tc>
          <w:tcPr>
            <w:tcW w:w="859" w:type="dxa"/>
            <w:tcBorders>
              <w:top w:val="dashSmallGap" w:color="000000" w:sz="4" w:space="0"/>
              <w:left w:val="dashSmallGap" w:color="000000" w:sz="4" w:space="0"/>
              <w:bottom w:val="dashSmallGap" w:color="000000" w:sz="4" w:space="0"/>
              <w:right w:val="dashSmallGap" w:color="000000" w:sz="4" w:space="0"/>
            </w:tcBorders>
          </w:tcPr>
          <w:p>
            <w:pPr>
              <w:pStyle w:val="12"/>
              <w:ind w:left="0"/>
              <w:rPr>
                <w:rFonts w:eastAsia="宋体"/>
                <w:sz w:val="21"/>
                <w:szCs w:val="21"/>
                <w:lang w:eastAsia="zh-CN"/>
              </w:rPr>
            </w:pPr>
          </w:p>
        </w:tc>
        <w:tc>
          <w:tcPr>
            <w:tcW w:w="895" w:type="dxa"/>
            <w:tcBorders>
              <w:top w:val="dashSmallGap" w:color="000000" w:sz="4" w:space="0"/>
              <w:left w:val="dashSmallGap" w:color="000000" w:sz="4" w:space="0"/>
              <w:bottom w:val="dashSmallGap" w:color="000000" w:sz="4" w:space="0"/>
              <w:right w:val="dashSmallGap" w:color="000000" w:sz="4" w:space="0"/>
            </w:tcBorders>
          </w:tcPr>
          <w:p>
            <w:pPr>
              <w:pStyle w:val="12"/>
              <w:ind w:left="0"/>
              <w:rPr>
                <w:rFonts w:eastAsia="宋体"/>
                <w:sz w:val="21"/>
                <w:szCs w:val="21"/>
                <w:lang w:eastAsia="zh-CN"/>
              </w:rPr>
            </w:pPr>
          </w:p>
        </w:tc>
        <w:tc>
          <w:tcPr>
            <w:tcW w:w="895" w:type="dxa"/>
            <w:tcBorders>
              <w:top w:val="dashSmallGap" w:color="000000" w:sz="4" w:space="0"/>
              <w:left w:val="dashSmallGap" w:color="000000" w:sz="4" w:space="0"/>
              <w:bottom w:val="dashSmallGap" w:color="000000" w:sz="4" w:space="0"/>
              <w:right w:val="dashSmallGap" w:color="000000" w:sz="4" w:space="0"/>
            </w:tcBorders>
          </w:tcPr>
          <w:p>
            <w:pPr>
              <w:pStyle w:val="12"/>
              <w:ind w:left="0"/>
              <w:rPr>
                <w:rFonts w:eastAsia="宋体"/>
                <w:sz w:val="21"/>
                <w:szCs w:val="21"/>
                <w:lang w:eastAsia="zh-CN"/>
              </w:rPr>
            </w:pPr>
          </w:p>
        </w:tc>
      </w:tr>
    </w:tbl>
    <w:tbl>
      <w:tblPr>
        <w:tblStyle w:val="8"/>
        <w:tblpPr w:leftFromText="180" w:rightFromText="180" w:vertAnchor="page" w:horzAnchor="page" w:tblpX="1922" w:tblpY="4383"/>
        <w:tblOverlap w:val="never"/>
        <w:tblW w:w="8509" w:type="dxa"/>
        <w:tblInd w:w="0" w:type="dxa"/>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
      <w:tblGrid>
        <w:gridCol w:w="5860"/>
        <w:gridCol w:w="859"/>
        <w:gridCol w:w="895"/>
        <w:gridCol w:w="895"/>
      </w:tblGrid>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085" w:hRule="atLeast"/>
        </w:trPr>
        <w:tc>
          <w:tcPr>
            <w:tcW w:w="5860" w:type="dxa"/>
            <w:vAlign w:val="center"/>
          </w:tcPr>
          <w:p>
            <w:pPr>
              <w:pStyle w:val="12"/>
              <w:numPr>
                <w:ilvl w:val="0"/>
                <w:numId w:val="5"/>
              </w:numPr>
              <w:tabs>
                <w:tab w:val="left" w:pos="379"/>
              </w:tabs>
              <w:spacing w:before="6" w:line="230" w:lineRule="auto"/>
              <w:ind w:right="262"/>
              <w:jc w:val="both"/>
              <w:rPr>
                <w:rFonts w:eastAsia="宋体"/>
                <w:sz w:val="21"/>
                <w:szCs w:val="21"/>
                <w:lang w:eastAsia="zh-CN"/>
              </w:rPr>
            </w:pPr>
            <w:r>
              <w:rPr>
                <w:rFonts w:eastAsia="宋体"/>
                <w:sz w:val="21"/>
                <w:szCs w:val="21"/>
                <w:lang w:eastAsia="zh-CN"/>
              </w:rPr>
              <w:t>法人和非法人债务人和债权人(40 and 41 and 48)均适用信托转让所有权和相同规则</w:t>
            </w:r>
          </w:p>
          <w:p>
            <w:pPr>
              <w:pStyle w:val="12"/>
              <w:numPr>
                <w:ilvl w:val="0"/>
                <w:numId w:val="5"/>
              </w:numPr>
              <w:tabs>
                <w:tab w:val="left" w:pos="379"/>
              </w:tabs>
              <w:spacing w:before="6" w:line="232" w:lineRule="auto"/>
              <w:ind w:right="191"/>
              <w:jc w:val="both"/>
              <w:rPr>
                <w:rFonts w:eastAsia="宋体"/>
                <w:sz w:val="21"/>
                <w:szCs w:val="21"/>
                <w:lang w:eastAsia="zh-CN"/>
              </w:rPr>
            </w:pPr>
            <w:r>
              <w:rPr>
                <w:rFonts w:eastAsia="宋体"/>
                <w:sz w:val="21"/>
                <w:szCs w:val="21"/>
                <w:lang w:eastAsia="zh-CN"/>
              </w:rPr>
              <w:t>融资租赁协议和相同规则适用于注册成立的和非注册成立的债务人和债权人(第42、43和48条)</w:t>
            </w:r>
          </w:p>
          <w:p>
            <w:pPr>
              <w:pStyle w:val="12"/>
              <w:numPr>
                <w:ilvl w:val="0"/>
                <w:numId w:val="5"/>
              </w:numPr>
              <w:tabs>
                <w:tab w:val="left" w:pos="379"/>
              </w:tabs>
              <w:spacing w:before="4" w:line="235" w:lineRule="auto"/>
              <w:ind w:right="249"/>
              <w:jc w:val="both"/>
              <w:rPr>
                <w:rFonts w:eastAsia="宋体"/>
                <w:sz w:val="21"/>
                <w:szCs w:val="21"/>
                <w:lang w:eastAsia="zh-CN"/>
              </w:rPr>
            </w:pPr>
            <w:r>
              <w:rPr>
                <w:rFonts w:eastAsia="宋体"/>
                <w:sz w:val="21"/>
                <w:szCs w:val="21"/>
                <w:lang w:eastAsia="zh-CN"/>
              </w:rPr>
              <w:t>应收款转让和应收款直接转让及相同规则适用于公司法人和非公司法人债务人和债权人(第44、45和48条)</w:t>
            </w:r>
          </w:p>
          <w:p>
            <w:pPr>
              <w:pStyle w:val="12"/>
              <w:numPr>
                <w:ilvl w:val="0"/>
                <w:numId w:val="5"/>
              </w:numPr>
              <w:tabs>
                <w:tab w:val="left" w:pos="379"/>
              </w:tabs>
              <w:spacing w:line="230" w:lineRule="exact"/>
              <w:ind w:right="544"/>
              <w:jc w:val="both"/>
              <w:rPr>
                <w:rFonts w:eastAsia="宋体"/>
                <w:sz w:val="21"/>
                <w:szCs w:val="21"/>
                <w:lang w:eastAsia="zh-CN"/>
              </w:rPr>
            </w:pPr>
            <w:r>
              <w:rPr>
                <w:rFonts w:eastAsia="宋体"/>
                <w:sz w:val="21"/>
                <w:szCs w:val="21"/>
                <w:lang w:eastAsia="zh-CN"/>
              </w:rPr>
              <w:t>所有权出售的保留及法团及非法团债务人及债权人的相同规则(第46、47及48条)</w:t>
            </w:r>
          </w:p>
        </w:tc>
        <w:tc>
          <w:tcPr>
            <w:tcW w:w="859" w:type="dxa"/>
          </w:tcPr>
          <w:p>
            <w:pPr>
              <w:pStyle w:val="12"/>
              <w:jc w:val="center"/>
              <w:rPr>
                <w:rFonts w:eastAsia="宋体"/>
                <w:sz w:val="21"/>
                <w:szCs w:val="21"/>
              </w:rPr>
            </w:pPr>
            <w:r>
              <w:rPr>
                <w:rFonts w:eastAsia="宋体"/>
                <w:spacing w:val="-4"/>
                <w:sz w:val="21"/>
                <w:szCs w:val="21"/>
              </w:rPr>
              <w:t>0.12</w:t>
            </w:r>
          </w:p>
          <w:p>
            <w:pPr>
              <w:pStyle w:val="12"/>
              <w:spacing w:before="1"/>
              <w:ind w:left="0"/>
              <w:jc w:val="center"/>
              <w:rPr>
                <w:rFonts w:eastAsia="宋体"/>
                <w:sz w:val="21"/>
                <w:szCs w:val="21"/>
              </w:rPr>
            </w:pPr>
          </w:p>
          <w:p>
            <w:pPr>
              <w:pStyle w:val="12"/>
              <w:jc w:val="center"/>
              <w:rPr>
                <w:rFonts w:eastAsia="宋体"/>
                <w:sz w:val="21"/>
                <w:szCs w:val="21"/>
              </w:rPr>
            </w:pPr>
            <w:r>
              <w:rPr>
                <w:rFonts w:eastAsia="宋体"/>
                <w:spacing w:val="-4"/>
                <w:sz w:val="21"/>
                <w:szCs w:val="21"/>
              </w:rPr>
              <w:t>0.12</w:t>
            </w:r>
          </w:p>
          <w:p>
            <w:pPr>
              <w:pStyle w:val="12"/>
              <w:spacing w:before="10"/>
              <w:ind w:left="0"/>
              <w:jc w:val="center"/>
              <w:rPr>
                <w:rFonts w:eastAsia="宋体"/>
                <w:sz w:val="21"/>
                <w:szCs w:val="21"/>
              </w:rPr>
            </w:pPr>
          </w:p>
          <w:p>
            <w:pPr>
              <w:pStyle w:val="12"/>
              <w:jc w:val="center"/>
              <w:rPr>
                <w:rFonts w:eastAsia="宋体"/>
                <w:sz w:val="21"/>
                <w:szCs w:val="21"/>
              </w:rPr>
            </w:pPr>
            <w:r>
              <w:rPr>
                <w:rFonts w:eastAsia="宋体"/>
                <w:spacing w:val="-4"/>
                <w:sz w:val="21"/>
                <w:szCs w:val="21"/>
              </w:rPr>
              <w:t>0.12</w:t>
            </w:r>
          </w:p>
          <w:p>
            <w:pPr>
              <w:pStyle w:val="12"/>
              <w:ind w:left="0"/>
              <w:jc w:val="center"/>
              <w:rPr>
                <w:rFonts w:eastAsia="宋体"/>
                <w:sz w:val="21"/>
                <w:szCs w:val="21"/>
              </w:rPr>
            </w:pPr>
          </w:p>
          <w:p>
            <w:pPr>
              <w:pStyle w:val="12"/>
              <w:spacing w:before="1"/>
              <w:ind w:left="0"/>
              <w:jc w:val="center"/>
              <w:rPr>
                <w:rFonts w:eastAsia="宋体"/>
                <w:sz w:val="21"/>
                <w:szCs w:val="21"/>
              </w:rPr>
            </w:pPr>
          </w:p>
          <w:p>
            <w:pPr>
              <w:pStyle w:val="12"/>
              <w:jc w:val="center"/>
              <w:rPr>
                <w:rFonts w:eastAsia="宋体"/>
                <w:sz w:val="21"/>
                <w:szCs w:val="21"/>
              </w:rPr>
            </w:pPr>
            <w:r>
              <w:rPr>
                <w:rFonts w:eastAsia="宋体"/>
                <w:spacing w:val="-4"/>
                <w:sz w:val="21"/>
                <w:szCs w:val="21"/>
              </w:rPr>
              <w:t>0.12</w:t>
            </w:r>
          </w:p>
        </w:tc>
        <w:tc>
          <w:tcPr>
            <w:tcW w:w="895" w:type="dxa"/>
          </w:tcPr>
          <w:p>
            <w:pPr>
              <w:pStyle w:val="12"/>
              <w:ind w:left="114"/>
              <w:jc w:val="center"/>
              <w:rPr>
                <w:rFonts w:eastAsia="宋体"/>
                <w:sz w:val="21"/>
                <w:szCs w:val="21"/>
              </w:rPr>
            </w:pPr>
            <w:r>
              <w:rPr>
                <w:rFonts w:eastAsia="宋体"/>
                <w:spacing w:val="-4"/>
                <w:sz w:val="21"/>
                <w:szCs w:val="21"/>
              </w:rPr>
              <w:t>0.12</w:t>
            </w:r>
          </w:p>
          <w:p>
            <w:pPr>
              <w:pStyle w:val="12"/>
              <w:spacing w:before="1"/>
              <w:ind w:left="0"/>
              <w:jc w:val="center"/>
              <w:rPr>
                <w:rFonts w:eastAsia="宋体"/>
                <w:sz w:val="21"/>
                <w:szCs w:val="21"/>
              </w:rPr>
            </w:pPr>
          </w:p>
          <w:p>
            <w:pPr>
              <w:pStyle w:val="12"/>
              <w:ind w:left="114"/>
              <w:jc w:val="center"/>
              <w:rPr>
                <w:rFonts w:eastAsia="宋体"/>
                <w:sz w:val="21"/>
                <w:szCs w:val="21"/>
              </w:rPr>
            </w:pPr>
            <w:r>
              <w:rPr>
                <w:rFonts w:eastAsia="宋体"/>
                <w:spacing w:val="-4"/>
                <w:sz w:val="21"/>
                <w:szCs w:val="21"/>
              </w:rPr>
              <w:t>0.12</w:t>
            </w:r>
          </w:p>
          <w:p>
            <w:pPr>
              <w:pStyle w:val="12"/>
              <w:spacing w:before="10"/>
              <w:ind w:left="0"/>
              <w:jc w:val="center"/>
              <w:rPr>
                <w:rFonts w:eastAsia="宋体"/>
                <w:sz w:val="21"/>
                <w:szCs w:val="21"/>
              </w:rPr>
            </w:pPr>
          </w:p>
          <w:p>
            <w:pPr>
              <w:pStyle w:val="12"/>
              <w:ind w:left="114"/>
              <w:jc w:val="center"/>
              <w:rPr>
                <w:rFonts w:eastAsia="宋体"/>
                <w:sz w:val="21"/>
                <w:szCs w:val="21"/>
              </w:rPr>
            </w:pPr>
            <w:r>
              <w:rPr>
                <w:rFonts w:eastAsia="宋体"/>
                <w:spacing w:val="-4"/>
                <w:sz w:val="21"/>
                <w:szCs w:val="21"/>
              </w:rPr>
              <w:t>0.12</w:t>
            </w:r>
          </w:p>
          <w:p>
            <w:pPr>
              <w:pStyle w:val="12"/>
              <w:ind w:left="0"/>
              <w:jc w:val="center"/>
              <w:rPr>
                <w:rFonts w:eastAsia="宋体"/>
                <w:sz w:val="21"/>
                <w:szCs w:val="21"/>
              </w:rPr>
            </w:pPr>
          </w:p>
          <w:p>
            <w:pPr>
              <w:pStyle w:val="12"/>
              <w:spacing w:before="1"/>
              <w:ind w:left="0"/>
              <w:jc w:val="center"/>
              <w:rPr>
                <w:rFonts w:eastAsia="宋体"/>
                <w:sz w:val="21"/>
                <w:szCs w:val="21"/>
              </w:rPr>
            </w:pPr>
          </w:p>
          <w:p>
            <w:pPr>
              <w:pStyle w:val="12"/>
              <w:ind w:left="114"/>
              <w:jc w:val="center"/>
              <w:rPr>
                <w:rFonts w:eastAsia="宋体"/>
                <w:sz w:val="21"/>
                <w:szCs w:val="21"/>
              </w:rPr>
            </w:pPr>
            <w:r>
              <w:rPr>
                <w:rFonts w:eastAsia="宋体"/>
                <w:spacing w:val="-4"/>
                <w:sz w:val="21"/>
                <w:szCs w:val="21"/>
              </w:rPr>
              <w:t>0.12</w:t>
            </w:r>
          </w:p>
        </w:tc>
        <w:tc>
          <w:tcPr>
            <w:tcW w:w="895" w:type="dxa"/>
          </w:tcPr>
          <w:p>
            <w:pPr>
              <w:pStyle w:val="12"/>
              <w:ind w:left="106"/>
              <w:jc w:val="center"/>
              <w:rPr>
                <w:rFonts w:eastAsia="宋体"/>
                <w:sz w:val="21"/>
                <w:szCs w:val="21"/>
              </w:rPr>
            </w:pPr>
            <w:r>
              <w:rPr>
                <w:rFonts w:eastAsia="宋体"/>
                <w:spacing w:val="-4"/>
                <w:sz w:val="21"/>
                <w:szCs w:val="21"/>
              </w:rPr>
              <w:t>0.25</w:t>
            </w:r>
          </w:p>
          <w:p>
            <w:pPr>
              <w:pStyle w:val="12"/>
              <w:spacing w:before="1"/>
              <w:ind w:left="0"/>
              <w:jc w:val="center"/>
              <w:rPr>
                <w:rFonts w:eastAsia="宋体"/>
                <w:sz w:val="21"/>
                <w:szCs w:val="21"/>
              </w:rPr>
            </w:pPr>
          </w:p>
          <w:p>
            <w:pPr>
              <w:pStyle w:val="12"/>
              <w:ind w:left="106"/>
              <w:jc w:val="center"/>
              <w:rPr>
                <w:rFonts w:eastAsia="宋体"/>
                <w:sz w:val="21"/>
                <w:szCs w:val="21"/>
              </w:rPr>
            </w:pPr>
            <w:r>
              <w:rPr>
                <w:rFonts w:eastAsia="宋体"/>
                <w:spacing w:val="-4"/>
                <w:sz w:val="21"/>
                <w:szCs w:val="21"/>
              </w:rPr>
              <w:t>0.25</w:t>
            </w:r>
          </w:p>
          <w:p>
            <w:pPr>
              <w:pStyle w:val="12"/>
              <w:spacing w:before="10"/>
              <w:ind w:left="0"/>
              <w:jc w:val="center"/>
              <w:rPr>
                <w:rFonts w:eastAsia="宋体"/>
                <w:sz w:val="21"/>
                <w:szCs w:val="21"/>
              </w:rPr>
            </w:pPr>
          </w:p>
          <w:p>
            <w:pPr>
              <w:pStyle w:val="12"/>
              <w:ind w:left="106"/>
              <w:jc w:val="center"/>
              <w:rPr>
                <w:rFonts w:eastAsia="宋体"/>
                <w:sz w:val="21"/>
                <w:szCs w:val="21"/>
              </w:rPr>
            </w:pPr>
            <w:r>
              <w:rPr>
                <w:rFonts w:eastAsia="宋体"/>
                <w:spacing w:val="-4"/>
                <w:sz w:val="21"/>
                <w:szCs w:val="21"/>
              </w:rPr>
              <w:t>0.25</w:t>
            </w:r>
          </w:p>
          <w:p>
            <w:pPr>
              <w:pStyle w:val="12"/>
              <w:ind w:left="0"/>
              <w:jc w:val="center"/>
              <w:rPr>
                <w:rFonts w:eastAsia="宋体"/>
                <w:sz w:val="21"/>
                <w:szCs w:val="21"/>
              </w:rPr>
            </w:pPr>
          </w:p>
          <w:p>
            <w:pPr>
              <w:pStyle w:val="12"/>
              <w:spacing w:before="1"/>
              <w:ind w:left="0"/>
              <w:jc w:val="center"/>
              <w:rPr>
                <w:rFonts w:eastAsia="宋体"/>
                <w:sz w:val="21"/>
                <w:szCs w:val="21"/>
              </w:rPr>
            </w:pPr>
          </w:p>
          <w:p>
            <w:pPr>
              <w:pStyle w:val="12"/>
              <w:ind w:left="106"/>
              <w:jc w:val="center"/>
              <w:rPr>
                <w:rFonts w:eastAsia="宋体"/>
                <w:sz w:val="21"/>
                <w:szCs w:val="21"/>
              </w:rPr>
            </w:pPr>
            <w:r>
              <w:rPr>
                <w:rFonts w:eastAsia="宋体"/>
                <w:spacing w:val="-4"/>
                <w:sz w:val="21"/>
                <w:szCs w:val="21"/>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60" w:hRule="atLeast"/>
        </w:trPr>
        <w:tc>
          <w:tcPr>
            <w:tcW w:w="5860" w:type="dxa"/>
            <w:shd w:val="clear" w:color="auto" w:fill="FFC000"/>
            <w:vAlign w:val="center"/>
          </w:tcPr>
          <w:p>
            <w:pPr>
              <w:pStyle w:val="12"/>
              <w:spacing w:line="230" w:lineRule="atLeast"/>
              <w:jc w:val="both"/>
              <w:rPr>
                <w:rFonts w:eastAsia="宋体"/>
                <w:i/>
                <w:sz w:val="21"/>
                <w:szCs w:val="21"/>
                <w:lang w:eastAsia="zh-CN"/>
              </w:rPr>
            </w:pPr>
            <w:r>
              <w:rPr>
                <w:rFonts w:eastAsia="宋体"/>
                <w:b/>
                <w:sz w:val="21"/>
                <w:szCs w:val="21"/>
                <w:lang w:eastAsia="zh-CN"/>
              </w:rPr>
              <w:t>总</w:t>
            </w:r>
            <w:r>
              <w:rPr>
                <w:rFonts w:hint="eastAsia" w:eastAsia="宋体"/>
                <w:b/>
                <w:sz w:val="21"/>
                <w:szCs w:val="21"/>
                <w:lang w:eastAsia="zh-CN"/>
              </w:rPr>
              <w:t>计</w:t>
            </w:r>
            <w:r>
              <w:rPr>
                <w:rFonts w:eastAsia="宋体"/>
                <w:i/>
                <w:sz w:val="21"/>
                <w:szCs w:val="21"/>
                <w:lang w:eastAsia="zh-CN"/>
              </w:rPr>
              <w:t>*</w:t>
            </w:r>
            <w:r>
              <w:rPr>
                <w:rFonts w:eastAsia="宋体"/>
                <w:i/>
                <w:spacing w:val="-5"/>
                <w:sz w:val="21"/>
                <w:szCs w:val="21"/>
                <w:lang w:eastAsia="zh-CN"/>
              </w:rPr>
              <w:t>(根据两个选项不同，总分可以从1-2分不等)</w:t>
            </w:r>
          </w:p>
        </w:tc>
        <w:tc>
          <w:tcPr>
            <w:tcW w:w="859" w:type="dxa"/>
            <w:shd w:val="clear" w:color="auto" w:fill="FFC000"/>
          </w:tcPr>
          <w:p>
            <w:pPr>
              <w:pStyle w:val="12"/>
              <w:spacing w:before="115"/>
              <w:rPr>
                <w:rFonts w:eastAsia="宋体"/>
                <w:b/>
                <w:sz w:val="21"/>
                <w:szCs w:val="21"/>
              </w:rPr>
            </w:pPr>
            <w:r>
              <w:rPr>
                <w:rFonts w:eastAsia="宋体"/>
                <w:b/>
                <w:w w:val="99"/>
                <w:sz w:val="21"/>
                <w:szCs w:val="21"/>
              </w:rPr>
              <w:t>1</w:t>
            </w:r>
          </w:p>
        </w:tc>
        <w:tc>
          <w:tcPr>
            <w:tcW w:w="895" w:type="dxa"/>
            <w:shd w:val="clear" w:color="auto" w:fill="FFC000"/>
          </w:tcPr>
          <w:p>
            <w:pPr>
              <w:pStyle w:val="12"/>
              <w:spacing w:before="115"/>
              <w:ind w:left="114"/>
              <w:rPr>
                <w:rFonts w:eastAsia="宋体"/>
                <w:b/>
                <w:sz w:val="21"/>
                <w:szCs w:val="21"/>
              </w:rPr>
            </w:pPr>
            <w:r>
              <w:rPr>
                <w:rFonts w:eastAsia="宋体"/>
                <w:b/>
                <w:w w:val="99"/>
                <w:sz w:val="21"/>
                <w:szCs w:val="21"/>
              </w:rPr>
              <w:t>1</w:t>
            </w:r>
          </w:p>
        </w:tc>
        <w:tc>
          <w:tcPr>
            <w:tcW w:w="895" w:type="dxa"/>
            <w:shd w:val="clear" w:color="auto" w:fill="FFC000"/>
          </w:tcPr>
          <w:p>
            <w:pPr>
              <w:pStyle w:val="12"/>
              <w:spacing w:before="115"/>
              <w:ind w:left="106"/>
              <w:jc w:val="center"/>
              <w:rPr>
                <w:rFonts w:eastAsia="宋体"/>
                <w:b/>
                <w:sz w:val="21"/>
                <w:szCs w:val="21"/>
              </w:rPr>
            </w:pPr>
            <w:r>
              <w:rPr>
                <w:rFonts w:eastAsia="宋体"/>
                <w:b/>
                <w:w w:val="99"/>
                <w:sz w:val="21"/>
                <w:szCs w:val="21"/>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29" w:hRule="atLeast"/>
        </w:trPr>
        <w:tc>
          <w:tcPr>
            <w:tcW w:w="8509" w:type="dxa"/>
            <w:gridSpan w:val="4"/>
            <w:tcBorders>
              <w:bottom w:val="dashSmallGap" w:color="000000" w:sz="6" w:space="0"/>
            </w:tcBorders>
            <w:shd w:val="clear" w:color="auto" w:fill="E7EBF5"/>
          </w:tcPr>
          <w:p>
            <w:pPr>
              <w:pStyle w:val="12"/>
              <w:spacing w:before="101"/>
              <w:ind w:left="467"/>
              <w:rPr>
                <w:rFonts w:eastAsia="宋体"/>
                <w:b/>
                <w:sz w:val="21"/>
                <w:szCs w:val="21"/>
                <w:lang w:eastAsia="zh-CN"/>
              </w:rPr>
            </w:pPr>
            <w:r>
              <w:rPr>
                <w:rFonts w:eastAsia="宋体"/>
                <w:b/>
                <w:sz w:val="21"/>
                <w:szCs w:val="21"/>
                <w:lang w:eastAsia="zh-CN"/>
              </w:rPr>
              <w:t>2.5.2可担保的动产、债务和义务类型</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58" w:hRule="atLeast"/>
        </w:trPr>
        <w:tc>
          <w:tcPr>
            <w:tcW w:w="5860" w:type="dxa"/>
            <w:tcBorders>
              <w:top w:val="dashSmallGap" w:color="000000" w:sz="6" w:space="0"/>
            </w:tcBorders>
            <w:vAlign w:val="center"/>
          </w:tcPr>
          <w:p>
            <w:pPr>
              <w:pStyle w:val="12"/>
              <w:spacing w:before="113"/>
              <w:jc w:val="both"/>
              <w:rPr>
                <w:rFonts w:eastAsia="宋体"/>
                <w:b/>
                <w:sz w:val="21"/>
                <w:szCs w:val="21"/>
              </w:rPr>
            </w:pPr>
            <w:r>
              <w:rPr>
                <w:rFonts w:eastAsia="宋体"/>
                <w:b/>
                <w:spacing w:val="-2"/>
                <w:sz w:val="21"/>
                <w:szCs w:val="21"/>
              </w:rPr>
              <w:t>指标</w:t>
            </w:r>
          </w:p>
        </w:tc>
        <w:tc>
          <w:tcPr>
            <w:tcW w:w="859" w:type="dxa"/>
            <w:tcBorders>
              <w:top w:val="dashSmallGap" w:color="000000" w:sz="6" w:space="0"/>
            </w:tcBorders>
          </w:tcPr>
          <w:p>
            <w:pPr>
              <w:pStyle w:val="12"/>
              <w:spacing w:before="113"/>
              <w:jc w:val="center"/>
              <w:rPr>
                <w:rFonts w:eastAsia="宋体"/>
                <w:b/>
                <w:sz w:val="21"/>
                <w:szCs w:val="21"/>
              </w:rPr>
            </w:pPr>
            <w:r>
              <w:rPr>
                <w:rFonts w:eastAsia="宋体"/>
                <w:b/>
                <w:spacing w:val="-5"/>
                <w:sz w:val="21"/>
                <w:szCs w:val="21"/>
              </w:rPr>
              <w:t>FFP</w:t>
            </w:r>
          </w:p>
        </w:tc>
        <w:tc>
          <w:tcPr>
            <w:tcW w:w="895" w:type="dxa"/>
            <w:tcBorders>
              <w:top w:val="dashSmallGap" w:color="000000" w:sz="6" w:space="0"/>
            </w:tcBorders>
          </w:tcPr>
          <w:p>
            <w:pPr>
              <w:pStyle w:val="12"/>
              <w:spacing w:before="113"/>
              <w:ind w:left="102"/>
              <w:jc w:val="center"/>
              <w:rPr>
                <w:rFonts w:eastAsia="宋体"/>
                <w:b/>
                <w:sz w:val="21"/>
                <w:szCs w:val="21"/>
              </w:rPr>
            </w:pPr>
            <w:r>
              <w:rPr>
                <w:rFonts w:eastAsia="宋体"/>
                <w:b/>
                <w:spacing w:val="-5"/>
                <w:sz w:val="21"/>
                <w:szCs w:val="21"/>
              </w:rPr>
              <w:t>SBP</w:t>
            </w:r>
          </w:p>
        </w:tc>
        <w:tc>
          <w:tcPr>
            <w:tcW w:w="895" w:type="dxa"/>
            <w:tcBorders>
              <w:top w:val="dashSmallGap" w:color="000000" w:sz="6" w:space="0"/>
            </w:tcBorders>
          </w:tcPr>
          <w:p>
            <w:pPr>
              <w:pStyle w:val="12"/>
              <w:spacing w:line="230" w:lineRule="exact"/>
              <w:ind w:left="106" w:right="525"/>
              <w:jc w:val="both"/>
              <w:rPr>
                <w:rFonts w:eastAsia="宋体"/>
                <w:b/>
                <w:sz w:val="21"/>
                <w:szCs w:val="21"/>
              </w:rPr>
            </w:pPr>
            <w:r>
              <w:rPr>
                <w:rFonts w:eastAsia="宋体"/>
                <w:b/>
                <w:spacing w:val="-2"/>
                <w:sz w:val="21"/>
                <w:szCs w:val="21"/>
              </w:rPr>
              <w:t>分</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55" w:hRule="atLeast"/>
        </w:trPr>
        <w:tc>
          <w:tcPr>
            <w:tcW w:w="5860" w:type="dxa"/>
            <w:vAlign w:val="center"/>
          </w:tcPr>
          <w:p>
            <w:pPr>
              <w:pStyle w:val="12"/>
              <w:spacing w:line="228" w:lineRule="exact"/>
              <w:ind w:right="208"/>
              <w:jc w:val="both"/>
              <w:rPr>
                <w:rFonts w:eastAsia="宋体"/>
                <w:sz w:val="21"/>
                <w:szCs w:val="21"/>
                <w:lang w:eastAsia="zh-CN"/>
              </w:rPr>
            </w:pPr>
            <w:r>
              <w:rPr>
                <w:rFonts w:eastAsia="宋体"/>
                <w:b/>
                <w:sz w:val="21"/>
                <w:szCs w:val="21"/>
                <w:lang w:eastAsia="zh-CN"/>
              </w:rPr>
              <w:t>单一类动产的担保权益</w:t>
            </w:r>
            <w:r>
              <w:rPr>
                <w:rFonts w:eastAsia="宋体"/>
                <w:sz w:val="21"/>
                <w:szCs w:val="21"/>
                <w:lang w:eastAsia="zh-CN"/>
              </w:rPr>
              <w:t>(49</w:t>
            </w:r>
            <w:r>
              <w:rPr>
                <w:rFonts w:eastAsia="宋体"/>
                <w:spacing w:val="-5"/>
                <w:sz w:val="21"/>
                <w:szCs w:val="21"/>
                <w:lang w:eastAsia="zh-CN"/>
              </w:rPr>
              <w:t>、</w:t>
            </w:r>
            <w:r>
              <w:rPr>
                <w:rFonts w:eastAsia="宋体"/>
                <w:sz w:val="21"/>
                <w:szCs w:val="21"/>
                <w:lang w:eastAsia="zh-CN"/>
              </w:rPr>
              <w:t>50、</w:t>
            </w:r>
            <w:r>
              <w:rPr>
                <w:rFonts w:eastAsia="宋体"/>
                <w:b/>
                <w:spacing w:val="-3"/>
                <w:sz w:val="21"/>
                <w:szCs w:val="21"/>
                <w:lang w:eastAsia="zh-CN"/>
              </w:rPr>
              <w:t>51、52、53、54、55)</w:t>
            </w:r>
          </w:p>
        </w:tc>
        <w:tc>
          <w:tcPr>
            <w:tcW w:w="859" w:type="dxa"/>
          </w:tcPr>
          <w:p>
            <w:pPr>
              <w:pStyle w:val="12"/>
              <w:spacing w:before="111"/>
              <w:jc w:val="center"/>
              <w:rPr>
                <w:rFonts w:eastAsia="宋体"/>
                <w:b/>
                <w:sz w:val="21"/>
                <w:szCs w:val="21"/>
              </w:rPr>
            </w:pPr>
            <w:r>
              <w:rPr>
                <w:rFonts w:eastAsia="宋体"/>
                <w:b/>
                <w:w w:val="99"/>
                <w:sz w:val="21"/>
                <w:szCs w:val="21"/>
              </w:rPr>
              <w:t>1</w:t>
            </w:r>
          </w:p>
        </w:tc>
        <w:tc>
          <w:tcPr>
            <w:tcW w:w="895" w:type="dxa"/>
          </w:tcPr>
          <w:p>
            <w:pPr>
              <w:pStyle w:val="12"/>
              <w:spacing w:before="111"/>
              <w:ind w:left="102"/>
              <w:jc w:val="center"/>
              <w:rPr>
                <w:rFonts w:eastAsia="宋体"/>
                <w:b/>
                <w:sz w:val="21"/>
                <w:szCs w:val="21"/>
              </w:rPr>
            </w:pPr>
            <w:r>
              <w:rPr>
                <w:rFonts w:eastAsia="宋体"/>
                <w:b/>
                <w:w w:val="99"/>
                <w:sz w:val="21"/>
                <w:szCs w:val="21"/>
              </w:rPr>
              <w:t>1</w:t>
            </w:r>
          </w:p>
        </w:tc>
        <w:tc>
          <w:tcPr>
            <w:tcW w:w="895" w:type="dxa"/>
          </w:tcPr>
          <w:p>
            <w:pPr>
              <w:pStyle w:val="12"/>
              <w:spacing w:before="111"/>
              <w:ind w:left="106"/>
              <w:jc w:val="center"/>
              <w:rPr>
                <w:rFonts w:eastAsia="宋体"/>
                <w:b/>
                <w:sz w:val="21"/>
                <w:szCs w:val="21"/>
              </w:rPr>
            </w:pPr>
            <w:r>
              <w:rPr>
                <w:rFonts w:eastAsia="宋体"/>
                <w:b/>
                <w:w w:val="99"/>
                <w:sz w:val="21"/>
                <w:szCs w:val="21"/>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60" w:hRule="atLeast"/>
        </w:trPr>
        <w:tc>
          <w:tcPr>
            <w:tcW w:w="5860" w:type="dxa"/>
            <w:vAlign w:val="center"/>
          </w:tcPr>
          <w:p>
            <w:pPr>
              <w:pStyle w:val="12"/>
              <w:spacing w:line="230" w:lineRule="atLeast"/>
              <w:jc w:val="both"/>
              <w:rPr>
                <w:rFonts w:eastAsia="宋体"/>
                <w:sz w:val="21"/>
                <w:szCs w:val="21"/>
                <w:lang w:eastAsia="zh-CN"/>
              </w:rPr>
            </w:pPr>
            <w:r>
              <w:rPr>
                <w:rFonts w:eastAsia="宋体"/>
                <w:b/>
                <w:sz w:val="21"/>
                <w:szCs w:val="21"/>
                <w:lang w:eastAsia="zh-CN"/>
              </w:rPr>
              <w:t>合并类动产担保权益</w:t>
            </w:r>
            <w:r>
              <w:rPr>
                <w:rFonts w:eastAsia="宋体"/>
                <w:sz w:val="21"/>
                <w:szCs w:val="21"/>
                <w:lang w:eastAsia="zh-CN"/>
              </w:rPr>
              <w:t>(56</w:t>
            </w:r>
            <w:r>
              <w:rPr>
                <w:rFonts w:eastAsia="宋体"/>
                <w:spacing w:val="-3"/>
                <w:sz w:val="21"/>
                <w:szCs w:val="21"/>
                <w:lang w:eastAsia="zh-CN"/>
              </w:rPr>
              <w:t>、57、58)</w:t>
            </w:r>
          </w:p>
        </w:tc>
        <w:tc>
          <w:tcPr>
            <w:tcW w:w="859" w:type="dxa"/>
          </w:tcPr>
          <w:p>
            <w:pPr>
              <w:pStyle w:val="12"/>
              <w:spacing w:before="115"/>
              <w:jc w:val="center"/>
              <w:rPr>
                <w:rFonts w:eastAsia="宋体"/>
                <w:b/>
                <w:sz w:val="21"/>
                <w:szCs w:val="21"/>
              </w:rPr>
            </w:pPr>
            <w:r>
              <w:rPr>
                <w:rFonts w:eastAsia="宋体"/>
                <w:b/>
                <w:w w:val="99"/>
                <w:sz w:val="21"/>
                <w:szCs w:val="21"/>
              </w:rPr>
              <w:t>1</w:t>
            </w:r>
          </w:p>
        </w:tc>
        <w:tc>
          <w:tcPr>
            <w:tcW w:w="895" w:type="dxa"/>
          </w:tcPr>
          <w:p>
            <w:pPr>
              <w:pStyle w:val="12"/>
              <w:spacing w:before="115"/>
              <w:ind w:left="102"/>
              <w:jc w:val="center"/>
              <w:rPr>
                <w:rFonts w:eastAsia="宋体"/>
                <w:b/>
                <w:sz w:val="21"/>
                <w:szCs w:val="21"/>
              </w:rPr>
            </w:pPr>
            <w:r>
              <w:rPr>
                <w:rFonts w:eastAsia="宋体"/>
                <w:b/>
                <w:w w:val="99"/>
                <w:sz w:val="21"/>
                <w:szCs w:val="21"/>
              </w:rPr>
              <w:t>1</w:t>
            </w:r>
          </w:p>
        </w:tc>
        <w:tc>
          <w:tcPr>
            <w:tcW w:w="895" w:type="dxa"/>
          </w:tcPr>
          <w:p>
            <w:pPr>
              <w:pStyle w:val="12"/>
              <w:spacing w:before="115"/>
              <w:ind w:left="106"/>
              <w:jc w:val="center"/>
              <w:rPr>
                <w:rFonts w:eastAsia="宋体"/>
                <w:b/>
                <w:sz w:val="21"/>
                <w:szCs w:val="21"/>
              </w:rPr>
            </w:pPr>
            <w:r>
              <w:rPr>
                <w:rFonts w:eastAsia="宋体"/>
                <w:b/>
                <w:w w:val="99"/>
                <w:sz w:val="21"/>
                <w:szCs w:val="21"/>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60" w:hRule="atLeast"/>
        </w:trPr>
        <w:tc>
          <w:tcPr>
            <w:tcW w:w="5860" w:type="dxa"/>
            <w:vAlign w:val="center"/>
          </w:tcPr>
          <w:p>
            <w:pPr>
              <w:pStyle w:val="12"/>
              <w:jc w:val="both"/>
              <w:rPr>
                <w:rFonts w:eastAsia="宋体"/>
                <w:sz w:val="21"/>
                <w:szCs w:val="21"/>
                <w:lang w:eastAsia="zh-CN"/>
              </w:rPr>
            </w:pPr>
            <w:r>
              <w:rPr>
                <w:rFonts w:eastAsia="宋体"/>
                <w:b/>
                <w:sz w:val="21"/>
                <w:szCs w:val="21"/>
                <w:lang w:eastAsia="zh-CN"/>
              </w:rPr>
              <w:t>未来</w:t>
            </w:r>
            <w:r>
              <w:rPr>
                <w:rFonts w:eastAsia="宋体"/>
                <w:b/>
                <w:spacing w:val="-4"/>
                <w:sz w:val="21"/>
                <w:szCs w:val="21"/>
                <w:lang w:eastAsia="zh-CN"/>
              </w:rPr>
              <w:t>资产</w:t>
            </w:r>
            <w:r>
              <w:rPr>
                <w:rFonts w:eastAsia="宋体"/>
                <w:sz w:val="21"/>
                <w:szCs w:val="21"/>
                <w:lang w:eastAsia="zh-CN"/>
              </w:rPr>
              <w:t>的</w:t>
            </w:r>
            <w:r>
              <w:rPr>
                <w:rFonts w:eastAsia="宋体"/>
                <w:b/>
                <w:sz w:val="21"/>
                <w:szCs w:val="21"/>
                <w:lang w:eastAsia="zh-CN"/>
              </w:rPr>
              <w:t>安全</w:t>
            </w:r>
            <w:r>
              <w:rPr>
                <w:rFonts w:eastAsia="宋体"/>
                <w:b/>
                <w:spacing w:val="-4"/>
                <w:sz w:val="21"/>
                <w:szCs w:val="21"/>
                <w:lang w:eastAsia="zh-CN"/>
              </w:rPr>
              <w:t>权益</w:t>
            </w:r>
            <w:r>
              <w:rPr>
                <w:rFonts w:eastAsia="宋体"/>
                <w:spacing w:val="-3"/>
                <w:sz w:val="21"/>
                <w:szCs w:val="21"/>
                <w:lang w:eastAsia="zh-CN"/>
              </w:rPr>
              <w:t>(59、60、61、62)</w:t>
            </w:r>
          </w:p>
          <w:p>
            <w:pPr>
              <w:pStyle w:val="12"/>
              <w:spacing w:line="210" w:lineRule="exact"/>
              <w:jc w:val="both"/>
              <w:rPr>
                <w:rFonts w:eastAsia="宋体"/>
                <w:sz w:val="21"/>
                <w:szCs w:val="21"/>
              </w:rPr>
            </w:pPr>
            <w:r>
              <w:rPr>
                <w:rFonts w:eastAsia="宋体"/>
                <w:sz w:val="21"/>
                <w:szCs w:val="21"/>
              </w:rPr>
              <w:t>以及63和64和65)</w:t>
            </w:r>
          </w:p>
        </w:tc>
        <w:tc>
          <w:tcPr>
            <w:tcW w:w="859" w:type="dxa"/>
          </w:tcPr>
          <w:p>
            <w:pPr>
              <w:pStyle w:val="12"/>
              <w:spacing w:before="115"/>
              <w:jc w:val="center"/>
              <w:rPr>
                <w:rFonts w:eastAsia="宋体"/>
                <w:b/>
                <w:sz w:val="21"/>
                <w:szCs w:val="21"/>
              </w:rPr>
            </w:pPr>
            <w:r>
              <w:rPr>
                <w:rFonts w:eastAsia="宋体"/>
                <w:b/>
                <w:w w:val="99"/>
                <w:sz w:val="21"/>
                <w:szCs w:val="21"/>
              </w:rPr>
              <w:t>1</w:t>
            </w:r>
          </w:p>
        </w:tc>
        <w:tc>
          <w:tcPr>
            <w:tcW w:w="895" w:type="dxa"/>
          </w:tcPr>
          <w:p>
            <w:pPr>
              <w:pStyle w:val="12"/>
              <w:spacing w:before="115"/>
              <w:ind w:left="102"/>
              <w:jc w:val="center"/>
              <w:rPr>
                <w:rFonts w:eastAsia="宋体"/>
                <w:b/>
                <w:sz w:val="21"/>
                <w:szCs w:val="21"/>
              </w:rPr>
            </w:pPr>
            <w:r>
              <w:rPr>
                <w:rFonts w:eastAsia="宋体"/>
                <w:b/>
                <w:w w:val="99"/>
                <w:sz w:val="21"/>
                <w:szCs w:val="21"/>
              </w:rPr>
              <w:t>1</w:t>
            </w:r>
          </w:p>
        </w:tc>
        <w:tc>
          <w:tcPr>
            <w:tcW w:w="895" w:type="dxa"/>
          </w:tcPr>
          <w:p>
            <w:pPr>
              <w:pStyle w:val="12"/>
              <w:spacing w:before="115"/>
              <w:ind w:left="106"/>
              <w:jc w:val="center"/>
              <w:rPr>
                <w:rFonts w:eastAsia="宋体"/>
                <w:b/>
                <w:sz w:val="21"/>
                <w:szCs w:val="21"/>
              </w:rPr>
            </w:pPr>
            <w:r>
              <w:rPr>
                <w:rFonts w:eastAsia="宋体"/>
                <w:b/>
                <w:w w:val="99"/>
                <w:sz w:val="21"/>
                <w:szCs w:val="21"/>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60" w:hRule="atLeast"/>
        </w:trPr>
        <w:tc>
          <w:tcPr>
            <w:tcW w:w="5860" w:type="dxa"/>
            <w:vAlign w:val="center"/>
          </w:tcPr>
          <w:p>
            <w:pPr>
              <w:pStyle w:val="12"/>
              <w:jc w:val="both"/>
              <w:rPr>
                <w:rFonts w:eastAsia="宋体"/>
                <w:sz w:val="21"/>
                <w:szCs w:val="21"/>
                <w:lang w:eastAsia="zh-CN"/>
              </w:rPr>
            </w:pPr>
            <w:r>
              <w:rPr>
                <w:rFonts w:eastAsia="宋体"/>
                <w:b/>
                <w:sz w:val="21"/>
                <w:szCs w:val="21"/>
                <w:lang w:eastAsia="zh-CN"/>
              </w:rPr>
              <w:t>债务</w:t>
            </w:r>
            <w:r>
              <w:rPr>
                <w:rFonts w:eastAsia="宋体"/>
                <w:b/>
                <w:spacing w:val="-7"/>
                <w:sz w:val="21"/>
                <w:szCs w:val="21"/>
                <w:lang w:eastAsia="zh-CN"/>
              </w:rPr>
              <w:t>和</w:t>
            </w:r>
            <w:r>
              <w:rPr>
                <w:rFonts w:eastAsia="宋体"/>
                <w:b/>
                <w:sz w:val="21"/>
                <w:szCs w:val="21"/>
                <w:lang w:eastAsia="zh-CN"/>
              </w:rPr>
              <w:t>义务</w:t>
            </w:r>
            <w:r>
              <w:rPr>
                <w:rFonts w:eastAsia="宋体"/>
                <w:sz w:val="21"/>
                <w:szCs w:val="21"/>
                <w:lang w:eastAsia="zh-CN"/>
              </w:rPr>
              <w:t>(66、67、68、69、70和</w:t>
            </w:r>
          </w:p>
          <w:p>
            <w:pPr>
              <w:pStyle w:val="12"/>
              <w:spacing w:line="210" w:lineRule="exact"/>
              <w:jc w:val="both"/>
              <w:rPr>
                <w:rFonts w:eastAsia="宋体"/>
                <w:sz w:val="21"/>
                <w:szCs w:val="21"/>
                <w:lang w:eastAsia="zh-CN"/>
              </w:rPr>
            </w:pPr>
            <w:r>
              <w:rPr>
                <w:rFonts w:eastAsia="宋体"/>
                <w:sz w:val="21"/>
                <w:szCs w:val="21"/>
                <w:lang w:eastAsia="zh-CN"/>
              </w:rPr>
              <w:t>71、72、73、74)</w:t>
            </w:r>
          </w:p>
        </w:tc>
        <w:tc>
          <w:tcPr>
            <w:tcW w:w="859" w:type="dxa"/>
          </w:tcPr>
          <w:p>
            <w:pPr>
              <w:pStyle w:val="12"/>
              <w:spacing w:before="115"/>
              <w:jc w:val="center"/>
              <w:rPr>
                <w:rFonts w:eastAsia="宋体"/>
                <w:b/>
                <w:sz w:val="21"/>
                <w:szCs w:val="21"/>
              </w:rPr>
            </w:pPr>
            <w:r>
              <w:rPr>
                <w:rFonts w:eastAsia="宋体"/>
                <w:b/>
                <w:w w:val="99"/>
                <w:sz w:val="21"/>
                <w:szCs w:val="21"/>
              </w:rPr>
              <w:t>1</w:t>
            </w:r>
          </w:p>
        </w:tc>
        <w:tc>
          <w:tcPr>
            <w:tcW w:w="895" w:type="dxa"/>
          </w:tcPr>
          <w:p>
            <w:pPr>
              <w:pStyle w:val="12"/>
              <w:spacing w:before="115"/>
              <w:ind w:left="102"/>
              <w:jc w:val="center"/>
              <w:rPr>
                <w:rFonts w:eastAsia="宋体"/>
                <w:b/>
                <w:sz w:val="21"/>
                <w:szCs w:val="21"/>
              </w:rPr>
            </w:pPr>
            <w:r>
              <w:rPr>
                <w:rFonts w:eastAsia="宋体"/>
                <w:b/>
                <w:w w:val="99"/>
                <w:sz w:val="21"/>
                <w:szCs w:val="21"/>
              </w:rPr>
              <w:t>1</w:t>
            </w:r>
          </w:p>
        </w:tc>
        <w:tc>
          <w:tcPr>
            <w:tcW w:w="895" w:type="dxa"/>
          </w:tcPr>
          <w:p>
            <w:pPr>
              <w:pStyle w:val="12"/>
              <w:spacing w:before="115"/>
              <w:ind w:left="106"/>
              <w:jc w:val="center"/>
              <w:rPr>
                <w:rFonts w:eastAsia="宋体"/>
                <w:b/>
                <w:sz w:val="21"/>
                <w:szCs w:val="21"/>
              </w:rPr>
            </w:pPr>
            <w:r>
              <w:rPr>
                <w:rFonts w:eastAsia="宋体"/>
                <w:b/>
                <w:w w:val="99"/>
                <w:sz w:val="21"/>
                <w:szCs w:val="21"/>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860" w:type="dxa"/>
            <w:shd w:val="clear" w:color="auto" w:fill="FFC000"/>
          </w:tcPr>
          <w:p>
            <w:pPr>
              <w:pStyle w:val="12"/>
              <w:spacing w:before="26"/>
              <w:rPr>
                <w:rFonts w:eastAsia="宋体"/>
                <w:b/>
                <w:sz w:val="21"/>
                <w:szCs w:val="21"/>
              </w:rPr>
            </w:pPr>
            <w:r>
              <w:rPr>
                <w:rFonts w:eastAsia="宋体"/>
                <w:b/>
                <w:sz w:val="21"/>
                <w:szCs w:val="21"/>
                <w:lang w:eastAsia="zh-CN"/>
              </w:rPr>
              <w:t>总</w:t>
            </w:r>
            <w:r>
              <w:rPr>
                <w:rFonts w:hint="eastAsia" w:eastAsia="宋体"/>
                <w:b/>
                <w:sz w:val="21"/>
                <w:szCs w:val="21"/>
                <w:lang w:eastAsia="zh-CN"/>
              </w:rPr>
              <w:t>计</w:t>
            </w:r>
          </w:p>
        </w:tc>
        <w:tc>
          <w:tcPr>
            <w:tcW w:w="859" w:type="dxa"/>
            <w:shd w:val="clear" w:color="auto" w:fill="FFC000"/>
          </w:tcPr>
          <w:p>
            <w:pPr>
              <w:pStyle w:val="12"/>
              <w:spacing w:before="26"/>
              <w:jc w:val="center"/>
              <w:rPr>
                <w:rFonts w:eastAsia="宋体"/>
                <w:b/>
                <w:sz w:val="21"/>
                <w:szCs w:val="21"/>
              </w:rPr>
            </w:pPr>
            <w:r>
              <w:rPr>
                <w:rFonts w:eastAsia="宋体"/>
                <w:b/>
                <w:w w:val="99"/>
                <w:sz w:val="21"/>
                <w:szCs w:val="21"/>
              </w:rPr>
              <w:t>4</w:t>
            </w:r>
          </w:p>
        </w:tc>
        <w:tc>
          <w:tcPr>
            <w:tcW w:w="895" w:type="dxa"/>
            <w:shd w:val="clear" w:color="auto" w:fill="FFC000"/>
          </w:tcPr>
          <w:p>
            <w:pPr>
              <w:pStyle w:val="12"/>
              <w:spacing w:before="26"/>
              <w:ind w:left="102"/>
              <w:jc w:val="center"/>
              <w:rPr>
                <w:rFonts w:eastAsia="宋体"/>
                <w:b/>
                <w:sz w:val="21"/>
                <w:szCs w:val="21"/>
              </w:rPr>
            </w:pPr>
            <w:r>
              <w:rPr>
                <w:rFonts w:eastAsia="宋体"/>
                <w:b/>
                <w:w w:val="99"/>
                <w:sz w:val="21"/>
                <w:szCs w:val="21"/>
              </w:rPr>
              <w:t>4</w:t>
            </w:r>
          </w:p>
        </w:tc>
        <w:tc>
          <w:tcPr>
            <w:tcW w:w="895" w:type="dxa"/>
            <w:shd w:val="clear" w:color="auto" w:fill="FFC000"/>
          </w:tcPr>
          <w:p>
            <w:pPr>
              <w:pStyle w:val="12"/>
              <w:spacing w:before="26"/>
              <w:ind w:left="106"/>
              <w:jc w:val="center"/>
              <w:rPr>
                <w:rFonts w:eastAsia="宋体"/>
                <w:b/>
                <w:sz w:val="21"/>
                <w:szCs w:val="21"/>
              </w:rPr>
            </w:pPr>
            <w:r>
              <w:rPr>
                <w:rFonts w:eastAsia="宋体"/>
                <w:b/>
                <w:w w:val="99"/>
                <w:sz w:val="21"/>
                <w:szCs w:val="21"/>
              </w:rPr>
              <w:t>8</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32" w:hRule="atLeast"/>
        </w:trPr>
        <w:tc>
          <w:tcPr>
            <w:tcW w:w="8509" w:type="dxa"/>
            <w:gridSpan w:val="4"/>
            <w:shd w:val="clear" w:color="auto" w:fill="E7EBF5"/>
          </w:tcPr>
          <w:p>
            <w:pPr>
              <w:pStyle w:val="12"/>
              <w:spacing w:before="101"/>
              <w:ind w:left="467"/>
              <w:rPr>
                <w:rFonts w:eastAsia="宋体"/>
                <w:b/>
                <w:sz w:val="21"/>
                <w:szCs w:val="21"/>
              </w:rPr>
            </w:pPr>
            <w:r>
              <w:rPr>
                <w:rFonts w:eastAsia="宋体"/>
                <w:b/>
                <w:sz w:val="21"/>
                <w:szCs w:val="21"/>
              </w:rPr>
              <w:t>2.5.3优先</w:t>
            </w:r>
            <w:r>
              <w:rPr>
                <w:rFonts w:hint="eastAsia" w:eastAsia="宋体"/>
                <w:b/>
                <w:sz w:val="21"/>
                <w:szCs w:val="21"/>
                <w:lang w:eastAsia="zh-CN"/>
              </w:rPr>
              <w:t>权</w:t>
            </w:r>
            <w:r>
              <w:rPr>
                <w:rFonts w:eastAsia="宋体"/>
                <w:b/>
                <w:sz w:val="21"/>
                <w:szCs w:val="21"/>
              </w:rPr>
              <w:t>/执行</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60" w:hRule="atLeast"/>
        </w:trPr>
        <w:tc>
          <w:tcPr>
            <w:tcW w:w="5860" w:type="dxa"/>
            <w:vAlign w:val="center"/>
          </w:tcPr>
          <w:p>
            <w:pPr>
              <w:pStyle w:val="12"/>
              <w:spacing w:before="115"/>
              <w:jc w:val="both"/>
              <w:rPr>
                <w:rFonts w:eastAsia="宋体"/>
                <w:b/>
                <w:sz w:val="21"/>
                <w:szCs w:val="21"/>
              </w:rPr>
            </w:pPr>
            <w:r>
              <w:rPr>
                <w:rFonts w:eastAsia="宋体"/>
                <w:b/>
                <w:spacing w:val="-2"/>
                <w:sz w:val="21"/>
                <w:szCs w:val="21"/>
              </w:rPr>
              <w:t>指标</w:t>
            </w:r>
          </w:p>
        </w:tc>
        <w:tc>
          <w:tcPr>
            <w:tcW w:w="859" w:type="dxa"/>
          </w:tcPr>
          <w:p>
            <w:pPr>
              <w:pStyle w:val="12"/>
              <w:spacing w:before="115"/>
              <w:jc w:val="center"/>
              <w:rPr>
                <w:rFonts w:eastAsia="宋体"/>
                <w:b/>
                <w:sz w:val="21"/>
                <w:szCs w:val="21"/>
              </w:rPr>
            </w:pPr>
            <w:r>
              <w:rPr>
                <w:rFonts w:eastAsia="宋体"/>
                <w:b/>
                <w:spacing w:val="-5"/>
                <w:sz w:val="21"/>
                <w:szCs w:val="21"/>
              </w:rPr>
              <w:t>FFP</w:t>
            </w:r>
          </w:p>
        </w:tc>
        <w:tc>
          <w:tcPr>
            <w:tcW w:w="895" w:type="dxa"/>
          </w:tcPr>
          <w:p>
            <w:pPr>
              <w:pStyle w:val="12"/>
              <w:spacing w:before="115"/>
              <w:ind w:left="102"/>
              <w:jc w:val="center"/>
              <w:rPr>
                <w:rFonts w:eastAsia="宋体"/>
                <w:b/>
                <w:sz w:val="21"/>
                <w:szCs w:val="21"/>
              </w:rPr>
            </w:pPr>
            <w:r>
              <w:rPr>
                <w:rFonts w:eastAsia="宋体"/>
                <w:b/>
                <w:spacing w:val="-5"/>
                <w:sz w:val="21"/>
                <w:szCs w:val="21"/>
              </w:rPr>
              <w:t>SBP</w:t>
            </w:r>
          </w:p>
        </w:tc>
        <w:tc>
          <w:tcPr>
            <w:tcW w:w="895" w:type="dxa"/>
          </w:tcPr>
          <w:p>
            <w:pPr>
              <w:pStyle w:val="12"/>
              <w:spacing w:line="230" w:lineRule="atLeast"/>
              <w:ind w:left="106" w:right="525"/>
              <w:jc w:val="center"/>
              <w:rPr>
                <w:rFonts w:eastAsia="宋体"/>
                <w:b/>
                <w:sz w:val="21"/>
                <w:szCs w:val="21"/>
              </w:rPr>
            </w:pPr>
            <w:r>
              <w:rPr>
                <w:rFonts w:eastAsia="宋体"/>
                <w:b/>
                <w:spacing w:val="-2"/>
                <w:sz w:val="21"/>
                <w:szCs w:val="21"/>
              </w:rPr>
              <w:t>分</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60" w:hRule="atLeast"/>
        </w:trPr>
        <w:tc>
          <w:tcPr>
            <w:tcW w:w="5860" w:type="dxa"/>
            <w:vAlign w:val="center"/>
          </w:tcPr>
          <w:p>
            <w:pPr>
              <w:pStyle w:val="12"/>
              <w:spacing w:line="230" w:lineRule="atLeast"/>
              <w:ind w:right="208"/>
              <w:jc w:val="both"/>
              <w:rPr>
                <w:rFonts w:eastAsia="宋体"/>
                <w:sz w:val="21"/>
                <w:szCs w:val="21"/>
                <w:lang w:eastAsia="zh-CN"/>
              </w:rPr>
            </w:pPr>
            <w:r>
              <w:rPr>
                <w:rFonts w:eastAsia="宋体"/>
                <w:b/>
                <w:sz w:val="21"/>
                <w:szCs w:val="21"/>
                <w:lang w:eastAsia="zh-CN"/>
              </w:rPr>
              <w:t>破产或破产之外的债权优先权</w:t>
            </w:r>
            <w:r>
              <w:rPr>
                <w:rFonts w:eastAsia="宋体"/>
                <w:sz w:val="21"/>
                <w:szCs w:val="21"/>
                <w:lang w:eastAsia="zh-CN"/>
              </w:rPr>
              <w:t>(76</w:t>
            </w:r>
            <w:r>
              <w:rPr>
                <w:rFonts w:eastAsia="宋体"/>
                <w:spacing w:val="-4"/>
                <w:sz w:val="21"/>
                <w:szCs w:val="21"/>
                <w:lang w:eastAsia="zh-CN"/>
              </w:rPr>
              <w:t>和</w:t>
            </w:r>
            <w:r>
              <w:rPr>
                <w:rFonts w:eastAsia="宋体"/>
                <w:sz w:val="21"/>
                <w:szCs w:val="21"/>
                <w:lang w:eastAsia="zh-CN"/>
              </w:rPr>
              <w:t>77)</w:t>
            </w:r>
          </w:p>
        </w:tc>
        <w:tc>
          <w:tcPr>
            <w:tcW w:w="859" w:type="dxa"/>
          </w:tcPr>
          <w:p>
            <w:pPr>
              <w:pStyle w:val="12"/>
              <w:spacing w:before="115"/>
              <w:jc w:val="center"/>
              <w:rPr>
                <w:rFonts w:eastAsia="宋体"/>
                <w:b/>
                <w:sz w:val="21"/>
                <w:szCs w:val="21"/>
              </w:rPr>
            </w:pPr>
            <w:r>
              <w:rPr>
                <w:rFonts w:eastAsia="宋体"/>
                <w:b/>
                <w:w w:val="99"/>
                <w:sz w:val="21"/>
                <w:szCs w:val="21"/>
              </w:rPr>
              <w:t>1</w:t>
            </w:r>
          </w:p>
        </w:tc>
        <w:tc>
          <w:tcPr>
            <w:tcW w:w="895" w:type="dxa"/>
          </w:tcPr>
          <w:p>
            <w:pPr>
              <w:pStyle w:val="12"/>
              <w:spacing w:before="115"/>
              <w:ind w:left="102"/>
              <w:jc w:val="center"/>
              <w:rPr>
                <w:rFonts w:eastAsia="宋体"/>
                <w:b/>
                <w:sz w:val="21"/>
                <w:szCs w:val="21"/>
              </w:rPr>
            </w:pPr>
            <w:r>
              <w:rPr>
                <w:rFonts w:eastAsia="宋体"/>
                <w:b/>
                <w:w w:val="99"/>
                <w:sz w:val="21"/>
                <w:szCs w:val="21"/>
              </w:rPr>
              <w:t>1</w:t>
            </w:r>
          </w:p>
        </w:tc>
        <w:tc>
          <w:tcPr>
            <w:tcW w:w="895" w:type="dxa"/>
          </w:tcPr>
          <w:p>
            <w:pPr>
              <w:pStyle w:val="12"/>
              <w:spacing w:before="115"/>
              <w:ind w:left="106"/>
              <w:jc w:val="center"/>
              <w:rPr>
                <w:rFonts w:eastAsia="宋体"/>
                <w:b/>
                <w:sz w:val="21"/>
                <w:szCs w:val="21"/>
              </w:rPr>
            </w:pPr>
            <w:r>
              <w:rPr>
                <w:rFonts w:eastAsia="宋体"/>
                <w:b/>
                <w:w w:val="99"/>
                <w:sz w:val="21"/>
                <w:szCs w:val="21"/>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854" w:hRule="atLeast"/>
        </w:trPr>
        <w:tc>
          <w:tcPr>
            <w:tcW w:w="5860" w:type="dxa"/>
            <w:vAlign w:val="center"/>
          </w:tcPr>
          <w:p>
            <w:pPr>
              <w:pStyle w:val="12"/>
              <w:spacing w:line="230" w:lineRule="exact"/>
              <w:jc w:val="both"/>
              <w:rPr>
                <w:rFonts w:eastAsia="宋体"/>
                <w:b/>
                <w:sz w:val="21"/>
                <w:szCs w:val="21"/>
              </w:rPr>
            </w:pPr>
            <w:r>
              <w:rPr>
                <w:rFonts w:eastAsia="宋体"/>
                <w:b/>
                <w:sz w:val="21"/>
                <w:szCs w:val="21"/>
              </w:rPr>
              <w:t>担保权益的执行</w:t>
            </w:r>
          </w:p>
          <w:p>
            <w:pPr>
              <w:pStyle w:val="12"/>
              <w:numPr>
                <w:ilvl w:val="0"/>
                <w:numId w:val="6"/>
              </w:numPr>
              <w:tabs>
                <w:tab w:val="left" w:pos="363"/>
              </w:tabs>
              <w:spacing w:line="238" w:lineRule="exact"/>
              <w:ind w:hanging="181"/>
              <w:jc w:val="both"/>
              <w:rPr>
                <w:rFonts w:eastAsia="宋体"/>
                <w:sz w:val="21"/>
                <w:szCs w:val="21"/>
              </w:rPr>
            </w:pPr>
            <w:r>
              <w:rPr>
                <w:rFonts w:eastAsia="宋体"/>
                <w:sz w:val="21"/>
                <w:szCs w:val="21"/>
              </w:rPr>
              <w:t>担保权益的强制执行(78)</w:t>
            </w:r>
          </w:p>
          <w:p>
            <w:pPr>
              <w:pStyle w:val="12"/>
              <w:numPr>
                <w:ilvl w:val="0"/>
                <w:numId w:val="6"/>
              </w:numPr>
              <w:tabs>
                <w:tab w:val="left" w:pos="379"/>
              </w:tabs>
              <w:spacing w:line="233" w:lineRule="exact"/>
              <w:ind w:left="379"/>
              <w:jc w:val="both"/>
              <w:rPr>
                <w:rFonts w:eastAsia="宋体"/>
                <w:sz w:val="21"/>
                <w:szCs w:val="21"/>
              </w:rPr>
            </w:pPr>
            <w:r>
              <w:rPr>
                <w:rFonts w:eastAsia="宋体"/>
                <w:sz w:val="21"/>
                <w:szCs w:val="21"/>
              </w:rPr>
              <w:t>公开拍卖的可得性(79)</w:t>
            </w:r>
          </w:p>
          <w:p>
            <w:pPr>
              <w:pStyle w:val="12"/>
              <w:numPr>
                <w:ilvl w:val="0"/>
                <w:numId w:val="6"/>
              </w:numPr>
              <w:tabs>
                <w:tab w:val="left" w:pos="379"/>
              </w:tabs>
              <w:spacing w:line="234" w:lineRule="exact"/>
              <w:ind w:left="379"/>
              <w:jc w:val="both"/>
              <w:rPr>
                <w:rFonts w:eastAsia="宋体"/>
                <w:sz w:val="21"/>
                <w:szCs w:val="21"/>
              </w:rPr>
            </w:pPr>
            <w:r>
              <w:rPr>
                <w:rFonts w:eastAsia="宋体"/>
                <w:sz w:val="21"/>
                <w:szCs w:val="21"/>
              </w:rPr>
              <w:t>私人拍卖的可用性(80)</w:t>
            </w:r>
          </w:p>
          <w:p>
            <w:pPr>
              <w:pStyle w:val="12"/>
              <w:numPr>
                <w:ilvl w:val="0"/>
                <w:numId w:val="6"/>
              </w:numPr>
              <w:tabs>
                <w:tab w:val="left" w:pos="379"/>
              </w:tabs>
              <w:spacing w:line="235" w:lineRule="exact"/>
              <w:ind w:left="379"/>
              <w:jc w:val="both"/>
              <w:rPr>
                <w:rFonts w:eastAsia="宋体"/>
                <w:sz w:val="21"/>
                <w:szCs w:val="21"/>
                <w:lang w:eastAsia="zh-CN"/>
              </w:rPr>
            </w:pPr>
            <w:r>
              <w:rPr>
                <w:rFonts w:eastAsia="宋体"/>
                <w:i/>
                <w:sz w:val="21"/>
                <w:szCs w:val="21"/>
                <w:lang w:eastAsia="zh-CN"/>
              </w:rPr>
              <w:t>协议委员会</w:t>
            </w:r>
            <w:r>
              <w:rPr>
                <w:rFonts w:eastAsia="宋体"/>
                <w:sz w:val="21"/>
                <w:szCs w:val="21"/>
                <w:lang w:eastAsia="zh-CN"/>
              </w:rPr>
              <w:t>的可用性(81和82)</w:t>
            </w:r>
          </w:p>
          <w:p>
            <w:pPr>
              <w:pStyle w:val="12"/>
              <w:spacing w:line="225" w:lineRule="exact"/>
              <w:jc w:val="both"/>
              <w:rPr>
                <w:rFonts w:eastAsia="宋体"/>
                <w:i/>
                <w:sz w:val="21"/>
                <w:szCs w:val="21"/>
                <w:lang w:eastAsia="zh-CN"/>
              </w:rPr>
            </w:pPr>
            <w:r>
              <w:rPr>
                <w:rFonts w:eastAsia="宋体"/>
                <w:i/>
                <w:sz w:val="21"/>
                <w:szCs w:val="21"/>
                <w:lang w:eastAsia="zh-CN"/>
              </w:rPr>
              <w:t>如果问题78中的元素配对满足，则打2分</w:t>
            </w:r>
          </w:p>
          <w:p>
            <w:pPr>
              <w:pStyle w:val="12"/>
              <w:spacing w:line="230" w:lineRule="atLeast"/>
              <w:jc w:val="both"/>
              <w:rPr>
                <w:rFonts w:eastAsia="宋体"/>
                <w:i/>
                <w:sz w:val="21"/>
                <w:szCs w:val="21"/>
              </w:rPr>
            </w:pPr>
            <w:r>
              <w:rPr>
                <w:rFonts w:eastAsia="宋体"/>
                <w:i/>
                <w:sz w:val="21"/>
                <w:szCs w:val="21"/>
                <w:lang w:eastAsia="zh-CN"/>
              </w:rPr>
              <w:t>问题79-82中3种方法中至少有2种符合。</w:t>
            </w:r>
            <w:r>
              <w:rPr>
                <w:rFonts w:eastAsia="宋体"/>
                <w:i/>
                <w:sz w:val="21"/>
                <w:szCs w:val="21"/>
              </w:rPr>
              <w:t>否则，将得0分</w:t>
            </w:r>
          </w:p>
        </w:tc>
        <w:tc>
          <w:tcPr>
            <w:tcW w:w="859" w:type="dxa"/>
          </w:tcPr>
          <w:p>
            <w:pPr>
              <w:pStyle w:val="12"/>
              <w:ind w:left="0"/>
              <w:jc w:val="center"/>
              <w:rPr>
                <w:rFonts w:eastAsia="宋体"/>
                <w:sz w:val="21"/>
                <w:szCs w:val="21"/>
              </w:rPr>
            </w:pPr>
          </w:p>
          <w:p>
            <w:pPr>
              <w:pStyle w:val="12"/>
              <w:ind w:left="0"/>
              <w:jc w:val="center"/>
              <w:rPr>
                <w:rFonts w:eastAsia="宋体"/>
                <w:sz w:val="21"/>
                <w:szCs w:val="21"/>
              </w:rPr>
            </w:pPr>
          </w:p>
          <w:p>
            <w:pPr>
              <w:pStyle w:val="12"/>
              <w:spacing w:before="6"/>
              <w:ind w:left="0"/>
              <w:jc w:val="center"/>
              <w:rPr>
                <w:rFonts w:eastAsia="宋体"/>
                <w:sz w:val="21"/>
                <w:szCs w:val="21"/>
              </w:rPr>
            </w:pPr>
          </w:p>
          <w:p>
            <w:pPr>
              <w:pStyle w:val="12"/>
              <w:jc w:val="center"/>
              <w:rPr>
                <w:rFonts w:eastAsia="宋体"/>
                <w:b/>
                <w:sz w:val="21"/>
                <w:szCs w:val="21"/>
              </w:rPr>
            </w:pPr>
            <w:r>
              <w:rPr>
                <w:rFonts w:eastAsia="宋体"/>
                <w:b/>
                <w:w w:val="99"/>
                <w:sz w:val="21"/>
                <w:szCs w:val="21"/>
              </w:rPr>
              <w:t>1</w:t>
            </w:r>
          </w:p>
        </w:tc>
        <w:tc>
          <w:tcPr>
            <w:tcW w:w="895" w:type="dxa"/>
          </w:tcPr>
          <w:p>
            <w:pPr>
              <w:pStyle w:val="12"/>
              <w:ind w:left="0"/>
              <w:jc w:val="center"/>
              <w:rPr>
                <w:rFonts w:eastAsia="宋体"/>
                <w:sz w:val="21"/>
                <w:szCs w:val="21"/>
              </w:rPr>
            </w:pPr>
          </w:p>
          <w:p>
            <w:pPr>
              <w:pStyle w:val="12"/>
              <w:ind w:left="0"/>
              <w:jc w:val="center"/>
              <w:rPr>
                <w:rFonts w:eastAsia="宋体"/>
                <w:sz w:val="21"/>
                <w:szCs w:val="21"/>
              </w:rPr>
            </w:pPr>
          </w:p>
          <w:p>
            <w:pPr>
              <w:pStyle w:val="12"/>
              <w:spacing w:before="6"/>
              <w:ind w:left="0"/>
              <w:jc w:val="center"/>
              <w:rPr>
                <w:rFonts w:eastAsia="宋体"/>
                <w:sz w:val="21"/>
                <w:szCs w:val="21"/>
              </w:rPr>
            </w:pPr>
          </w:p>
          <w:p>
            <w:pPr>
              <w:pStyle w:val="12"/>
              <w:ind w:left="102"/>
              <w:jc w:val="center"/>
              <w:rPr>
                <w:rFonts w:eastAsia="宋体"/>
                <w:b/>
                <w:sz w:val="21"/>
                <w:szCs w:val="21"/>
              </w:rPr>
            </w:pPr>
            <w:r>
              <w:rPr>
                <w:rFonts w:eastAsia="宋体"/>
                <w:b/>
                <w:w w:val="99"/>
                <w:sz w:val="21"/>
                <w:szCs w:val="21"/>
              </w:rPr>
              <w:t>1</w:t>
            </w:r>
          </w:p>
        </w:tc>
        <w:tc>
          <w:tcPr>
            <w:tcW w:w="895" w:type="dxa"/>
          </w:tcPr>
          <w:p>
            <w:pPr>
              <w:pStyle w:val="12"/>
              <w:ind w:left="0"/>
              <w:jc w:val="center"/>
              <w:rPr>
                <w:rFonts w:eastAsia="宋体"/>
                <w:sz w:val="21"/>
                <w:szCs w:val="21"/>
              </w:rPr>
            </w:pPr>
          </w:p>
          <w:p>
            <w:pPr>
              <w:pStyle w:val="12"/>
              <w:ind w:left="0"/>
              <w:jc w:val="center"/>
              <w:rPr>
                <w:rFonts w:eastAsia="宋体"/>
                <w:sz w:val="21"/>
                <w:szCs w:val="21"/>
              </w:rPr>
            </w:pPr>
          </w:p>
          <w:p>
            <w:pPr>
              <w:pStyle w:val="12"/>
              <w:spacing w:before="6"/>
              <w:ind w:left="0"/>
              <w:jc w:val="center"/>
              <w:rPr>
                <w:rFonts w:eastAsia="宋体"/>
                <w:sz w:val="21"/>
                <w:szCs w:val="21"/>
              </w:rPr>
            </w:pPr>
          </w:p>
          <w:p>
            <w:pPr>
              <w:pStyle w:val="12"/>
              <w:ind w:left="106"/>
              <w:jc w:val="center"/>
              <w:rPr>
                <w:rFonts w:eastAsia="宋体"/>
                <w:b/>
                <w:sz w:val="21"/>
                <w:szCs w:val="21"/>
              </w:rPr>
            </w:pPr>
            <w:r>
              <w:rPr>
                <w:rFonts w:eastAsia="宋体"/>
                <w:b/>
                <w:w w:val="99"/>
                <w:sz w:val="21"/>
                <w:szCs w:val="21"/>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3" w:hRule="atLeast"/>
        </w:trPr>
        <w:tc>
          <w:tcPr>
            <w:tcW w:w="5860" w:type="dxa"/>
            <w:shd w:val="clear" w:color="auto" w:fill="FFC000"/>
          </w:tcPr>
          <w:p>
            <w:pPr>
              <w:pStyle w:val="12"/>
              <w:spacing w:before="27"/>
              <w:rPr>
                <w:rFonts w:eastAsia="宋体"/>
                <w:b/>
                <w:sz w:val="21"/>
                <w:szCs w:val="21"/>
              </w:rPr>
            </w:pPr>
            <w:r>
              <w:rPr>
                <w:rFonts w:eastAsia="宋体"/>
                <w:b/>
                <w:sz w:val="21"/>
                <w:szCs w:val="21"/>
                <w:lang w:eastAsia="zh-CN"/>
              </w:rPr>
              <w:t>总</w:t>
            </w:r>
            <w:r>
              <w:rPr>
                <w:rFonts w:hint="eastAsia" w:eastAsia="宋体"/>
                <w:b/>
                <w:sz w:val="21"/>
                <w:szCs w:val="21"/>
                <w:lang w:eastAsia="zh-CN"/>
              </w:rPr>
              <w:t>计</w:t>
            </w:r>
          </w:p>
        </w:tc>
        <w:tc>
          <w:tcPr>
            <w:tcW w:w="859" w:type="dxa"/>
            <w:shd w:val="clear" w:color="auto" w:fill="FFC000"/>
          </w:tcPr>
          <w:p>
            <w:pPr>
              <w:pStyle w:val="12"/>
              <w:spacing w:before="27"/>
              <w:jc w:val="center"/>
              <w:rPr>
                <w:rFonts w:eastAsia="宋体"/>
                <w:b/>
                <w:sz w:val="21"/>
                <w:szCs w:val="21"/>
              </w:rPr>
            </w:pPr>
            <w:r>
              <w:rPr>
                <w:rFonts w:eastAsia="宋体"/>
                <w:b/>
                <w:w w:val="99"/>
                <w:sz w:val="21"/>
                <w:szCs w:val="21"/>
              </w:rPr>
              <w:t>2</w:t>
            </w:r>
          </w:p>
        </w:tc>
        <w:tc>
          <w:tcPr>
            <w:tcW w:w="895" w:type="dxa"/>
            <w:shd w:val="clear" w:color="auto" w:fill="FFC000"/>
          </w:tcPr>
          <w:p>
            <w:pPr>
              <w:pStyle w:val="12"/>
              <w:spacing w:before="27"/>
              <w:ind w:left="102"/>
              <w:jc w:val="center"/>
              <w:rPr>
                <w:rFonts w:eastAsia="宋体"/>
                <w:b/>
                <w:sz w:val="21"/>
                <w:szCs w:val="21"/>
              </w:rPr>
            </w:pPr>
            <w:r>
              <w:rPr>
                <w:rFonts w:eastAsia="宋体"/>
                <w:b/>
                <w:w w:val="99"/>
                <w:sz w:val="21"/>
                <w:szCs w:val="21"/>
              </w:rPr>
              <w:t>2</w:t>
            </w:r>
          </w:p>
        </w:tc>
        <w:tc>
          <w:tcPr>
            <w:tcW w:w="895" w:type="dxa"/>
            <w:shd w:val="clear" w:color="auto" w:fill="FFC000"/>
          </w:tcPr>
          <w:p>
            <w:pPr>
              <w:pStyle w:val="12"/>
              <w:spacing w:before="27"/>
              <w:ind w:left="106"/>
              <w:jc w:val="center"/>
              <w:rPr>
                <w:rFonts w:eastAsia="宋体"/>
                <w:b/>
                <w:sz w:val="21"/>
                <w:szCs w:val="21"/>
              </w:rPr>
            </w:pPr>
            <w:r>
              <w:rPr>
                <w:rFonts w:eastAsia="宋体"/>
                <w:b/>
                <w:w w:val="99"/>
                <w:sz w:val="21"/>
                <w:szCs w:val="21"/>
              </w:rPr>
              <w:t>4</w:t>
            </w:r>
          </w:p>
        </w:tc>
      </w:tr>
    </w:tbl>
    <w:p>
      <w:pPr>
        <w:pStyle w:val="5"/>
        <w:spacing w:before="3"/>
        <w:rPr>
          <w:sz w:val="14"/>
        </w:rPr>
      </w:pPr>
    </w:p>
    <w:p>
      <w:pPr>
        <w:rPr>
          <w:rFonts w:eastAsia="宋体"/>
          <w:b/>
          <w:bCs/>
          <w:sz w:val="28"/>
          <w:szCs w:val="28"/>
        </w:rPr>
      </w:pPr>
    </w:p>
    <w:p>
      <w:r>
        <mc:AlternateContent>
          <mc:Choice Requires="wps">
            <w:drawing>
              <wp:anchor distT="0" distB="0" distL="114300" distR="114300" simplePos="0" relativeHeight="251662336" behindDoc="1" locked="0" layoutInCell="1" allowOverlap="1">
                <wp:simplePos x="0" y="0"/>
                <wp:positionH relativeFrom="page">
                  <wp:posOffset>1102995</wp:posOffset>
                </wp:positionH>
                <wp:positionV relativeFrom="paragraph">
                  <wp:posOffset>147955</wp:posOffset>
                </wp:positionV>
                <wp:extent cx="5999480" cy="373380"/>
                <wp:effectExtent l="4445" t="4445" r="15875" b="15875"/>
                <wp:wrapTopAndBottom/>
                <wp:docPr id="12" name="文本框 12"/>
                <wp:cNvGraphicFramePr/>
                <a:graphic xmlns:a="http://schemas.openxmlformats.org/drawingml/2006/main">
                  <a:graphicData uri="http://schemas.microsoft.com/office/word/2010/wordprocessingShape">
                    <wps:wsp>
                      <wps:cNvSpPr txBox="1"/>
                      <wps:spPr>
                        <a:xfrm>
                          <a:off x="0" y="0"/>
                          <a:ext cx="5999480" cy="373380"/>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58"/>
                              <w:ind w:left="103"/>
                              <w:rPr>
                                <w:rFonts w:eastAsia="宋体"/>
                                <w:b/>
                                <w:color w:val="000000"/>
                                <w:sz w:val="28"/>
                                <w:szCs w:val="28"/>
                                <w:lang w:eastAsia="zh-CN"/>
                              </w:rPr>
                            </w:pPr>
                            <w:r>
                              <w:rPr>
                                <w:rFonts w:eastAsia="宋体"/>
                                <w:b/>
                                <w:color w:val="FFFFFF"/>
                                <w:sz w:val="28"/>
                                <w:szCs w:val="28"/>
                                <w:lang w:eastAsia="zh-CN"/>
                              </w:rPr>
                              <w:t>维度II——信贷基础设施信息的可及性和融资渠道</w:t>
                            </w:r>
                          </w:p>
                        </w:txbxContent>
                      </wps:txbx>
                      <wps:bodyPr lIns="0" tIns="0" rIns="0" bIns="0" upright="1"/>
                    </wps:wsp>
                  </a:graphicData>
                </a:graphic>
              </wp:anchor>
            </w:drawing>
          </mc:Choice>
          <mc:Fallback>
            <w:pict>
              <v:shape id="_x0000_s1026" o:spid="_x0000_s1026" o:spt="202" type="#_x0000_t202" style="position:absolute;left:0pt;margin-left:86.85pt;margin-top:11.65pt;height:29.4pt;width:472.4pt;mso-position-horizontal-relative:page;mso-wrap-distance-bottom:0pt;mso-wrap-distance-top:0pt;z-index:-251654144;mso-width-relative:page;mso-height-relative:page;" fillcolor="#0F6EC5" filled="t" stroked="t" coordsize="21600,21600" o:gfxdata="UEsDBAoAAAAAAIdO4kAAAAAAAAAAAAAAAAAEAAAAZHJzL1BLAwQUAAAACACHTuJAeRPZVtcAAAAK&#10;AQAADwAAAGRycy9kb3ducmV2LnhtbE2PQU+EMBCF7yb+h2ZMvLmlJQphKXvQGI2XjWg8FzoLKJ0i&#10;Lez67+2e9PgyX977ptyd7MhWnP3gSIHYJMCQWmcG6hS8vz3e5MB80GT06AgV/KCHXXV5UerCuCO9&#10;4lqHjsUS8oVW0IcwFZz7tker/cZNSPF2cLPVIca542bWx1huRy6T5I5bPVBc6PWE9z22X/ViFSyN&#10;1N/y6Tn9ePFrnRHuH/afq1LXVyLZAgt4Cn8wnPWjOlTRqXELGc/GmLM0i6gCmabAzoAQ+S2wRkEu&#10;BfCq5P9fqH4BUEsDBBQAAAAIAIdO4kAIwDXKHQIAAFwEAAAOAAAAZHJzL2Uyb0RvYy54bWytVM2O&#10;0zAQviPxDpbvNNmWLduo6UpstwgJAdLCA7iOk1jynzxuk74AvAEnLtz3ufocjJ22SxcOPdBD+nlm&#10;8s3MN+PMb3utyFZ4kNaU9GqUUyIMt5U0TUm/flm9uqEEAjMVU9aIku4E0NvFyxfzzhVibFurKuEJ&#10;khgoOlfSNgRXZBnwVmgGI+uEQWdtvWYBj77JKs86ZNcqG+f5NOusr5y3XACgdTk46YHRX0Jo61py&#10;sbR8o4UJA6sXigVsCVrpgC5StXUtePhU1yACUSXFTkN6YhLE6/jMFnNWNJ65VvJDCeySEp71pJk0&#10;mPREtWSBkY2Xf1Fpyb0FW4cRtzobGkmKYBdX+TNtHlrmROoFpQZ3Eh3+Hy3/uP3siaxwE8aUGKZx&#10;4vsf3/c/H/e/vhG0oUCdgwLjHhxGhv6t7TH4aAc0xr772uv4jx0R9KO8u5O8og+Eo/F6Npu9vkEX&#10;R9/kzWSCGOmzp7edh/BOWE0iKKnH8SVV2fYDhCH0GBKTgVWyWkml0sE36zvlyZbFUa+m93fXB/az&#10;MGVIV9JpPptiHQz3t8a9QagdagCmSfnO3oAz4jz+/kUcC1syaIcCEkMMY4WWQfiEWsGqe1ORsHMo&#10;s8HrRWMxWlSUKIG3MaIUGZhUl0SidsqghHFEwygiCv26R5oI17ba4djUe4NLEy/AEfgjWB/BxnnZ&#10;tCh7Gm6ixKVL8zlckLjVf55T4qePwuI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eRPZVtcAAAAK&#10;AQAADwAAAAAAAAABACAAAAAiAAAAZHJzL2Rvd25yZXYueG1sUEsBAhQAFAAAAAgAh07iQAjANcod&#10;AgAAXAQAAA4AAAAAAAAAAQAgAAAAJgEAAGRycy9lMm9Eb2MueG1sUEsFBgAAAAAGAAYAWQEAALUF&#10;AAAAAA==&#10;">
                <v:fill on="t" focussize="0,0"/>
                <v:stroke weight="0.48pt" color="#000000" joinstyle="miter"/>
                <v:imagedata o:title=""/>
                <o:lock v:ext="edit" aspectratio="f"/>
                <v:textbox inset="0mm,0mm,0mm,0mm">
                  <w:txbxContent>
                    <w:p>
                      <w:pPr>
                        <w:spacing w:before="58"/>
                        <w:ind w:left="103"/>
                        <w:rPr>
                          <w:rFonts w:eastAsia="宋体"/>
                          <w:b/>
                          <w:color w:val="000000"/>
                          <w:sz w:val="28"/>
                          <w:szCs w:val="28"/>
                          <w:lang w:eastAsia="zh-CN"/>
                        </w:rPr>
                      </w:pPr>
                      <w:r>
                        <w:rPr>
                          <w:rFonts w:eastAsia="宋体"/>
                          <w:b/>
                          <w:color w:val="FFFFFF"/>
                          <w:sz w:val="28"/>
                          <w:szCs w:val="28"/>
                          <w:lang w:eastAsia="zh-CN"/>
                        </w:rPr>
                        <w:t>维度II——信贷基础设施信息的可及性和融资渠道</w:t>
                      </w:r>
                    </w:p>
                  </w:txbxContent>
                </v:textbox>
                <w10:wrap type="topAndBottom"/>
              </v:shape>
            </w:pict>
          </mc:Fallback>
        </mc:AlternateContent>
      </w:r>
    </w:p>
    <w:p>
      <w:pPr>
        <w:pStyle w:val="11"/>
        <w:tabs>
          <w:tab w:val="left" w:pos="561"/>
        </w:tabs>
        <w:spacing w:line="400" w:lineRule="exact"/>
        <w:ind w:left="0" w:firstLine="562" w:firstLineChars="200"/>
        <w:jc w:val="left"/>
        <w:outlineLvl w:val="2"/>
        <w:rPr>
          <w:rFonts w:eastAsia="宋体"/>
          <w:sz w:val="28"/>
          <w:szCs w:val="28"/>
          <w:lang w:eastAsia="zh-CN"/>
        </w:rPr>
      </w:pPr>
      <w:r>
        <w:rPr>
          <w:rFonts w:eastAsia="宋体"/>
          <w:b/>
          <w:bCs/>
          <w:sz w:val="28"/>
          <w:szCs w:val="28"/>
          <w:lang w:eastAsia="zh-CN"/>
        </w:rPr>
        <w:t>83.</w:t>
      </w:r>
      <w:r>
        <w:rPr>
          <w:rFonts w:eastAsia="宋体"/>
          <w:b/>
          <w:sz w:val="28"/>
          <w:szCs w:val="28"/>
          <w:lang w:eastAsia="zh-CN"/>
        </w:rPr>
        <w:t>登记处是否在运作?</w:t>
      </w:r>
      <w:r>
        <w:rPr>
          <w:rFonts w:eastAsia="宋体"/>
          <w:spacing w:val="-4"/>
          <w:sz w:val="28"/>
          <w:szCs w:val="28"/>
          <w:lang w:eastAsia="zh-CN"/>
        </w:rPr>
        <w:t>(</w:t>
      </w:r>
      <w:r>
        <w:rPr>
          <w:rFonts w:hint="eastAsia" w:eastAsia="宋体"/>
          <w:spacing w:val="-4"/>
          <w:sz w:val="28"/>
          <w:szCs w:val="28"/>
          <w:lang w:eastAsia="zh-CN"/>
        </w:rPr>
        <w:t>Y/N</w:t>
      </w:r>
      <w:r>
        <w:rPr>
          <w:rFonts w:eastAsia="宋体"/>
          <w:spacing w:val="-4"/>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84.</w:t>
      </w:r>
      <w:r>
        <w:rPr>
          <w:rFonts w:eastAsia="宋体"/>
          <w:b/>
          <w:sz w:val="28"/>
          <w:szCs w:val="28"/>
          <w:lang w:eastAsia="zh-CN"/>
        </w:rPr>
        <w:t>抵押品登记</w:t>
      </w:r>
      <w:r>
        <w:rPr>
          <w:rFonts w:eastAsia="宋体"/>
          <w:b/>
          <w:i/>
          <w:sz w:val="28"/>
          <w:szCs w:val="28"/>
          <w:lang w:eastAsia="zh-CN"/>
        </w:rPr>
        <w:t>(数据库)</w:t>
      </w:r>
      <w:r>
        <w:rPr>
          <w:rFonts w:eastAsia="宋体"/>
          <w:b/>
          <w:sz w:val="28"/>
          <w:szCs w:val="28"/>
          <w:lang w:eastAsia="zh-CN"/>
        </w:rPr>
        <w:t>是否在整个经济的地理上集中，还是在经济体内部的不同地理区域之间相互联系?</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统一担保登记</w:t>
      </w:r>
      <w:r>
        <w:rPr>
          <w:rFonts w:hint="eastAsia" w:eastAsia="宋体"/>
          <w:i/>
          <w:sz w:val="28"/>
          <w:szCs w:val="28"/>
          <w:lang w:eastAsia="zh-CN"/>
        </w:rPr>
        <w:t>”</w:t>
      </w:r>
      <w:r>
        <w:rPr>
          <w:rFonts w:eastAsia="宋体"/>
          <w:i/>
          <w:sz w:val="28"/>
          <w:szCs w:val="28"/>
          <w:lang w:eastAsia="zh-CN"/>
        </w:rPr>
        <w:t>可以理解为在整个经济中地理上集中，或者如果存在不同的登记，则它们的数据库应该统一或链接。因此，担保权益只需要注册一次就可以在全国各地有效，因为不同注册机构之间的信息将被共享。</w:t>
      </w:r>
    </w:p>
    <w:p>
      <w:pPr>
        <w:pStyle w:val="5"/>
        <w:spacing w:line="400" w:lineRule="exact"/>
        <w:ind w:firstLine="560" w:firstLineChars="200"/>
        <w:rPr>
          <w:rFonts w:eastAsia="宋体"/>
          <w:i/>
          <w:sz w:val="28"/>
          <w:szCs w:val="28"/>
          <w:lang w:eastAsia="zh-CN"/>
        </w:rPr>
      </w:pPr>
    </w:p>
    <w:p>
      <w:pPr>
        <w:pStyle w:val="11"/>
        <w:tabs>
          <w:tab w:val="left" w:pos="561"/>
        </w:tabs>
        <w:spacing w:line="400" w:lineRule="exact"/>
        <w:ind w:left="0" w:firstLine="562" w:firstLineChars="200"/>
        <w:jc w:val="left"/>
        <w:rPr>
          <w:rFonts w:eastAsia="宋体"/>
          <w:sz w:val="28"/>
          <w:szCs w:val="28"/>
          <w:lang w:eastAsia="zh-CN"/>
        </w:rPr>
      </w:pPr>
      <w:r>
        <w:rPr>
          <w:rFonts w:eastAsia="宋体"/>
          <w:b/>
          <w:bCs/>
          <w:sz w:val="28"/>
          <w:szCs w:val="28"/>
          <w:lang w:eastAsia="zh-CN"/>
        </w:rPr>
        <w:t>85.</w:t>
      </w:r>
      <w:r>
        <w:rPr>
          <w:rFonts w:eastAsia="宋体"/>
          <w:b/>
          <w:sz w:val="28"/>
          <w:szCs w:val="28"/>
          <w:lang w:eastAsia="zh-CN"/>
        </w:rPr>
        <w:t>为了对第三方强制执行，是否需要登记非占有性担保权益?</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rPr>
          <w:rFonts w:eastAsia="宋体"/>
          <w:sz w:val="28"/>
          <w:szCs w:val="28"/>
          <w:lang w:eastAsia="zh-CN"/>
        </w:rPr>
      </w:pPr>
      <w:r>
        <w:rPr>
          <w:rFonts w:eastAsia="宋体"/>
          <w:b/>
          <w:bCs/>
          <w:sz w:val="28"/>
          <w:szCs w:val="28"/>
          <w:lang w:eastAsia="zh-CN"/>
        </w:rPr>
        <w:t>86.</w:t>
      </w:r>
      <w:r>
        <w:rPr>
          <w:rFonts w:eastAsia="宋体"/>
          <w:b/>
          <w:sz w:val="28"/>
          <w:szCs w:val="28"/>
          <w:lang w:eastAsia="zh-CN"/>
        </w:rPr>
        <w:t>抵押品登记是否仅限于某些类型的借款人或债权人授予的担保权益?</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如法人实体，仅限个人、商业银行。</w:t>
      </w:r>
    </w:p>
    <w:p>
      <w:pPr>
        <w:pStyle w:val="5"/>
        <w:spacing w:line="400" w:lineRule="exact"/>
        <w:ind w:firstLine="560" w:firstLineChars="200"/>
        <w:rPr>
          <w:rFonts w:eastAsia="宋体"/>
          <w:i/>
          <w:sz w:val="28"/>
          <w:szCs w:val="28"/>
          <w:lang w:eastAsia="zh-CN"/>
        </w:rPr>
      </w:pPr>
    </w:p>
    <w:p>
      <w:pPr>
        <w:pStyle w:val="11"/>
        <w:tabs>
          <w:tab w:val="left" w:pos="561"/>
        </w:tabs>
        <w:spacing w:line="400" w:lineRule="exact"/>
        <w:ind w:left="0" w:firstLine="562" w:firstLineChars="200"/>
        <w:jc w:val="left"/>
        <w:rPr>
          <w:rFonts w:eastAsia="宋体"/>
          <w:b/>
          <w:sz w:val="28"/>
          <w:szCs w:val="28"/>
          <w:lang w:eastAsia="zh-CN"/>
        </w:rPr>
      </w:pPr>
      <w:r>
        <w:rPr>
          <w:rFonts w:eastAsia="宋体"/>
          <w:b/>
          <w:bCs/>
          <w:sz w:val="28"/>
          <w:szCs w:val="28"/>
          <w:lang w:eastAsia="zh-CN"/>
        </w:rPr>
        <w:t>87.</w:t>
      </w:r>
      <w:r>
        <w:rPr>
          <w:rFonts w:eastAsia="宋体"/>
          <w:b/>
          <w:sz w:val="28"/>
          <w:szCs w:val="28"/>
          <w:lang w:eastAsia="zh-CN"/>
        </w:rPr>
        <w:t>如果不同类型的债务人</w:t>
      </w:r>
      <w:r>
        <w:rPr>
          <w:rFonts w:eastAsia="宋体"/>
          <w:i/>
          <w:sz w:val="28"/>
          <w:szCs w:val="28"/>
          <w:lang w:eastAsia="zh-CN"/>
        </w:rPr>
        <w:t>(例如，注册法人和非注册法人</w:t>
      </w:r>
      <w:r>
        <w:rPr>
          <w:rFonts w:eastAsia="宋体"/>
          <w:i/>
          <w:spacing w:val="-4"/>
          <w:sz w:val="28"/>
          <w:szCs w:val="28"/>
          <w:lang w:eastAsia="zh-CN"/>
        </w:rPr>
        <w:t>债务人)</w:t>
      </w:r>
      <w:r>
        <w:rPr>
          <w:rFonts w:eastAsia="宋体"/>
          <w:b/>
          <w:sz w:val="28"/>
          <w:szCs w:val="28"/>
          <w:lang w:eastAsia="zh-CN"/>
        </w:rPr>
        <w:t>存在不同的登记机构，那么对于非占有性担保权益的创建和第三方效力是否采用相同的规则?</w:t>
      </w:r>
    </w:p>
    <w:p>
      <w:pPr>
        <w:pStyle w:val="5"/>
        <w:tabs>
          <w:tab w:val="left" w:pos="1381"/>
        </w:tabs>
        <w:spacing w:line="400" w:lineRule="exact"/>
        <w:ind w:firstLine="544" w:firstLineChars="200"/>
        <w:rPr>
          <w:rFonts w:eastAsia="宋体"/>
          <w:sz w:val="28"/>
          <w:szCs w:val="28"/>
          <w:lang w:eastAsia="zh-CN"/>
        </w:rPr>
      </w:pPr>
      <w:r>
        <w:rPr>
          <w:rFonts w:eastAsia="宋体"/>
          <w:spacing w:val="-4"/>
          <w:sz w:val="28"/>
          <w:szCs w:val="28"/>
          <w:lang w:eastAsia="zh-CN"/>
        </w:rPr>
        <w:t>87a</w:t>
      </w:r>
      <w:r>
        <w:rPr>
          <w:rFonts w:hint="eastAsia" w:eastAsia="宋体"/>
          <w:spacing w:val="-4"/>
          <w:sz w:val="28"/>
          <w:szCs w:val="28"/>
          <w:lang w:eastAsia="zh-CN"/>
        </w:rPr>
        <w:t>.</w:t>
      </w:r>
      <w:r>
        <w:rPr>
          <w:rFonts w:eastAsia="宋体"/>
          <w:spacing w:val="-4"/>
          <w:sz w:val="28"/>
          <w:szCs w:val="28"/>
          <w:lang w:eastAsia="zh-CN"/>
        </w:rPr>
        <w:t>.</w:t>
      </w:r>
      <w:r>
        <w:rPr>
          <w:rFonts w:eastAsia="宋体"/>
          <w:spacing w:val="-5"/>
          <w:sz w:val="28"/>
          <w:szCs w:val="28"/>
          <w:lang w:eastAsia="zh-CN"/>
        </w:rPr>
        <w:t>是的</w:t>
      </w:r>
    </w:p>
    <w:p>
      <w:pPr>
        <w:pStyle w:val="5"/>
        <w:tabs>
          <w:tab w:val="left" w:pos="1381"/>
        </w:tabs>
        <w:spacing w:line="400" w:lineRule="exact"/>
        <w:ind w:firstLine="544" w:firstLineChars="200"/>
        <w:rPr>
          <w:rFonts w:eastAsia="宋体"/>
          <w:sz w:val="28"/>
          <w:szCs w:val="28"/>
          <w:lang w:eastAsia="zh-CN"/>
        </w:rPr>
      </w:pPr>
      <w:r>
        <w:rPr>
          <w:rFonts w:eastAsia="宋体"/>
          <w:spacing w:val="-4"/>
          <w:sz w:val="28"/>
          <w:szCs w:val="28"/>
          <w:lang w:eastAsia="zh-CN"/>
        </w:rPr>
        <w:t>87b.</w:t>
      </w:r>
      <w:r>
        <w:rPr>
          <w:rFonts w:eastAsia="宋体"/>
          <w:spacing w:val="-5"/>
          <w:sz w:val="28"/>
          <w:szCs w:val="28"/>
          <w:lang w:eastAsia="zh-CN"/>
        </w:rPr>
        <w:t>没有</w:t>
      </w:r>
    </w:p>
    <w:p>
      <w:pPr>
        <w:pStyle w:val="5"/>
        <w:tabs>
          <w:tab w:val="left" w:pos="1371"/>
        </w:tabs>
        <w:spacing w:line="400" w:lineRule="exact"/>
        <w:ind w:firstLine="544" w:firstLineChars="200"/>
        <w:rPr>
          <w:rFonts w:eastAsia="宋体"/>
          <w:sz w:val="28"/>
          <w:szCs w:val="28"/>
          <w:lang w:eastAsia="zh-CN"/>
        </w:rPr>
      </w:pPr>
      <w:r>
        <w:rPr>
          <w:rFonts w:eastAsia="宋体"/>
          <w:spacing w:val="-4"/>
          <w:sz w:val="28"/>
          <w:szCs w:val="28"/>
          <w:lang w:eastAsia="zh-CN"/>
        </w:rPr>
        <w:t>87c.</w:t>
      </w:r>
      <w:r>
        <w:rPr>
          <w:rFonts w:eastAsia="宋体"/>
          <w:sz w:val="28"/>
          <w:szCs w:val="28"/>
          <w:lang w:eastAsia="zh-CN"/>
        </w:rPr>
        <w:t>不同类型的债务人不存在不同的登记机构</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b/>
          <w:sz w:val="28"/>
          <w:szCs w:val="28"/>
          <w:lang w:eastAsia="zh-CN"/>
        </w:rPr>
      </w:pPr>
      <w:r>
        <w:rPr>
          <w:rFonts w:eastAsia="宋体"/>
          <w:b/>
          <w:bCs/>
          <w:sz w:val="28"/>
          <w:szCs w:val="28"/>
          <w:lang w:eastAsia="zh-CN"/>
        </w:rPr>
        <w:t>88.</w:t>
      </w:r>
      <w:r>
        <w:rPr>
          <w:rFonts w:eastAsia="宋体"/>
          <w:b/>
          <w:sz w:val="28"/>
          <w:szCs w:val="28"/>
          <w:lang w:eastAsia="zh-CN"/>
        </w:rPr>
        <w:t>如果不同类型的资产(例如，注册成立的和非法人债务人)存在</w:t>
      </w:r>
      <w:r>
        <w:rPr>
          <w:rFonts w:eastAsia="宋体"/>
          <w:i/>
          <w:sz w:val="28"/>
          <w:szCs w:val="28"/>
          <w:lang w:eastAsia="zh-CN"/>
        </w:rPr>
        <w:t>不同的登记机构，</w:t>
      </w:r>
      <w:r>
        <w:rPr>
          <w:rFonts w:eastAsia="宋体"/>
          <w:b/>
          <w:sz w:val="28"/>
          <w:szCs w:val="28"/>
          <w:lang w:eastAsia="zh-CN"/>
        </w:rPr>
        <w:t>那么对于非占有性担保权益的创建和第三方效力是否采用相同的规则?</w:t>
      </w:r>
    </w:p>
    <w:p>
      <w:pPr>
        <w:pStyle w:val="5"/>
        <w:tabs>
          <w:tab w:val="left" w:pos="1371"/>
        </w:tabs>
        <w:spacing w:line="400" w:lineRule="exact"/>
        <w:ind w:firstLine="544" w:firstLineChars="200"/>
        <w:rPr>
          <w:rFonts w:eastAsia="宋体"/>
          <w:sz w:val="28"/>
          <w:szCs w:val="28"/>
          <w:lang w:eastAsia="zh-CN"/>
        </w:rPr>
      </w:pPr>
      <w:r>
        <w:rPr>
          <w:rFonts w:eastAsia="宋体"/>
          <w:spacing w:val="-4"/>
          <w:sz w:val="28"/>
          <w:szCs w:val="28"/>
          <w:lang w:eastAsia="zh-CN"/>
        </w:rPr>
        <w:t>88a.</w:t>
      </w:r>
      <w:r>
        <w:rPr>
          <w:rFonts w:eastAsia="宋体"/>
          <w:spacing w:val="-5"/>
          <w:sz w:val="28"/>
          <w:szCs w:val="28"/>
          <w:lang w:eastAsia="zh-CN"/>
        </w:rPr>
        <w:t>是的</w:t>
      </w:r>
    </w:p>
    <w:p>
      <w:pPr>
        <w:pStyle w:val="5"/>
        <w:tabs>
          <w:tab w:val="left" w:pos="1371"/>
        </w:tabs>
        <w:spacing w:line="400" w:lineRule="exact"/>
        <w:ind w:firstLine="544" w:firstLineChars="200"/>
        <w:rPr>
          <w:rFonts w:eastAsia="宋体"/>
          <w:sz w:val="28"/>
          <w:szCs w:val="28"/>
          <w:lang w:eastAsia="zh-CN"/>
        </w:rPr>
      </w:pPr>
      <w:r>
        <w:rPr>
          <w:rFonts w:eastAsia="宋体"/>
          <w:spacing w:val="-4"/>
          <w:sz w:val="28"/>
          <w:szCs w:val="28"/>
          <w:lang w:eastAsia="zh-CN"/>
        </w:rPr>
        <w:t>88b.</w:t>
      </w:r>
      <w:r>
        <w:rPr>
          <w:rFonts w:eastAsia="宋体"/>
          <w:spacing w:val="-5"/>
          <w:sz w:val="28"/>
          <w:szCs w:val="28"/>
          <w:lang w:eastAsia="zh-CN"/>
        </w:rPr>
        <w:t>没有</w:t>
      </w:r>
    </w:p>
    <w:p>
      <w:pPr>
        <w:pStyle w:val="5"/>
        <w:tabs>
          <w:tab w:val="left" w:pos="1371"/>
        </w:tabs>
        <w:spacing w:line="400" w:lineRule="exact"/>
        <w:ind w:firstLine="544" w:firstLineChars="200"/>
        <w:rPr>
          <w:rFonts w:eastAsia="宋体"/>
          <w:sz w:val="28"/>
          <w:szCs w:val="28"/>
          <w:lang w:eastAsia="zh-CN"/>
        </w:rPr>
      </w:pPr>
      <w:r>
        <w:rPr>
          <w:rFonts w:eastAsia="宋体"/>
          <w:spacing w:val="-4"/>
          <w:sz w:val="28"/>
          <w:szCs w:val="28"/>
          <w:lang w:eastAsia="zh-CN"/>
        </w:rPr>
        <w:t>88c.</w:t>
      </w:r>
      <w:r>
        <w:rPr>
          <w:rFonts w:eastAsia="宋体"/>
          <w:sz w:val="28"/>
          <w:szCs w:val="28"/>
          <w:lang w:eastAsia="zh-CN"/>
        </w:rPr>
        <w:t>不同类型的资产不存在不同的登记机构</w:t>
      </w: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89.</w:t>
      </w:r>
      <w:r>
        <w:rPr>
          <w:rFonts w:eastAsia="宋体"/>
          <w:b/>
          <w:sz w:val="28"/>
          <w:szCs w:val="28"/>
          <w:lang w:eastAsia="zh-CN"/>
        </w:rPr>
        <w:t>每个人，包括公众成员，都可以不受经济中任何地理位置的限制地访问登记处中的数据吗?</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比如不需要登记员、办事员、公证员等中介…或者不局限于某类用户，比如国家机关)</w:t>
      </w:r>
    </w:p>
    <w:p>
      <w:pPr>
        <w:pStyle w:val="5"/>
        <w:spacing w:line="400" w:lineRule="exact"/>
        <w:ind w:firstLine="560" w:firstLineChars="200"/>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90.</w:t>
      </w:r>
      <w:r>
        <w:rPr>
          <w:rFonts w:eastAsia="宋体"/>
          <w:b/>
          <w:sz w:val="28"/>
          <w:szCs w:val="28"/>
          <w:lang w:eastAsia="zh-CN"/>
        </w:rPr>
        <w:t>登记处是否有一个可按债务人姓名或唯一标识符搜索的电子数据库?</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rPr>
          <w:rFonts w:eastAsia="宋体"/>
          <w:sz w:val="28"/>
          <w:szCs w:val="28"/>
          <w:lang w:eastAsia="zh-CN"/>
        </w:rPr>
      </w:pPr>
      <w:r>
        <w:rPr>
          <w:rFonts w:eastAsia="宋体"/>
          <w:b/>
          <w:bCs/>
          <w:sz w:val="28"/>
          <w:szCs w:val="28"/>
          <w:lang w:eastAsia="zh-CN"/>
        </w:rPr>
        <w:t>91.</w:t>
      </w:r>
      <w:r>
        <w:rPr>
          <w:rFonts w:eastAsia="宋体"/>
          <w:b/>
          <w:sz w:val="28"/>
          <w:szCs w:val="28"/>
          <w:lang w:eastAsia="zh-CN"/>
        </w:rPr>
        <w:t>抵押品是否可以通过登记处的序列号进行搜索?</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outlineLvl w:val="2"/>
        <w:rPr>
          <w:rFonts w:eastAsia="宋体"/>
          <w:sz w:val="28"/>
          <w:szCs w:val="28"/>
          <w:lang w:eastAsia="zh-CN"/>
        </w:rPr>
      </w:pPr>
      <w:r>
        <w:rPr>
          <w:rFonts w:eastAsia="宋体"/>
          <w:b/>
          <w:bCs/>
          <w:sz w:val="28"/>
          <w:szCs w:val="28"/>
          <w:lang w:eastAsia="zh-CN"/>
        </w:rPr>
        <w:t>92.</w:t>
      </w:r>
      <w:r>
        <w:rPr>
          <w:rFonts w:eastAsia="宋体"/>
          <w:b/>
          <w:sz w:val="28"/>
          <w:szCs w:val="28"/>
          <w:lang w:eastAsia="zh-CN"/>
        </w:rPr>
        <w:t>这是一个基于通知的登记处吗?</w:t>
      </w:r>
      <w:r>
        <w:rPr>
          <w:rFonts w:eastAsia="宋体"/>
          <w:spacing w:val="-4"/>
          <w:sz w:val="28"/>
          <w:szCs w:val="28"/>
          <w:lang w:eastAsia="zh-CN"/>
        </w:rPr>
        <w:t>(</w:t>
      </w:r>
      <w:r>
        <w:rPr>
          <w:rFonts w:hint="eastAsia" w:eastAsia="宋体"/>
          <w:spacing w:val="-4"/>
          <w:sz w:val="28"/>
          <w:szCs w:val="28"/>
          <w:lang w:eastAsia="zh-CN"/>
        </w:rPr>
        <w:t>Y/N</w:t>
      </w:r>
      <w:r>
        <w:rPr>
          <w:rFonts w:eastAsia="宋体"/>
          <w:spacing w:val="-4"/>
          <w:sz w:val="28"/>
          <w:szCs w:val="28"/>
          <w:lang w:eastAsia="zh-CN"/>
        </w:rPr>
        <w:t>)</w:t>
      </w:r>
    </w:p>
    <w:p>
      <w:pPr>
        <w:spacing w:line="400" w:lineRule="exact"/>
        <w:ind w:firstLine="560" w:firstLineChars="200"/>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例如，没有提交所有文件，例如贷款合同的副本，并且/或登记处没有权力也没有责任要求妥善执行协议。</w:t>
      </w:r>
    </w:p>
    <w:p>
      <w:pPr>
        <w:pStyle w:val="5"/>
        <w:spacing w:line="400" w:lineRule="exact"/>
        <w:ind w:firstLine="560" w:firstLineChars="200"/>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93.</w:t>
      </w:r>
      <w:r>
        <w:rPr>
          <w:rFonts w:eastAsia="宋体"/>
          <w:b/>
          <w:sz w:val="28"/>
          <w:szCs w:val="28"/>
          <w:lang w:eastAsia="zh-CN"/>
        </w:rPr>
        <w:t>一旦提交担保权益通知，登记处是否会核实交易的合法性?</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94.</w:t>
      </w:r>
      <w:r>
        <w:rPr>
          <w:rFonts w:eastAsia="宋体"/>
          <w:b/>
          <w:sz w:val="28"/>
          <w:szCs w:val="28"/>
          <w:lang w:eastAsia="zh-CN"/>
        </w:rPr>
        <w:t>登记处工作人员是否审查备案通知中信息的正确性、完整性和准确性?</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例如，登记处职员因待填写的电子表格中信息不足或不准确而手动审查并接受登记通知或拒绝登记通知。</w:t>
      </w:r>
    </w:p>
    <w:p>
      <w:pPr>
        <w:pStyle w:val="5"/>
        <w:spacing w:line="400" w:lineRule="exact"/>
        <w:ind w:firstLine="560" w:firstLineChars="200"/>
        <w:rPr>
          <w:rFonts w:eastAsia="宋体"/>
          <w:i/>
          <w:sz w:val="28"/>
          <w:szCs w:val="28"/>
          <w:lang w:eastAsia="zh-CN"/>
        </w:rPr>
      </w:pPr>
    </w:p>
    <w:p>
      <w:pPr>
        <w:pStyle w:val="11"/>
        <w:tabs>
          <w:tab w:val="left" w:pos="561"/>
        </w:tabs>
        <w:spacing w:line="400" w:lineRule="exact"/>
        <w:ind w:left="0" w:firstLine="562" w:firstLineChars="200"/>
        <w:rPr>
          <w:rFonts w:eastAsia="宋体"/>
          <w:sz w:val="28"/>
          <w:szCs w:val="28"/>
          <w:lang w:eastAsia="zh-CN"/>
        </w:rPr>
      </w:pPr>
      <w:r>
        <w:rPr>
          <w:rFonts w:eastAsia="宋体"/>
          <w:b/>
          <w:bCs/>
          <w:sz w:val="28"/>
          <w:szCs w:val="28"/>
          <w:lang w:eastAsia="zh-CN"/>
        </w:rPr>
        <w:t>95.</w:t>
      </w:r>
      <w:r>
        <w:rPr>
          <w:rFonts w:eastAsia="宋体"/>
          <w:b/>
          <w:sz w:val="28"/>
          <w:szCs w:val="28"/>
          <w:lang w:eastAsia="zh-CN"/>
        </w:rPr>
        <w:t>登记处是否涵盖所有类型的动产担保权益</w:t>
      </w:r>
      <w:r>
        <w:rPr>
          <w:rFonts w:eastAsia="宋体"/>
          <w:i/>
          <w:sz w:val="28"/>
          <w:szCs w:val="28"/>
          <w:lang w:eastAsia="zh-CN"/>
        </w:rPr>
        <w:t>(</w:t>
      </w:r>
      <w:r>
        <w:rPr>
          <w:rFonts w:eastAsia="宋体"/>
          <w:i/>
          <w:spacing w:val="-3"/>
          <w:sz w:val="28"/>
          <w:szCs w:val="28"/>
          <w:lang w:eastAsia="zh-CN"/>
        </w:rPr>
        <w:t>车辆、</w:t>
      </w:r>
      <w:r>
        <w:rPr>
          <w:rFonts w:eastAsia="宋体"/>
          <w:i/>
          <w:sz w:val="28"/>
          <w:szCs w:val="28"/>
          <w:lang w:eastAsia="zh-CN"/>
        </w:rPr>
        <w:t>船舶、</w:t>
      </w:r>
      <w:r>
        <w:rPr>
          <w:rFonts w:eastAsia="宋体"/>
          <w:i/>
          <w:spacing w:val="-1"/>
          <w:sz w:val="28"/>
          <w:szCs w:val="28"/>
          <w:lang w:eastAsia="zh-CN"/>
        </w:rPr>
        <w:t>飞机、</w:t>
      </w:r>
      <w:r>
        <w:rPr>
          <w:rFonts w:eastAsia="宋体"/>
          <w:i/>
          <w:sz w:val="28"/>
          <w:szCs w:val="28"/>
          <w:lang w:eastAsia="zh-CN"/>
        </w:rPr>
        <w:t>中介</w:t>
      </w:r>
      <w:r>
        <w:rPr>
          <w:rFonts w:eastAsia="宋体"/>
          <w:i/>
          <w:spacing w:val="-1"/>
          <w:sz w:val="28"/>
          <w:szCs w:val="28"/>
          <w:lang w:eastAsia="zh-CN"/>
        </w:rPr>
        <w:t>证券</w:t>
      </w:r>
      <w:r>
        <w:rPr>
          <w:rFonts w:eastAsia="宋体"/>
          <w:i/>
          <w:sz w:val="28"/>
          <w:szCs w:val="28"/>
          <w:lang w:eastAsia="zh-CN"/>
        </w:rPr>
        <w:t>或知识</w:t>
      </w:r>
      <w:r>
        <w:rPr>
          <w:rFonts w:eastAsia="宋体"/>
          <w:i/>
          <w:spacing w:val="-3"/>
          <w:sz w:val="28"/>
          <w:szCs w:val="28"/>
          <w:lang w:eastAsia="zh-CN"/>
        </w:rPr>
        <w:t>产权</w:t>
      </w:r>
      <w:r>
        <w:rPr>
          <w:rFonts w:eastAsia="宋体"/>
          <w:b/>
          <w:spacing w:val="-1"/>
          <w:sz w:val="28"/>
          <w:szCs w:val="28"/>
          <w:lang w:eastAsia="zh-CN"/>
        </w:rPr>
        <w:t>除外)</w:t>
      </w:r>
      <w:r>
        <w:rPr>
          <w:rFonts w:eastAsia="宋体"/>
          <w:b/>
          <w:sz w:val="28"/>
          <w:szCs w:val="28"/>
          <w:lang w:eastAsia="zh-CN"/>
        </w:rPr>
        <w:t>，包括功能等价物，如所有权的信托转让、融资租赁协议、应收款转让和保留所有权销售?</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outlineLvl w:val="2"/>
        <w:rPr>
          <w:rFonts w:eastAsia="宋体"/>
          <w:b/>
          <w:sz w:val="28"/>
          <w:szCs w:val="28"/>
          <w:lang w:eastAsia="zh-CN"/>
        </w:rPr>
      </w:pPr>
      <w:r>
        <w:rPr>
          <w:rFonts w:eastAsia="宋体"/>
          <w:b/>
          <w:bCs/>
          <w:sz w:val="28"/>
          <w:szCs w:val="28"/>
          <w:lang w:eastAsia="zh-CN"/>
        </w:rPr>
        <w:t>96.</w:t>
      </w:r>
      <w:r>
        <w:rPr>
          <w:rFonts w:eastAsia="宋体"/>
          <w:b/>
          <w:sz w:val="28"/>
          <w:szCs w:val="28"/>
          <w:lang w:eastAsia="zh-CN"/>
        </w:rPr>
        <w:t>谁可以进行登记?</w:t>
      </w:r>
    </w:p>
    <w:p>
      <w:pPr>
        <w:spacing w:line="400" w:lineRule="exact"/>
        <w:ind w:firstLine="560" w:firstLineChars="200"/>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所有类型的担保债权人——法人或非法人实体，债权人代表。</w:t>
      </w:r>
    </w:p>
    <w:p>
      <w:pPr>
        <w:pStyle w:val="5"/>
        <w:spacing w:line="400" w:lineRule="exact"/>
        <w:ind w:firstLine="560" w:firstLineChars="200"/>
        <w:rPr>
          <w:rFonts w:eastAsia="宋体"/>
          <w:i/>
          <w:sz w:val="28"/>
          <w:szCs w:val="28"/>
          <w:lang w:eastAsia="zh-CN"/>
        </w:rPr>
      </w:pPr>
    </w:p>
    <w:p>
      <w:pPr>
        <w:pStyle w:val="11"/>
        <w:tabs>
          <w:tab w:val="left" w:pos="561"/>
        </w:tabs>
        <w:spacing w:line="400" w:lineRule="exact"/>
        <w:ind w:left="0" w:firstLine="562" w:firstLineChars="200"/>
        <w:jc w:val="left"/>
        <w:outlineLvl w:val="2"/>
        <w:rPr>
          <w:rFonts w:eastAsia="宋体"/>
          <w:b/>
          <w:sz w:val="28"/>
          <w:szCs w:val="28"/>
          <w:lang w:eastAsia="zh-CN"/>
        </w:rPr>
      </w:pPr>
      <w:r>
        <w:rPr>
          <w:rFonts w:eastAsia="宋体"/>
          <w:b/>
          <w:bCs/>
          <w:sz w:val="28"/>
          <w:szCs w:val="28"/>
          <w:lang w:eastAsia="zh-CN"/>
        </w:rPr>
        <w:t>97.</w:t>
      </w:r>
      <w:r>
        <w:rPr>
          <w:rFonts w:eastAsia="宋体"/>
          <w:b/>
          <w:sz w:val="28"/>
          <w:szCs w:val="28"/>
          <w:lang w:eastAsia="zh-CN"/>
        </w:rPr>
        <w:t>在登记处开立账户的程序是怎样的?</w:t>
      </w:r>
    </w:p>
    <w:p>
      <w:pPr>
        <w:pStyle w:val="5"/>
        <w:tabs>
          <w:tab w:val="left" w:pos="1371"/>
        </w:tabs>
        <w:spacing w:line="400" w:lineRule="exact"/>
        <w:ind w:firstLine="544" w:firstLineChars="200"/>
        <w:rPr>
          <w:rFonts w:eastAsia="宋体"/>
          <w:sz w:val="28"/>
          <w:szCs w:val="28"/>
          <w:lang w:eastAsia="zh-CN"/>
        </w:rPr>
      </w:pPr>
      <w:r>
        <w:rPr>
          <w:rFonts w:eastAsia="宋体"/>
          <w:spacing w:val="-4"/>
          <w:sz w:val="28"/>
          <w:szCs w:val="28"/>
          <w:lang w:eastAsia="zh-CN"/>
        </w:rPr>
        <w:t>97a.</w:t>
      </w:r>
      <w:r>
        <w:rPr>
          <w:rFonts w:eastAsia="宋体"/>
          <w:sz w:val="28"/>
          <w:szCs w:val="28"/>
          <w:lang w:eastAsia="zh-CN"/>
        </w:rPr>
        <w:t>未经任何第三方参与或批准的在线</w:t>
      </w:r>
    </w:p>
    <w:p>
      <w:pPr>
        <w:pStyle w:val="5"/>
        <w:tabs>
          <w:tab w:val="left" w:pos="1371"/>
        </w:tabs>
        <w:spacing w:line="400" w:lineRule="exact"/>
        <w:ind w:firstLine="560" w:firstLineChars="200"/>
        <w:rPr>
          <w:rFonts w:eastAsia="宋体"/>
          <w:sz w:val="28"/>
          <w:szCs w:val="28"/>
          <w:lang w:eastAsia="zh-CN"/>
        </w:rPr>
      </w:pPr>
      <w:r>
        <w:rPr>
          <w:rFonts w:eastAsia="宋体"/>
          <w:sz w:val="28"/>
          <w:szCs w:val="28"/>
          <w:lang w:eastAsia="zh-CN"/>
        </w:rPr>
        <w:t>97b.在线，自动验证账户</w:t>
      </w:r>
    </w:p>
    <w:p>
      <w:pPr>
        <w:pStyle w:val="5"/>
        <w:tabs>
          <w:tab w:val="left" w:pos="1371"/>
        </w:tabs>
        <w:spacing w:line="400" w:lineRule="exact"/>
        <w:ind w:firstLine="544" w:firstLineChars="200"/>
        <w:rPr>
          <w:rFonts w:eastAsia="宋体"/>
          <w:sz w:val="28"/>
          <w:szCs w:val="28"/>
          <w:lang w:eastAsia="zh-CN"/>
        </w:rPr>
      </w:pPr>
      <w:r>
        <w:rPr>
          <w:rFonts w:eastAsia="宋体"/>
          <w:spacing w:val="-4"/>
          <w:sz w:val="28"/>
          <w:szCs w:val="28"/>
          <w:lang w:eastAsia="zh-CN"/>
        </w:rPr>
        <w:t>97c.</w:t>
      </w:r>
      <w:r>
        <w:rPr>
          <w:rFonts w:eastAsia="宋体"/>
          <w:sz w:val="28"/>
          <w:szCs w:val="28"/>
          <w:lang w:eastAsia="zh-CN"/>
        </w:rPr>
        <w:t>通过批准或验证在线创建账户</w:t>
      </w:r>
      <w:r>
        <w:rPr>
          <w:rFonts w:hint="eastAsia" w:eastAsia="宋体"/>
          <w:spacing w:val="-5"/>
          <w:sz w:val="28"/>
          <w:szCs w:val="28"/>
          <w:lang w:eastAsia="zh-CN"/>
        </w:rPr>
        <w:t>；</w:t>
      </w:r>
    </w:p>
    <w:p>
      <w:pPr>
        <w:pStyle w:val="5"/>
        <w:tabs>
          <w:tab w:val="left" w:pos="1371"/>
        </w:tabs>
        <w:spacing w:line="400" w:lineRule="exact"/>
        <w:ind w:firstLine="560" w:firstLineChars="200"/>
        <w:rPr>
          <w:rFonts w:eastAsia="宋体"/>
          <w:sz w:val="28"/>
          <w:szCs w:val="28"/>
          <w:lang w:eastAsia="zh-CN"/>
        </w:rPr>
      </w:pPr>
      <w:r>
        <w:rPr>
          <w:rFonts w:eastAsia="宋体"/>
          <w:sz w:val="28"/>
          <w:szCs w:val="28"/>
          <w:lang w:eastAsia="zh-CN"/>
        </w:rPr>
        <w:t>97d.通过电子邮件</w:t>
      </w:r>
    </w:p>
    <w:p>
      <w:pPr>
        <w:pStyle w:val="5"/>
        <w:tabs>
          <w:tab w:val="left" w:pos="1371"/>
        </w:tabs>
        <w:spacing w:line="400" w:lineRule="exact"/>
        <w:ind w:firstLine="544" w:firstLineChars="200"/>
        <w:rPr>
          <w:rFonts w:eastAsia="宋体"/>
          <w:sz w:val="28"/>
          <w:szCs w:val="28"/>
          <w:lang w:eastAsia="zh-CN"/>
        </w:rPr>
      </w:pPr>
      <w:r>
        <w:rPr>
          <w:rFonts w:eastAsia="宋体"/>
          <w:spacing w:val="-4"/>
          <w:sz w:val="28"/>
          <w:szCs w:val="28"/>
          <w:lang w:eastAsia="zh-CN"/>
        </w:rPr>
        <w:t>97e.</w:t>
      </w:r>
      <w:r>
        <w:rPr>
          <w:rFonts w:eastAsia="宋体"/>
          <w:sz w:val="28"/>
          <w:szCs w:val="28"/>
          <w:lang w:eastAsia="zh-CN"/>
        </w:rPr>
        <w:t>亲自</w:t>
      </w:r>
    </w:p>
    <w:p>
      <w:pPr>
        <w:pStyle w:val="5"/>
        <w:spacing w:line="400" w:lineRule="exact"/>
        <w:ind w:firstLine="560" w:firstLineChars="200"/>
        <w:rPr>
          <w:rFonts w:eastAsia="宋体"/>
          <w:sz w:val="28"/>
          <w:szCs w:val="28"/>
          <w:lang w:eastAsia="zh-CN"/>
        </w:rPr>
      </w:pPr>
      <w:r>
        <w:rPr>
          <w:rFonts w:eastAsia="宋体"/>
          <w:sz w:val="28"/>
          <w:szCs w:val="28"/>
          <w:lang w:eastAsia="zh-CN"/>
        </w:rPr>
        <w:t>97f.通过公证人</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rPr>
          <w:rFonts w:eastAsia="宋体"/>
          <w:sz w:val="28"/>
          <w:szCs w:val="28"/>
          <w:lang w:eastAsia="zh-CN"/>
        </w:rPr>
      </w:pPr>
      <w:r>
        <w:rPr>
          <w:rFonts w:eastAsia="宋体"/>
          <w:b/>
          <w:bCs/>
          <w:sz w:val="28"/>
          <w:szCs w:val="28"/>
          <w:lang w:eastAsia="zh-CN"/>
        </w:rPr>
        <w:t>98.</w:t>
      </w:r>
      <w:r>
        <w:rPr>
          <w:rFonts w:eastAsia="宋体"/>
          <w:b/>
          <w:sz w:val="28"/>
          <w:szCs w:val="28"/>
          <w:lang w:eastAsia="zh-CN"/>
        </w:rPr>
        <w:t>登记处的办事员(或任何其他第三方)是否审查或审查登记或搜索担保权益?</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rPr>
          <w:rFonts w:eastAsia="宋体"/>
          <w:sz w:val="28"/>
          <w:szCs w:val="28"/>
          <w:lang w:eastAsia="zh-CN"/>
        </w:rPr>
      </w:pPr>
    </w:p>
    <w:p>
      <w:pPr>
        <w:pStyle w:val="11"/>
        <w:tabs>
          <w:tab w:val="left" w:pos="561"/>
        </w:tabs>
        <w:spacing w:line="400" w:lineRule="exact"/>
        <w:ind w:left="0" w:firstLine="562" w:firstLineChars="200"/>
        <w:jc w:val="left"/>
        <w:rPr>
          <w:rFonts w:eastAsia="宋体"/>
          <w:sz w:val="28"/>
          <w:szCs w:val="28"/>
          <w:lang w:eastAsia="zh-CN"/>
        </w:rPr>
      </w:pPr>
      <w:r>
        <w:rPr>
          <w:rFonts w:eastAsia="宋体"/>
          <w:b/>
          <w:bCs/>
          <w:sz w:val="28"/>
          <w:szCs w:val="28"/>
          <w:lang w:eastAsia="zh-CN"/>
        </w:rPr>
        <w:t>99.</w:t>
      </w:r>
      <w:r>
        <w:rPr>
          <w:rFonts w:eastAsia="宋体"/>
          <w:b/>
          <w:sz w:val="28"/>
          <w:szCs w:val="28"/>
          <w:lang w:eastAsia="zh-CN"/>
        </w:rPr>
        <w:t>抵押物登记处是否有在线系统，可以进行担保权益的登记、修改、续展、注销和查询?</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before="6"/>
        <w:rPr>
          <w:sz w:val="23"/>
          <w:lang w:eastAsia="zh-CN"/>
        </w:rPr>
      </w:pPr>
    </w:p>
    <w:tbl>
      <w:tblPr>
        <w:tblStyle w:val="8"/>
        <w:tblW w:w="9448"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88"/>
        <w:gridCol w:w="1123"/>
        <w:gridCol w:w="1073"/>
        <w:gridCol w:w="13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8" w:type="dxa"/>
            <w:gridSpan w:val="4"/>
            <w:shd w:val="clear" w:color="auto" w:fill="CCD4EA"/>
            <w:vAlign w:val="center"/>
          </w:tcPr>
          <w:p>
            <w:pPr>
              <w:pStyle w:val="12"/>
              <w:spacing w:before="101"/>
              <w:jc w:val="both"/>
              <w:rPr>
                <w:rFonts w:eastAsia="宋体"/>
                <w:b/>
                <w:sz w:val="21"/>
                <w:szCs w:val="21"/>
              </w:rPr>
            </w:pPr>
            <w:r>
              <w:rPr>
                <w:rFonts w:eastAsia="宋体"/>
                <w:b/>
                <w:color w:val="2E5395"/>
                <w:sz w:val="21"/>
                <w:szCs w:val="21"/>
              </w:rPr>
              <w:t>2.1</w:t>
            </w:r>
            <w:r>
              <w:rPr>
                <w:rFonts w:eastAsia="宋体"/>
                <w:b/>
                <w:color w:val="2E5395"/>
                <w:sz w:val="21"/>
                <w:szCs w:val="21"/>
                <w:lang w:eastAsia="zh-CN"/>
              </w:rPr>
              <w:t>抵押</w:t>
            </w:r>
            <w:r>
              <w:rPr>
                <w:rFonts w:eastAsia="宋体"/>
                <w:b/>
                <w:color w:val="4471C4"/>
                <w:sz w:val="21"/>
                <w:szCs w:val="21"/>
              </w:rPr>
              <w:t>登记处的操作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8" w:type="dxa"/>
            <w:gridSpan w:val="4"/>
            <w:shd w:val="clear" w:color="auto" w:fill="E7EBF5"/>
            <w:vAlign w:val="center"/>
          </w:tcPr>
          <w:p>
            <w:pPr>
              <w:pStyle w:val="12"/>
              <w:spacing w:before="101"/>
              <w:ind w:left="467"/>
              <w:jc w:val="both"/>
              <w:rPr>
                <w:rFonts w:eastAsia="宋体"/>
                <w:b/>
                <w:sz w:val="21"/>
                <w:szCs w:val="21"/>
              </w:rPr>
            </w:pPr>
            <w:r>
              <w:rPr>
                <w:rFonts w:eastAsia="宋体"/>
                <w:b/>
                <w:sz w:val="21"/>
                <w:szCs w:val="21"/>
              </w:rPr>
              <w:t>2.1.1</w:t>
            </w:r>
            <w:r>
              <w:rPr>
                <w:rFonts w:eastAsia="宋体"/>
                <w:b/>
                <w:sz w:val="21"/>
                <w:szCs w:val="21"/>
                <w:lang w:eastAsia="zh-CN"/>
              </w:rPr>
              <w:t>抵押</w:t>
            </w:r>
            <w:r>
              <w:rPr>
                <w:rFonts w:eastAsia="宋体"/>
                <w:b/>
                <w:sz w:val="21"/>
                <w:szCs w:val="21"/>
              </w:rPr>
              <w:t>登记处的特点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888" w:type="dxa"/>
            <w:vAlign w:val="center"/>
          </w:tcPr>
          <w:p>
            <w:pPr>
              <w:pStyle w:val="12"/>
              <w:jc w:val="both"/>
              <w:rPr>
                <w:rFonts w:eastAsia="宋体"/>
                <w:b/>
                <w:sz w:val="21"/>
                <w:szCs w:val="21"/>
              </w:rPr>
            </w:pPr>
            <w:r>
              <w:rPr>
                <w:rFonts w:eastAsia="宋体"/>
                <w:b/>
                <w:spacing w:val="-2"/>
                <w:sz w:val="21"/>
                <w:szCs w:val="21"/>
              </w:rPr>
              <w:t>指标</w:t>
            </w:r>
          </w:p>
        </w:tc>
        <w:tc>
          <w:tcPr>
            <w:tcW w:w="1123" w:type="dxa"/>
            <w:vAlign w:val="center"/>
          </w:tcPr>
          <w:p>
            <w:pPr>
              <w:pStyle w:val="12"/>
              <w:spacing w:before="115"/>
              <w:jc w:val="center"/>
              <w:rPr>
                <w:rFonts w:eastAsia="宋体"/>
                <w:b/>
                <w:sz w:val="21"/>
                <w:szCs w:val="21"/>
              </w:rPr>
            </w:pPr>
            <w:r>
              <w:rPr>
                <w:rFonts w:eastAsia="宋体"/>
                <w:b/>
                <w:spacing w:val="-5"/>
                <w:sz w:val="21"/>
                <w:szCs w:val="21"/>
              </w:rPr>
              <w:t>FFP</w:t>
            </w:r>
          </w:p>
        </w:tc>
        <w:tc>
          <w:tcPr>
            <w:tcW w:w="1073" w:type="dxa"/>
            <w:vAlign w:val="center"/>
          </w:tcPr>
          <w:p>
            <w:pPr>
              <w:pStyle w:val="12"/>
              <w:spacing w:before="115"/>
              <w:ind w:left="108"/>
              <w:jc w:val="center"/>
              <w:rPr>
                <w:rFonts w:eastAsia="宋体"/>
                <w:b/>
                <w:sz w:val="21"/>
                <w:szCs w:val="21"/>
              </w:rPr>
            </w:pPr>
            <w:r>
              <w:rPr>
                <w:rFonts w:eastAsia="宋体"/>
                <w:b/>
                <w:spacing w:val="-5"/>
                <w:sz w:val="21"/>
                <w:szCs w:val="21"/>
              </w:rPr>
              <w:t>SBP</w:t>
            </w:r>
          </w:p>
        </w:tc>
        <w:tc>
          <w:tcPr>
            <w:tcW w:w="1364" w:type="dxa"/>
            <w:vAlign w:val="center"/>
          </w:tcPr>
          <w:p>
            <w:pPr>
              <w:pStyle w:val="12"/>
              <w:spacing w:before="115"/>
              <w:jc w:val="center"/>
              <w:rPr>
                <w:rFonts w:eastAsia="宋体"/>
                <w:b/>
                <w:sz w:val="21"/>
                <w:szCs w:val="21"/>
              </w:rPr>
            </w:pPr>
            <w:r>
              <w:rPr>
                <w:rFonts w:hint="eastAsia" w:eastAsia="宋体"/>
                <w:b/>
                <w:sz w:val="21"/>
                <w:szCs w:val="21"/>
                <w:lang w:eastAsia="zh-CN"/>
              </w:rPr>
              <w:t>总</w:t>
            </w: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5888" w:type="dxa"/>
            <w:tcBorders>
              <w:bottom w:val="nil"/>
            </w:tcBorders>
            <w:vAlign w:val="center"/>
          </w:tcPr>
          <w:p>
            <w:pPr>
              <w:pStyle w:val="12"/>
              <w:spacing w:line="215" w:lineRule="exact"/>
              <w:jc w:val="both"/>
              <w:rPr>
                <w:rFonts w:eastAsia="宋体"/>
                <w:b/>
                <w:sz w:val="21"/>
                <w:szCs w:val="21"/>
              </w:rPr>
            </w:pPr>
            <w:r>
              <w:rPr>
                <w:rFonts w:eastAsia="宋体"/>
                <w:b/>
                <w:sz w:val="21"/>
                <w:szCs w:val="21"/>
              </w:rPr>
              <w:t>统一抵押物登记</w:t>
            </w:r>
          </w:p>
        </w:tc>
        <w:tc>
          <w:tcPr>
            <w:tcW w:w="1123" w:type="dxa"/>
            <w:tcBorders>
              <w:bottom w:val="nil"/>
            </w:tcBorders>
            <w:vAlign w:val="center"/>
          </w:tcPr>
          <w:p>
            <w:pPr>
              <w:pStyle w:val="12"/>
              <w:spacing w:line="215" w:lineRule="exact"/>
              <w:jc w:val="center"/>
              <w:rPr>
                <w:rFonts w:eastAsia="宋体"/>
                <w:b/>
                <w:sz w:val="21"/>
                <w:szCs w:val="21"/>
              </w:rPr>
            </w:pPr>
            <w:r>
              <w:rPr>
                <w:rFonts w:eastAsia="宋体"/>
                <w:b/>
                <w:w w:val="99"/>
                <w:sz w:val="21"/>
                <w:szCs w:val="21"/>
              </w:rPr>
              <w:t>1</w:t>
            </w:r>
          </w:p>
        </w:tc>
        <w:tc>
          <w:tcPr>
            <w:tcW w:w="1073" w:type="dxa"/>
            <w:tcBorders>
              <w:bottom w:val="nil"/>
            </w:tcBorders>
            <w:vAlign w:val="center"/>
          </w:tcPr>
          <w:p>
            <w:pPr>
              <w:pStyle w:val="12"/>
              <w:spacing w:line="215" w:lineRule="exact"/>
              <w:ind w:left="108"/>
              <w:jc w:val="center"/>
              <w:rPr>
                <w:rFonts w:eastAsia="宋体"/>
                <w:b/>
                <w:sz w:val="21"/>
                <w:szCs w:val="21"/>
              </w:rPr>
            </w:pPr>
            <w:r>
              <w:rPr>
                <w:rFonts w:eastAsia="宋体"/>
                <w:b/>
                <w:w w:val="99"/>
                <w:sz w:val="21"/>
                <w:szCs w:val="21"/>
              </w:rPr>
              <w:t>1</w:t>
            </w:r>
          </w:p>
        </w:tc>
        <w:tc>
          <w:tcPr>
            <w:tcW w:w="1364" w:type="dxa"/>
            <w:tcBorders>
              <w:bottom w:val="nil"/>
            </w:tcBorders>
            <w:vAlign w:val="center"/>
          </w:tcPr>
          <w:p>
            <w:pPr>
              <w:pStyle w:val="12"/>
              <w:spacing w:line="215" w:lineRule="exact"/>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888" w:type="dxa"/>
            <w:tcBorders>
              <w:top w:val="nil"/>
              <w:bottom w:val="nil"/>
            </w:tcBorders>
            <w:vAlign w:val="center"/>
          </w:tcPr>
          <w:p>
            <w:pPr>
              <w:pStyle w:val="12"/>
              <w:tabs>
                <w:tab w:val="left" w:pos="467"/>
              </w:tabs>
              <w:spacing w:line="215" w:lineRule="exact"/>
              <w:jc w:val="both"/>
              <w:rPr>
                <w:rFonts w:eastAsia="宋体"/>
                <w:sz w:val="21"/>
                <w:szCs w:val="21"/>
              </w:rPr>
            </w:pPr>
            <w:r>
              <w:rPr>
                <w:rFonts w:eastAsia="宋体"/>
                <w:b/>
                <w:spacing w:val="-10"/>
                <w:sz w:val="21"/>
                <w:szCs w:val="21"/>
              </w:rPr>
              <w:t>-</w:t>
            </w:r>
            <w:r>
              <w:rPr>
                <w:rFonts w:eastAsia="宋体"/>
                <w:b/>
                <w:sz w:val="21"/>
                <w:szCs w:val="21"/>
              </w:rPr>
              <w:tab/>
            </w:r>
            <w:r>
              <w:rPr>
                <w:rFonts w:eastAsia="宋体"/>
                <w:b/>
                <w:sz w:val="21"/>
                <w:szCs w:val="21"/>
                <w:lang w:eastAsia="zh-CN"/>
              </w:rPr>
              <w:t>登记处正在运作</w:t>
            </w:r>
            <w:r>
              <w:rPr>
                <w:rFonts w:eastAsia="宋体"/>
                <w:sz w:val="21"/>
                <w:szCs w:val="21"/>
              </w:rPr>
              <w:t>(83)</w:t>
            </w:r>
          </w:p>
        </w:tc>
        <w:tc>
          <w:tcPr>
            <w:tcW w:w="1123" w:type="dxa"/>
            <w:tcBorders>
              <w:top w:val="nil"/>
              <w:bottom w:val="nil"/>
            </w:tcBorders>
            <w:vAlign w:val="center"/>
          </w:tcPr>
          <w:p>
            <w:pPr>
              <w:pStyle w:val="12"/>
              <w:spacing w:line="215" w:lineRule="exact"/>
              <w:jc w:val="center"/>
              <w:rPr>
                <w:rFonts w:eastAsia="宋体"/>
                <w:sz w:val="21"/>
                <w:szCs w:val="21"/>
              </w:rPr>
            </w:pPr>
            <w:r>
              <w:rPr>
                <w:rFonts w:eastAsia="宋体"/>
                <w:spacing w:val="-4"/>
                <w:sz w:val="21"/>
                <w:szCs w:val="21"/>
              </w:rPr>
              <w:t>0.25</w:t>
            </w:r>
          </w:p>
        </w:tc>
        <w:tc>
          <w:tcPr>
            <w:tcW w:w="1073" w:type="dxa"/>
            <w:tcBorders>
              <w:top w:val="nil"/>
              <w:bottom w:val="nil"/>
            </w:tcBorders>
            <w:vAlign w:val="center"/>
          </w:tcPr>
          <w:p>
            <w:pPr>
              <w:pStyle w:val="12"/>
              <w:spacing w:line="215" w:lineRule="exact"/>
              <w:ind w:left="108"/>
              <w:jc w:val="center"/>
              <w:rPr>
                <w:rFonts w:eastAsia="宋体"/>
                <w:sz w:val="21"/>
                <w:szCs w:val="21"/>
              </w:rPr>
            </w:pPr>
            <w:r>
              <w:rPr>
                <w:rFonts w:eastAsia="宋体"/>
                <w:spacing w:val="-4"/>
                <w:sz w:val="21"/>
                <w:szCs w:val="21"/>
              </w:rPr>
              <w:t>0.25</w:t>
            </w:r>
          </w:p>
        </w:tc>
        <w:tc>
          <w:tcPr>
            <w:tcW w:w="1364" w:type="dxa"/>
            <w:tcBorders>
              <w:top w:val="nil"/>
              <w:bottom w:val="nil"/>
            </w:tcBorders>
            <w:vAlign w:val="center"/>
          </w:tcPr>
          <w:p>
            <w:pPr>
              <w:pStyle w:val="12"/>
              <w:spacing w:line="215" w:lineRule="exact"/>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5888" w:type="dxa"/>
            <w:tcBorders>
              <w:top w:val="nil"/>
              <w:bottom w:val="nil"/>
            </w:tcBorders>
            <w:vAlign w:val="center"/>
          </w:tcPr>
          <w:p>
            <w:pPr>
              <w:pStyle w:val="12"/>
              <w:tabs>
                <w:tab w:val="left" w:pos="467"/>
              </w:tabs>
              <w:spacing w:line="214"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b/>
                <w:sz w:val="21"/>
                <w:szCs w:val="21"/>
                <w:lang w:eastAsia="zh-CN"/>
              </w:rPr>
              <w:t>登记</w:t>
            </w:r>
            <w:r>
              <w:rPr>
                <w:rFonts w:eastAsia="宋体"/>
                <w:sz w:val="21"/>
                <w:szCs w:val="21"/>
                <w:lang w:eastAsia="zh-CN"/>
              </w:rPr>
              <w:t>是集中的或在不同的地理区域之间有链接(84或87和88)</w:t>
            </w:r>
          </w:p>
        </w:tc>
        <w:tc>
          <w:tcPr>
            <w:tcW w:w="1123" w:type="dxa"/>
            <w:tcBorders>
              <w:top w:val="nil"/>
              <w:bottom w:val="nil"/>
            </w:tcBorders>
            <w:vAlign w:val="center"/>
          </w:tcPr>
          <w:p>
            <w:pPr>
              <w:pStyle w:val="12"/>
              <w:spacing w:line="214" w:lineRule="exact"/>
              <w:jc w:val="center"/>
              <w:rPr>
                <w:rFonts w:eastAsia="宋体"/>
                <w:sz w:val="21"/>
                <w:szCs w:val="21"/>
              </w:rPr>
            </w:pPr>
            <w:r>
              <w:rPr>
                <w:rFonts w:eastAsia="宋体"/>
                <w:spacing w:val="-4"/>
                <w:sz w:val="21"/>
                <w:szCs w:val="21"/>
              </w:rPr>
              <w:t>0.25</w:t>
            </w:r>
          </w:p>
        </w:tc>
        <w:tc>
          <w:tcPr>
            <w:tcW w:w="1073" w:type="dxa"/>
            <w:tcBorders>
              <w:top w:val="nil"/>
              <w:bottom w:val="nil"/>
            </w:tcBorders>
            <w:vAlign w:val="center"/>
          </w:tcPr>
          <w:p>
            <w:pPr>
              <w:pStyle w:val="12"/>
              <w:spacing w:line="214" w:lineRule="exact"/>
              <w:ind w:left="108"/>
              <w:jc w:val="center"/>
              <w:rPr>
                <w:rFonts w:eastAsia="宋体"/>
                <w:sz w:val="21"/>
                <w:szCs w:val="21"/>
              </w:rPr>
            </w:pPr>
            <w:r>
              <w:rPr>
                <w:rFonts w:eastAsia="宋体"/>
                <w:spacing w:val="-4"/>
                <w:sz w:val="21"/>
                <w:szCs w:val="21"/>
              </w:rPr>
              <w:t>0.25</w:t>
            </w:r>
          </w:p>
        </w:tc>
        <w:tc>
          <w:tcPr>
            <w:tcW w:w="1364" w:type="dxa"/>
            <w:tcBorders>
              <w:top w:val="nil"/>
              <w:bottom w:val="nil"/>
            </w:tcBorders>
            <w:vAlign w:val="center"/>
          </w:tcPr>
          <w:p>
            <w:pPr>
              <w:pStyle w:val="12"/>
              <w:spacing w:line="214" w:lineRule="exact"/>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5888" w:type="dxa"/>
            <w:tcBorders>
              <w:top w:val="nil"/>
              <w:bottom w:val="nil"/>
            </w:tcBorders>
            <w:vAlign w:val="center"/>
          </w:tcPr>
          <w:p>
            <w:pPr>
              <w:pStyle w:val="12"/>
              <w:tabs>
                <w:tab w:val="left" w:pos="467"/>
              </w:tabs>
              <w:spacing w:line="221"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要求登记非占有性担保权益是是必需的，并且登记处对所有类型的借款人或债权人开放(85分和86分)</w:t>
            </w:r>
          </w:p>
        </w:tc>
        <w:tc>
          <w:tcPr>
            <w:tcW w:w="1123" w:type="dxa"/>
            <w:tcBorders>
              <w:top w:val="nil"/>
              <w:bottom w:val="nil"/>
            </w:tcBorders>
            <w:vAlign w:val="center"/>
          </w:tcPr>
          <w:p>
            <w:pPr>
              <w:pStyle w:val="12"/>
              <w:spacing w:line="221" w:lineRule="exact"/>
              <w:jc w:val="center"/>
              <w:rPr>
                <w:rFonts w:eastAsia="宋体"/>
                <w:sz w:val="21"/>
                <w:szCs w:val="21"/>
              </w:rPr>
            </w:pPr>
            <w:r>
              <w:rPr>
                <w:rFonts w:eastAsia="宋体"/>
                <w:spacing w:val="-4"/>
                <w:sz w:val="21"/>
                <w:szCs w:val="21"/>
              </w:rPr>
              <w:t>0.25</w:t>
            </w:r>
          </w:p>
        </w:tc>
        <w:tc>
          <w:tcPr>
            <w:tcW w:w="1073" w:type="dxa"/>
            <w:tcBorders>
              <w:top w:val="nil"/>
              <w:bottom w:val="nil"/>
            </w:tcBorders>
            <w:vAlign w:val="center"/>
          </w:tcPr>
          <w:p>
            <w:pPr>
              <w:pStyle w:val="12"/>
              <w:spacing w:line="221" w:lineRule="exact"/>
              <w:ind w:left="108"/>
              <w:jc w:val="center"/>
              <w:rPr>
                <w:rFonts w:eastAsia="宋体"/>
                <w:sz w:val="21"/>
                <w:szCs w:val="21"/>
              </w:rPr>
            </w:pPr>
            <w:r>
              <w:rPr>
                <w:rFonts w:eastAsia="宋体"/>
                <w:spacing w:val="-4"/>
                <w:sz w:val="21"/>
                <w:szCs w:val="21"/>
              </w:rPr>
              <w:t>0.25</w:t>
            </w:r>
          </w:p>
        </w:tc>
        <w:tc>
          <w:tcPr>
            <w:tcW w:w="1364" w:type="dxa"/>
            <w:tcBorders>
              <w:top w:val="nil"/>
              <w:bottom w:val="nil"/>
            </w:tcBorders>
            <w:vAlign w:val="center"/>
          </w:tcPr>
          <w:p>
            <w:pPr>
              <w:pStyle w:val="12"/>
              <w:spacing w:line="221" w:lineRule="exact"/>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0" w:hRule="atLeast"/>
        </w:trPr>
        <w:tc>
          <w:tcPr>
            <w:tcW w:w="5888" w:type="dxa"/>
            <w:tcBorders>
              <w:top w:val="nil"/>
              <w:bottom w:val="nil"/>
            </w:tcBorders>
            <w:vAlign w:val="center"/>
          </w:tcPr>
          <w:p>
            <w:pPr>
              <w:pStyle w:val="12"/>
              <w:tabs>
                <w:tab w:val="left" w:pos="467"/>
              </w:tabs>
              <w:spacing w:line="244"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任何人都可以不受经济中任何地理位置的限制地访问登记处中的数据，登记处有一个在线数据库，可以通过债务人的姓名或唯一标识符和抵押品的序列号进行搜索(89、90和91)</w:t>
            </w:r>
          </w:p>
        </w:tc>
        <w:tc>
          <w:tcPr>
            <w:tcW w:w="1123" w:type="dxa"/>
            <w:tcBorders>
              <w:top w:val="nil"/>
              <w:bottom w:val="nil"/>
            </w:tcBorders>
            <w:vAlign w:val="center"/>
          </w:tcPr>
          <w:p>
            <w:pPr>
              <w:pStyle w:val="12"/>
              <w:spacing w:line="220" w:lineRule="exact"/>
              <w:jc w:val="center"/>
              <w:rPr>
                <w:rFonts w:eastAsia="宋体"/>
                <w:sz w:val="21"/>
                <w:szCs w:val="21"/>
              </w:rPr>
            </w:pPr>
            <w:r>
              <w:rPr>
                <w:rFonts w:eastAsia="宋体"/>
                <w:spacing w:val="-4"/>
                <w:sz w:val="21"/>
                <w:szCs w:val="21"/>
              </w:rPr>
              <w:t>0.25</w:t>
            </w:r>
          </w:p>
        </w:tc>
        <w:tc>
          <w:tcPr>
            <w:tcW w:w="1073" w:type="dxa"/>
            <w:tcBorders>
              <w:top w:val="nil"/>
              <w:bottom w:val="nil"/>
            </w:tcBorders>
            <w:vAlign w:val="center"/>
          </w:tcPr>
          <w:p>
            <w:pPr>
              <w:pStyle w:val="12"/>
              <w:spacing w:line="220" w:lineRule="exact"/>
              <w:ind w:left="108"/>
              <w:jc w:val="center"/>
              <w:rPr>
                <w:rFonts w:eastAsia="宋体"/>
                <w:sz w:val="21"/>
                <w:szCs w:val="21"/>
              </w:rPr>
            </w:pPr>
            <w:r>
              <w:rPr>
                <w:rFonts w:eastAsia="宋体"/>
                <w:spacing w:val="-4"/>
                <w:sz w:val="21"/>
                <w:szCs w:val="21"/>
              </w:rPr>
              <w:t>0.25</w:t>
            </w:r>
          </w:p>
        </w:tc>
        <w:tc>
          <w:tcPr>
            <w:tcW w:w="1364" w:type="dxa"/>
            <w:tcBorders>
              <w:top w:val="nil"/>
              <w:bottom w:val="nil"/>
            </w:tcBorders>
            <w:vAlign w:val="center"/>
          </w:tcPr>
          <w:p>
            <w:pPr>
              <w:pStyle w:val="12"/>
              <w:spacing w:line="220" w:lineRule="exact"/>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5888" w:type="dxa"/>
            <w:vAlign w:val="center"/>
          </w:tcPr>
          <w:p>
            <w:pPr>
              <w:pStyle w:val="12"/>
              <w:spacing w:before="17" w:line="224" w:lineRule="exact"/>
              <w:jc w:val="both"/>
              <w:rPr>
                <w:rFonts w:eastAsia="宋体"/>
                <w:sz w:val="21"/>
                <w:szCs w:val="21"/>
                <w:lang w:eastAsia="zh-CN"/>
              </w:rPr>
            </w:pPr>
            <w:r>
              <w:rPr>
                <w:rFonts w:eastAsia="宋体"/>
                <w:b/>
                <w:sz w:val="21"/>
                <w:szCs w:val="21"/>
                <w:lang w:eastAsia="zh-CN"/>
              </w:rPr>
              <w:t>基于通知</w:t>
            </w:r>
            <w:r>
              <w:rPr>
                <w:rFonts w:eastAsia="宋体"/>
                <w:sz w:val="21"/>
                <w:szCs w:val="21"/>
                <w:lang w:eastAsia="zh-CN"/>
              </w:rPr>
              <w:t>的</w:t>
            </w:r>
            <w:r>
              <w:rPr>
                <w:rFonts w:eastAsia="宋体"/>
                <w:b/>
                <w:spacing w:val="-6"/>
                <w:sz w:val="21"/>
                <w:szCs w:val="21"/>
                <w:lang w:eastAsia="zh-CN"/>
              </w:rPr>
              <w:t>抵押品</w:t>
            </w:r>
            <w:r>
              <w:rPr>
                <w:rFonts w:eastAsia="宋体"/>
                <w:b/>
                <w:sz w:val="21"/>
                <w:szCs w:val="21"/>
                <w:lang w:eastAsia="zh-CN"/>
              </w:rPr>
              <w:t>登记</w:t>
            </w:r>
            <w:r>
              <w:rPr>
                <w:rFonts w:eastAsia="宋体"/>
                <w:spacing w:val="-5"/>
                <w:sz w:val="21"/>
                <w:szCs w:val="21"/>
                <w:lang w:eastAsia="zh-CN"/>
              </w:rPr>
              <w:t>(92和93和94和95)</w:t>
            </w:r>
          </w:p>
        </w:tc>
        <w:tc>
          <w:tcPr>
            <w:tcW w:w="1123" w:type="dxa"/>
            <w:vAlign w:val="center"/>
          </w:tcPr>
          <w:p>
            <w:pPr>
              <w:pStyle w:val="12"/>
              <w:spacing w:before="17" w:line="224" w:lineRule="exact"/>
              <w:jc w:val="center"/>
              <w:rPr>
                <w:rFonts w:eastAsia="宋体"/>
                <w:b/>
                <w:sz w:val="21"/>
                <w:szCs w:val="21"/>
              </w:rPr>
            </w:pPr>
            <w:r>
              <w:rPr>
                <w:rFonts w:eastAsia="宋体"/>
                <w:b/>
                <w:w w:val="99"/>
                <w:sz w:val="21"/>
                <w:szCs w:val="21"/>
              </w:rPr>
              <w:t>1</w:t>
            </w:r>
          </w:p>
        </w:tc>
        <w:tc>
          <w:tcPr>
            <w:tcW w:w="1073" w:type="dxa"/>
            <w:vAlign w:val="center"/>
          </w:tcPr>
          <w:p>
            <w:pPr>
              <w:pStyle w:val="12"/>
              <w:spacing w:before="17" w:line="224" w:lineRule="exact"/>
              <w:ind w:left="108"/>
              <w:jc w:val="center"/>
              <w:rPr>
                <w:rFonts w:eastAsia="宋体"/>
                <w:b/>
                <w:sz w:val="21"/>
                <w:szCs w:val="21"/>
              </w:rPr>
            </w:pPr>
            <w:r>
              <w:rPr>
                <w:rFonts w:eastAsia="宋体"/>
                <w:b/>
                <w:w w:val="99"/>
                <w:sz w:val="21"/>
                <w:szCs w:val="21"/>
              </w:rPr>
              <w:t>1</w:t>
            </w:r>
          </w:p>
        </w:tc>
        <w:tc>
          <w:tcPr>
            <w:tcW w:w="1364" w:type="dxa"/>
            <w:vAlign w:val="center"/>
          </w:tcPr>
          <w:p>
            <w:pPr>
              <w:pStyle w:val="12"/>
              <w:spacing w:before="17" w:line="224" w:lineRule="exact"/>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888" w:type="dxa"/>
            <w:vAlign w:val="center"/>
          </w:tcPr>
          <w:p>
            <w:pPr>
              <w:pStyle w:val="12"/>
              <w:spacing w:line="230" w:lineRule="atLeast"/>
              <w:ind w:right="14"/>
              <w:jc w:val="both"/>
              <w:rPr>
                <w:rFonts w:eastAsia="宋体"/>
                <w:sz w:val="21"/>
                <w:szCs w:val="21"/>
                <w:lang w:eastAsia="zh-CN"/>
              </w:rPr>
            </w:pPr>
            <w:r>
              <w:rPr>
                <w:rFonts w:eastAsia="宋体"/>
                <w:b/>
                <w:sz w:val="21"/>
                <w:szCs w:val="21"/>
                <w:lang w:eastAsia="zh-CN"/>
              </w:rPr>
              <w:t>现代担保登记和访问数据</w:t>
            </w:r>
            <w:r>
              <w:rPr>
                <w:rFonts w:eastAsia="宋体"/>
                <w:sz w:val="21"/>
                <w:szCs w:val="21"/>
                <w:lang w:eastAsia="zh-CN"/>
              </w:rPr>
              <w:t>(96</w:t>
            </w:r>
            <w:r>
              <w:rPr>
                <w:rFonts w:eastAsia="宋体"/>
                <w:spacing w:val="-4"/>
                <w:sz w:val="21"/>
                <w:szCs w:val="21"/>
                <w:lang w:eastAsia="zh-CN"/>
              </w:rPr>
              <w:t>、</w:t>
            </w:r>
            <w:r>
              <w:rPr>
                <w:rFonts w:eastAsia="宋体"/>
                <w:sz w:val="21"/>
                <w:szCs w:val="21"/>
                <w:lang w:eastAsia="zh-CN"/>
              </w:rPr>
              <w:t>97</w:t>
            </w:r>
            <w:r>
              <w:rPr>
                <w:rFonts w:eastAsia="宋体"/>
                <w:spacing w:val="-5"/>
                <w:sz w:val="21"/>
                <w:szCs w:val="21"/>
                <w:lang w:eastAsia="zh-CN"/>
              </w:rPr>
              <w:t>、98、99、18和19)</w:t>
            </w:r>
          </w:p>
        </w:tc>
        <w:tc>
          <w:tcPr>
            <w:tcW w:w="1123" w:type="dxa"/>
            <w:vAlign w:val="center"/>
          </w:tcPr>
          <w:p>
            <w:pPr>
              <w:pStyle w:val="12"/>
              <w:spacing w:before="115"/>
              <w:jc w:val="center"/>
              <w:rPr>
                <w:rFonts w:eastAsia="宋体"/>
                <w:b/>
                <w:sz w:val="21"/>
                <w:szCs w:val="21"/>
              </w:rPr>
            </w:pPr>
            <w:r>
              <w:rPr>
                <w:rFonts w:eastAsia="宋体"/>
                <w:b/>
                <w:w w:val="99"/>
                <w:sz w:val="21"/>
                <w:szCs w:val="21"/>
              </w:rPr>
              <w:t>1</w:t>
            </w:r>
          </w:p>
        </w:tc>
        <w:tc>
          <w:tcPr>
            <w:tcW w:w="1073" w:type="dxa"/>
            <w:vAlign w:val="center"/>
          </w:tcPr>
          <w:p>
            <w:pPr>
              <w:pStyle w:val="12"/>
              <w:spacing w:before="115"/>
              <w:ind w:left="108"/>
              <w:jc w:val="center"/>
              <w:rPr>
                <w:rFonts w:eastAsia="宋体"/>
                <w:b/>
                <w:sz w:val="21"/>
                <w:szCs w:val="21"/>
              </w:rPr>
            </w:pPr>
            <w:r>
              <w:rPr>
                <w:rFonts w:eastAsia="宋体"/>
                <w:b/>
                <w:w w:val="99"/>
                <w:sz w:val="21"/>
                <w:szCs w:val="21"/>
              </w:rPr>
              <w:t>1</w:t>
            </w:r>
          </w:p>
        </w:tc>
        <w:tc>
          <w:tcPr>
            <w:tcW w:w="1364" w:type="dxa"/>
            <w:vAlign w:val="center"/>
          </w:tcPr>
          <w:p>
            <w:pPr>
              <w:pStyle w:val="12"/>
              <w:spacing w:before="115"/>
              <w:ind w:left="127"/>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888" w:type="dxa"/>
            <w:shd w:val="clear" w:color="auto" w:fill="FFC000"/>
            <w:vAlign w:val="center"/>
          </w:tcPr>
          <w:p>
            <w:pPr>
              <w:pStyle w:val="12"/>
              <w:spacing w:before="27"/>
              <w:jc w:val="both"/>
              <w:rPr>
                <w:rFonts w:eastAsia="宋体"/>
                <w:b/>
                <w:sz w:val="21"/>
                <w:szCs w:val="21"/>
              </w:rPr>
            </w:pPr>
            <w:r>
              <w:rPr>
                <w:rFonts w:hint="eastAsia" w:eastAsia="宋体"/>
                <w:b/>
                <w:sz w:val="21"/>
                <w:szCs w:val="21"/>
                <w:lang w:eastAsia="zh-CN"/>
              </w:rPr>
              <w:t>总计</w:t>
            </w:r>
          </w:p>
        </w:tc>
        <w:tc>
          <w:tcPr>
            <w:tcW w:w="1123" w:type="dxa"/>
            <w:shd w:val="clear" w:color="auto" w:fill="FFC000"/>
            <w:vAlign w:val="center"/>
          </w:tcPr>
          <w:p>
            <w:pPr>
              <w:pStyle w:val="12"/>
              <w:spacing w:before="27"/>
              <w:jc w:val="center"/>
              <w:rPr>
                <w:rFonts w:eastAsia="宋体"/>
                <w:b/>
                <w:sz w:val="21"/>
                <w:szCs w:val="21"/>
              </w:rPr>
            </w:pPr>
            <w:r>
              <w:rPr>
                <w:rFonts w:eastAsia="宋体"/>
                <w:b/>
                <w:w w:val="99"/>
                <w:sz w:val="21"/>
                <w:szCs w:val="21"/>
              </w:rPr>
              <w:t>3.</w:t>
            </w:r>
          </w:p>
        </w:tc>
        <w:tc>
          <w:tcPr>
            <w:tcW w:w="1073" w:type="dxa"/>
            <w:shd w:val="clear" w:color="auto" w:fill="FFC000"/>
            <w:vAlign w:val="center"/>
          </w:tcPr>
          <w:p>
            <w:pPr>
              <w:pStyle w:val="12"/>
              <w:spacing w:before="27"/>
              <w:ind w:left="108"/>
              <w:jc w:val="center"/>
              <w:rPr>
                <w:rFonts w:eastAsia="宋体"/>
                <w:b/>
                <w:sz w:val="21"/>
                <w:szCs w:val="21"/>
              </w:rPr>
            </w:pPr>
            <w:r>
              <w:rPr>
                <w:rFonts w:eastAsia="宋体"/>
                <w:b/>
                <w:w w:val="99"/>
                <w:sz w:val="21"/>
                <w:szCs w:val="21"/>
              </w:rPr>
              <w:t>3.</w:t>
            </w:r>
          </w:p>
        </w:tc>
        <w:tc>
          <w:tcPr>
            <w:tcW w:w="1364" w:type="dxa"/>
            <w:shd w:val="clear" w:color="auto" w:fill="FFC000"/>
            <w:vAlign w:val="center"/>
          </w:tcPr>
          <w:p>
            <w:pPr>
              <w:pStyle w:val="12"/>
              <w:spacing w:before="27"/>
              <w:ind w:left="127"/>
              <w:jc w:val="center"/>
              <w:rPr>
                <w:rFonts w:eastAsia="宋体"/>
                <w:b/>
                <w:sz w:val="21"/>
                <w:szCs w:val="21"/>
              </w:rPr>
            </w:pPr>
            <w:r>
              <w:rPr>
                <w:rFonts w:eastAsia="宋体"/>
                <w:b/>
                <w:w w:val="99"/>
                <w:sz w:val="21"/>
                <w:szCs w:val="21"/>
              </w:rPr>
              <w:t>6</w:t>
            </w:r>
          </w:p>
        </w:tc>
      </w:tr>
    </w:tbl>
    <w:p>
      <w:pPr>
        <w:spacing w:before="6"/>
        <w:ind w:left="200"/>
        <w:rPr>
          <w:sz w:val="20"/>
          <w:lang w:eastAsia="zh-CN"/>
        </w:rPr>
      </w:pPr>
      <w:r>
        <w:rPr>
          <w:rFonts w:eastAsia="宋体"/>
          <w:i/>
          <w:sz w:val="20"/>
          <w:lang w:eastAsia="zh-CN"/>
        </w:rPr>
        <w:t>注</w:t>
      </w:r>
      <w:r>
        <w:rPr>
          <w:rFonts w:hint="eastAsia" w:eastAsia="宋体"/>
          <w:i/>
          <w:sz w:val="20"/>
          <w:lang w:eastAsia="zh-CN"/>
        </w:rPr>
        <w:t>：</w:t>
      </w:r>
      <w:r>
        <w:rPr>
          <w:rFonts w:eastAsia="宋体"/>
          <w:sz w:val="20"/>
          <w:lang w:eastAsia="zh-CN"/>
        </w:rPr>
        <w:t>FFP =企业灵活度得分</w:t>
      </w:r>
      <w:r>
        <w:rPr>
          <w:rFonts w:hint="eastAsia" w:eastAsia="宋体"/>
          <w:sz w:val="20"/>
          <w:lang w:eastAsia="zh-CN"/>
        </w:rPr>
        <w:t>；</w:t>
      </w:r>
      <w:r>
        <w:rPr>
          <w:rFonts w:eastAsia="宋体"/>
          <w:sz w:val="20"/>
          <w:lang w:eastAsia="zh-CN"/>
        </w:rPr>
        <w:t>SBP =社会效益得分。</w:t>
      </w:r>
    </w:p>
    <w:p>
      <w:pPr>
        <w:rPr>
          <w:sz w:val="20"/>
          <w:lang w:eastAsia="zh-CN"/>
        </w:rPr>
        <w:sectPr>
          <w:pgSz w:w="12240" w:h="15840"/>
          <w:pgMar w:top="1440" w:right="1800" w:bottom="1440" w:left="1800" w:header="720" w:footer="720" w:gutter="0"/>
          <w:cols w:space="720" w:num="1"/>
        </w:sectPr>
      </w:pPr>
    </w:p>
    <w:p>
      <w:pPr>
        <w:pStyle w:val="4"/>
        <w:jc w:val="center"/>
        <w:rPr>
          <w:rFonts w:eastAsia="宋体"/>
          <w:sz w:val="28"/>
          <w:szCs w:val="28"/>
          <w:lang w:eastAsia="zh-CN"/>
        </w:rPr>
      </w:pPr>
      <w:r>
        <w:rPr>
          <w:rFonts w:eastAsia="宋体"/>
          <w:color w:val="4F81BD" w:themeColor="accent1"/>
          <w:sz w:val="28"/>
          <w:szCs w:val="28"/>
          <w:lang w:eastAsia="zh-CN"/>
          <w14:textFill>
            <w14:solidFill>
              <w14:schemeClr w14:val="accent1"/>
            </w14:solidFill>
          </w14:textFill>
        </w:rPr>
        <w:t>电子支付的法规质量</w:t>
      </w:r>
    </w:p>
    <w:p>
      <w:pPr>
        <w:spacing w:line="400" w:lineRule="exact"/>
        <w:ind w:firstLine="560" w:firstLineChars="200"/>
        <w:jc w:val="both"/>
        <w:rPr>
          <w:rFonts w:eastAsia="宋体"/>
          <w:i/>
          <w:sz w:val="28"/>
          <w:szCs w:val="28"/>
          <w:lang w:eastAsia="zh-CN"/>
        </w:rPr>
      </w:pPr>
      <w:r>
        <w:rPr>
          <w:rFonts w:eastAsia="宋体"/>
          <w:i/>
          <w:sz w:val="28"/>
          <w:szCs w:val="28"/>
          <w:lang w:eastAsia="zh-CN"/>
        </w:rPr>
        <w:t>下面的表格列出了每个维度下的所有指标(包括其组成部分，如果适用的话)，并在括号中注明了相应的问题编号。为了便于参考，每个表格前都列出了这些问题。</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对于Y/N的问题，Y的回答占分数，并被认为是良好的做法，除非另有标记</w:t>
      </w:r>
      <w:r>
        <w:rPr>
          <w:rFonts w:hint="eastAsia" w:eastAsia="宋体"/>
          <w:i/>
          <w:sz w:val="28"/>
          <w:szCs w:val="28"/>
          <w:lang w:eastAsia="zh-CN"/>
        </w:rPr>
        <w:t>“</w:t>
      </w:r>
      <w:r>
        <w:rPr>
          <w:rFonts w:eastAsia="宋体"/>
          <w:i/>
          <w:sz w:val="28"/>
          <w:szCs w:val="28"/>
          <w:lang w:eastAsia="zh-CN"/>
        </w:rPr>
        <w:t>Y/N</w:t>
      </w:r>
      <w:r>
        <w:rPr>
          <w:rFonts w:hint="eastAsia" w:eastAsia="宋体"/>
          <w:i/>
          <w:sz w:val="28"/>
          <w:szCs w:val="28"/>
          <w:lang w:eastAsia="zh-CN"/>
        </w:rPr>
        <w:t>；</w:t>
      </w:r>
      <w:r>
        <w:rPr>
          <w:rFonts w:eastAsia="宋体"/>
          <w:i/>
          <w:sz w:val="28"/>
          <w:szCs w:val="28"/>
          <w:lang w:eastAsia="zh-CN"/>
        </w:rPr>
        <w:t>N - 良好做法</w:t>
      </w:r>
      <w:r>
        <w:rPr>
          <w:rFonts w:hint="eastAsia" w:eastAsia="宋体"/>
          <w:i/>
          <w:sz w:val="28"/>
          <w:szCs w:val="28"/>
          <w:lang w:eastAsia="zh-CN"/>
        </w:rPr>
        <w:t>”</w:t>
      </w:r>
      <w:r>
        <w:rPr>
          <w:rFonts w:eastAsia="宋体"/>
          <w:i/>
          <w:sz w:val="28"/>
          <w:szCs w:val="28"/>
          <w:lang w:eastAsia="zh-CN"/>
        </w:rPr>
        <w:t>。</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在下面的表格中，</w:t>
      </w:r>
      <w:r>
        <w:rPr>
          <w:rFonts w:hint="eastAsia" w:eastAsia="宋体"/>
          <w:i/>
          <w:sz w:val="28"/>
          <w:szCs w:val="28"/>
          <w:lang w:eastAsia="zh-CN"/>
        </w:rPr>
        <w:t>“</w:t>
      </w:r>
      <w:r>
        <w:rPr>
          <w:rFonts w:eastAsia="宋体"/>
          <w:i/>
          <w:sz w:val="28"/>
          <w:szCs w:val="28"/>
          <w:lang w:eastAsia="zh-CN"/>
        </w:rPr>
        <w:t>AND</w:t>
      </w:r>
      <w:r>
        <w:rPr>
          <w:rFonts w:hint="eastAsia" w:eastAsia="宋体"/>
          <w:i/>
          <w:sz w:val="28"/>
          <w:szCs w:val="28"/>
          <w:lang w:eastAsia="zh-CN"/>
        </w:rPr>
        <w:t>”</w:t>
      </w:r>
      <w:r>
        <w:rPr>
          <w:rFonts w:eastAsia="宋体"/>
          <w:i/>
          <w:sz w:val="28"/>
          <w:szCs w:val="28"/>
          <w:lang w:eastAsia="zh-CN"/>
        </w:rPr>
        <w:t>表示所有参考问题都必须有一个良好的做法（良好实践）回答，才能在指标上获得分数。</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在下面的表格中，</w:t>
      </w:r>
      <w:r>
        <w:rPr>
          <w:rFonts w:hint="eastAsia" w:eastAsia="宋体"/>
          <w:i/>
          <w:sz w:val="28"/>
          <w:szCs w:val="28"/>
          <w:lang w:eastAsia="zh-CN"/>
        </w:rPr>
        <w:t>“</w:t>
      </w:r>
      <w:r>
        <w:rPr>
          <w:rFonts w:eastAsia="宋体"/>
          <w:i/>
          <w:sz w:val="28"/>
          <w:szCs w:val="28"/>
          <w:lang w:eastAsia="zh-CN"/>
        </w:rPr>
        <w:t>OR</w:t>
      </w:r>
      <w:r>
        <w:rPr>
          <w:rFonts w:hint="eastAsia" w:eastAsia="宋体"/>
          <w:i/>
          <w:sz w:val="28"/>
          <w:szCs w:val="28"/>
          <w:lang w:eastAsia="zh-CN"/>
        </w:rPr>
        <w:t>”</w:t>
      </w:r>
      <w:r>
        <w:rPr>
          <w:rFonts w:eastAsia="宋体"/>
          <w:i/>
          <w:sz w:val="28"/>
          <w:szCs w:val="28"/>
          <w:lang w:eastAsia="zh-CN"/>
        </w:rPr>
        <w:t>表示一个或多个参考问题必须具有良好的做法回答才能获得指标上的分数。</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某些问题被标记为</w:t>
      </w:r>
      <w:r>
        <w:rPr>
          <w:rFonts w:hint="eastAsia" w:eastAsia="宋体"/>
          <w:i/>
          <w:sz w:val="28"/>
          <w:szCs w:val="28"/>
          <w:lang w:eastAsia="zh-CN"/>
        </w:rPr>
        <w:t>“不计分”</w:t>
      </w:r>
      <w:r>
        <w:rPr>
          <w:rFonts w:eastAsia="宋体"/>
          <w:i/>
          <w:sz w:val="28"/>
          <w:szCs w:val="28"/>
          <w:lang w:eastAsia="zh-CN"/>
        </w:rPr>
        <w:t>，这表明它们不会以任何方式影响分数。这些问题的目的是根据需要进一步告知和完善试点后续年份的问题设计，并为得分问题提供进一步的信息。</w:t>
      </w:r>
    </w:p>
    <w:p>
      <w:pPr>
        <w:pStyle w:val="5"/>
        <w:rPr>
          <w:i/>
          <w:sz w:val="20"/>
          <w:lang w:eastAsia="zh-CN"/>
        </w:rPr>
      </w:pPr>
      <w:r>
        <mc:AlternateContent>
          <mc:Choice Requires="wps">
            <w:drawing>
              <wp:anchor distT="0" distB="0" distL="114300" distR="114300" simplePos="0" relativeHeight="251663360" behindDoc="1" locked="0" layoutInCell="1" allowOverlap="1">
                <wp:simplePos x="0" y="0"/>
                <wp:positionH relativeFrom="page">
                  <wp:posOffset>856615</wp:posOffset>
                </wp:positionH>
                <wp:positionV relativeFrom="paragraph">
                  <wp:posOffset>164465</wp:posOffset>
                </wp:positionV>
                <wp:extent cx="6060440" cy="372110"/>
                <wp:effectExtent l="4445" t="4445" r="5715" b="17145"/>
                <wp:wrapTopAndBottom/>
                <wp:docPr id="2" name="文本框 2"/>
                <wp:cNvGraphicFramePr/>
                <a:graphic xmlns:a="http://schemas.openxmlformats.org/drawingml/2006/main">
                  <a:graphicData uri="http://schemas.microsoft.com/office/word/2010/wordprocessingShape">
                    <wps:wsp>
                      <wps:cNvSpPr txBox="1"/>
                      <wps:spPr>
                        <a:xfrm>
                          <a:off x="0" y="0"/>
                          <a:ext cx="6060440" cy="372110"/>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58"/>
                              <w:ind w:left="103" w:right="235"/>
                              <w:rPr>
                                <w:rFonts w:ascii="宋体" w:hAnsi="宋体" w:eastAsia="宋体" w:cs="宋体"/>
                                <w:b/>
                                <w:color w:val="000000"/>
                                <w:sz w:val="28"/>
                                <w:szCs w:val="28"/>
                                <w:lang w:eastAsia="zh-CN"/>
                              </w:rPr>
                            </w:pPr>
                            <w:r>
                              <w:rPr>
                                <w:rFonts w:hint="eastAsia" w:ascii="宋体" w:hAnsi="宋体" w:eastAsia="宋体" w:cs="宋体"/>
                                <w:b/>
                                <w:color w:val="FFFFFF"/>
                                <w:sz w:val="28"/>
                                <w:szCs w:val="28"/>
                                <w:lang w:eastAsia="zh-CN"/>
                              </w:rPr>
                              <w:t>维度I -监管框架：电子支付的监管质量</w:t>
                            </w:r>
                          </w:p>
                        </w:txbxContent>
                      </wps:txbx>
                      <wps:bodyPr lIns="0" tIns="0" rIns="0" bIns="0" upright="1"/>
                    </wps:wsp>
                  </a:graphicData>
                </a:graphic>
              </wp:anchor>
            </w:drawing>
          </mc:Choice>
          <mc:Fallback>
            <w:pict>
              <v:shape id="_x0000_s1026" o:spid="_x0000_s1026" o:spt="202" type="#_x0000_t202" style="position:absolute;left:0pt;margin-left:67.45pt;margin-top:12.95pt;height:29.3pt;width:477.2pt;mso-position-horizontal-relative:page;mso-wrap-distance-bottom:0pt;mso-wrap-distance-top:0pt;z-index:-251653120;mso-width-relative:page;mso-height-relative:page;" fillcolor="#0F6EC5" filled="t" stroked="t" coordsize="21600,21600" o:gfxdata="UEsDBAoAAAAAAIdO4kAAAAAAAAAAAAAAAAAEAAAAZHJzL1BLAwQUAAAACACHTuJANRrKU9gAAAAK&#10;AQAADwAAAGRycy9kb3ducmV2LnhtbE2PwU6DQBCG7ya+w2ZMvNml0CpFlh40RuOlEZueB3YElJ1F&#10;dqH17d2e9DT5M1/++SbfnkwvZhpdZ1nBchGBIK6t7rhRsH9/uklBOI+ssbdMCn7Iwba4vMgx0/bI&#10;bzSXvhGhhF2GClrvh0xKV7dk0C3sQBx2H3Y06EMcG6lHPIZy08s4im6lwY7DhRYHemip/iono2Cq&#10;YvyOn1+Sw6ubyzum3ePuc1bq+moZ3YPwdPJ/MJz1gzoUwamyE2sn+pCT1SagCuJ1mGcgSjcJiEpB&#10;ulqDLHL5/4XiF1BLAwQUAAAACACHTuJAPbyzQB0CAABaBAAADgAAAGRycy9lMm9Eb2MueG1srVTN&#10;jtMwEL4j8Q6W7zRpWQobNV2J7RYhIUBa9gFc20ks+U8et0lfAN6AExfuPFefg7H7s3Th0AM5JGPP&#10;+Jv5vhlndjMYTTYygHK2puNRSYm03All25o+fFm+eEMJRGYF087Kmm4l0Jv582ez3ldy4jqnhQwE&#10;QSxUva9pF6OvigJ4Jw2DkfPSorNxwbCIy9AWIrAe0Y0uJmU5LXoXhA+OSwDcXeyd9IAYLgF0TaO4&#10;XDi+NtLGPWqQmkWkBJ3yQOe52qaRPH5qGpCR6Joi05jfmATtVXoX8xmr2sB8p/ihBHZJCU84GaYs&#10;Jj1BLVhkZB3UX1BG8eDANXHEnSn2RLIiyGJcPtHmvmNeZi4oNfiT6PD/YPnHzedAlKjphBLLDDZ8&#10;9/3b7sev3c+vZJLk6T1UGHXvMS4Ob92AQ3PcB9xMrIcmmPRFPgT9KO72JK4cIuG4OS2n5dUVujj6&#10;Xr6ejMdZ/eLxtA8Q30lnSDJqGrB5WVO2+QARK8HQY0hKBk4rsVRa50VoV7c6kA1LjV5O725fpSLx&#10;yFmYtqRPpVxPsQ6G09vg1KBpPCoAts35zk7AGXCZnn8Bp8IWDLp9ARkhhbHKqChDtjrJxJ0VJG49&#10;qmzxctFUjJGCEi3xLiYrR0am9CWRyE5bJJlatG9FsuKwGhAmmSsnttg2/d7iyKTxPxrhaKyOxtoH&#10;1XYoe25uhsSRywoerkea6T/XOfHjL2H+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UaylPYAAAA&#10;CgEAAA8AAAAAAAAAAQAgAAAAIgAAAGRycy9kb3ducmV2LnhtbFBLAQIUABQAAAAIAIdO4kA9vLNA&#10;HQIAAFoEAAAOAAAAAAAAAAEAIAAAACcBAABkcnMvZTJvRG9jLnhtbFBLBQYAAAAABgAGAFkBAAC2&#10;BQAAAAA=&#10;">
                <v:fill on="t" focussize="0,0"/>
                <v:stroke weight="0.48pt" color="#000000" joinstyle="miter"/>
                <v:imagedata o:title=""/>
                <o:lock v:ext="edit" aspectratio="f"/>
                <v:textbox inset="0mm,0mm,0mm,0mm">
                  <w:txbxContent>
                    <w:p>
                      <w:pPr>
                        <w:spacing w:before="58"/>
                        <w:ind w:left="103" w:right="235"/>
                        <w:rPr>
                          <w:rFonts w:ascii="宋体" w:hAnsi="宋体" w:eastAsia="宋体" w:cs="宋体"/>
                          <w:b/>
                          <w:color w:val="000000"/>
                          <w:sz w:val="28"/>
                          <w:szCs w:val="28"/>
                          <w:lang w:eastAsia="zh-CN"/>
                        </w:rPr>
                      </w:pPr>
                      <w:r>
                        <w:rPr>
                          <w:rFonts w:hint="eastAsia" w:ascii="宋体" w:hAnsi="宋体" w:eastAsia="宋体" w:cs="宋体"/>
                          <w:b/>
                          <w:color w:val="FFFFFF"/>
                          <w:sz w:val="28"/>
                          <w:szCs w:val="28"/>
                          <w:lang w:eastAsia="zh-CN"/>
                        </w:rPr>
                        <w:t>维度I -监管框架：电子支付的监管质量</w:t>
                      </w:r>
                    </w:p>
                  </w:txbxContent>
                </v:textbox>
                <w10:wrap type="topAndBottom"/>
              </v:shape>
            </w:pict>
          </mc:Fallback>
        </mc:AlternateContent>
      </w:r>
    </w:p>
    <w:p>
      <w:pPr>
        <w:pStyle w:val="5"/>
        <w:spacing w:before="5"/>
        <w:rPr>
          <w:i/>
          <w:sz w:val="14"/>
          <w:lang w:eastAsia="zh-CN"/>
        </w:rPr>
      </w:pPr>
    </w:p>
    <w:p>
      <w:pPr>
        <w:pStyle w:val="11"/>
        <w:tabs>
          <w:tab w:val="left" w:pos="652"/>
        </w:tabs>
        <w:spacing w:line="400" w:lineRule="exact"/>
        <w:ind w:left="0" w:firstLine="562" w:firstLineChars="200"/>
        <w:outlineLvl w:val="0"/>
        <w:rPr>
          <w:rFonts w:eastAsia="宋体"/>
          <w:i/>
          <w:sz w:val="28"/>
          <w:szCs w:val="28"/>
          <w:lang w:eastAsia="zh-CN"/>
        </w:rPr>
      </w:pPr>
      <w:r>
        <w:rPr>
          <w:rFonts w:eastAsia="宋体"/>
          <w:b/>
          <w:bCs/>
          <w:sz w:val="28"/>
          <w:szCs w:val="28"/>
          <w:lang w:eastAsia="zh-CN"/>
        </w:rPr>
        <w:t>100.</w:t>
      </w:r>
      <w:r>
        <w:rPr>
          <w:rFonts w:eastAsia="宋体"/>
          <w:b/>
          <w:sz w:val="28"/>
          <w:szCs w:val="28"/>
          <w:lang w:eastAsia="zh-CN"/>
        </w:rPr>
        <w:t>贵国经济中存在电子支付方式吗?</w:t>
      </w:r>
      <w:r>
        <w:rPr>
          <w:rFonts w:eastAsia="宋体"/>
          <w:sz w:val="28"/>
          <w:szCs w:val="28"/>
          <w:lang w:eastAsia="zh-CN"/>
        </w:rPr>
        <w:t>(Y/N)</w:t>
      </w:r>
      <w:r>
        <w:rPr>
          <w:rFonts w:eastAsia="宋体"/>
          <w:i/>
          <w:sz w:val="28"/>
          <w:szCs w:val="28"/>
          <w:lang w:eastAsia="zh-CN"/>
        </w:rPr>
        <w:t>(</w:t>
      </w:r>
      <w:r>
        <w:rPr>
          <w:rFonts w:hint="eastAsia" w:eastAsia="宋体"/>
          <w:i/>
          <w:sz w:val="28"/>
          <w:szCs w:val="28"/>
          <w:lang w:eastAsia="zh-CN"/>
        </w:rPr>
        <w:t>不计分</w:t>
      </w:r>
      <w:r>
        <w:rPr>
          <w:rFonts w:eastAsia="宋体"/>
          <w:i/>
          <w:spacing w:val="-2"/>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52"/>
        </w:tabs>
        <w:spacing w:line="400" w:lineRule="exact"/>
        <w:ind w:left="0" w:firstLine="562" w:firstLineChars="200"/>
        <w:rPr>
          <w:rFonts w:eastAsia="宋体"/>
          <w:sz w:val="28"/>
          <w:szCs w:val="28"/>
          <w:lang w:eastAsia="zh-CN"/>
        </w:rPr>
      </w:pPr>
      <w:r>
        <w:rPr>
          <w:rFonts w:eastAsia="宋体"/>
          <w:b/>
          <w:bCs/>
          <w:sz w:val="28"/>
          <w:szCs w:val="28"/>
          <w:lang w:eastAsia="zh-CN"/>
        </w:rPr>
        <w:t>101.</w:t>
      </w:r>
      <w:r>
        <w:rPr>
          <w:rFonts w:eastAsia="宋体"/>
          <w:b/>
          <w:sz w:val="28"/>
          <w:szCs w:val="28"/>
          <w:lang w:eastAsia="zh-CN"/>
        </w:rPr>
        <w:t>请选择您所在经济体中存在的所有电子支付方式</w:t>
      </w:r>
      <w:r>
        <w:rPr>
          <w:rFonts w:hint="eastAsia" w:eastAsia="宋体"/>
          <w:i/>
          <w:sz w:val="28"/>
          <w:szCs w:val="28"/>
          <w:lang w:eastAsia="zh-CN"/>
        </w:rPr>
        <w:t>：</w:t>
      </w:r>
      <w:r>
        <w:rPr>
          <w:rFonts w:eastAsia="宋体"/>
          <w:i/>
          <w:sz w:val="28"/>
          <w:szCs w:val="28"/>
          <w:lang w:eastAsia="zh-CN"/>
        </w:rPr>
        <w:t>(</w:t>
      </w:r>
      <w:r>
        <w:rPr>
          <w:rFonts w:hint="eastAsia" w:eastAsia="宋体"/>
          <w:i/>
          <w:sz w:val="28"/>
          <w:szCs w:val="28"/>
          <w:lang w:eastAsia="zh-CN"/>
        </w:rPr>
        <w:t>不计分</w:t>
      </w:r>
      <w:r>
        <w:rPr>
          <w:rFonts w:eastAsia="宋体"/>
          <w:i/>
          <w:spacing w:val="-3"/>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101a.通过网上银行从交易账户发起的支付</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101b.通过手机银行从交易账户发起支付</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101c.电子货币</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101d.移动货币</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101e.付款卡</w:t>
      </w:r>
    </w:p>
    <w:p>
      <w:pPr>
        <w:pStyle w:val="5"/>
        <w:spacing w:line="400" w:lineRule="exact"/>
        <w:ind w:firstLine="560" w:firstLineChars="200"/>
        <w:jc w:val="both"/>
        <w:rPr>
          <w:rFonts w:eastAsia="宋体"/>
          <w:sz w:val="28"/>
          <w:szCs w:val="28"/>
          <w:lang w:eastAsia="zh-CN"/>
        </w:rPr>
      </w:pPr>
    </w:p>
    <w:p>
      <w:pPr>
        <w:pStyle w:val="11"/>
        <w:tabs>
          <w:tab w:val="left" w:pos="652"/>
        </w:tabs>
        <w:spacing w:line="400" w:lineRule="exact"/>
        <w:ind w:left="0" w:firstLine="562" w:firstLineChars="200"/>
        <w:outlineLvl w:val="0"/>
        <w:rPr>
          <w:rFonts w:eastAsia="宋体"/>
          <w:sz w:val="28"/>
          <w:szCs w:val="28"/>
          <w:lang w:eastAsia="zh-CN"/>
        </w:rPr>
      </w:pPr>
      <w:r>
        <w:rPr>
          <w:rFonts w:eastAsia="宋体"/>
          <w:b/>
          <w:bCs/>
          <w:sz w:val="28"/>
          <w:szCs w:val="28"/>
          <w:lang w:eastAsia="zh-CN"/>
        </w:rPr>
        <w:t>102.</w:t>
      </w:r>
      <w:r>
        <w:rPr>
          <w:rFonts w:eastAsia="宋体"/>
          <w:b/>
          <w:sz w:val="28"/>
          <w:szCs w:val="28"/>
          <w:lang w:eastAsia="zh-CN"/>
        </w:rPr>
        <w:t>你们国家有关于电子支付的法律法规吗?</w:t>
      </w:r>
      <w:r>
        <w:rPr>
          <w:rFonts w:eastAsia="宋体"/>
          <w:i/>
          <w:sz w:val="28"/>
          <w:szCs w:val="28"/>
          <w:lang w:eastAsia="zh-CN"/>
        </w:rPr>
        <w:t>(</w:t>
      </w:r>
      <w:r>
        <w:rPr>
          <w:rFonts w:hint="eastAsia" w:eastAsia="宋体"/>
          <w:i/>
          <w:sz w:val="28"/>
          <w:szCs w:val="28"/>
          <w:lang w:eastAsia="zh-CN"/>
        </w:rPr>
        <w:t>不计分</w:t>
      </w:r>
      <w:r>
        <w:rPr>
          <w:rFonts w:eastAsia="宋体"/>
          <w:i/>
          <w:spacing w:val="-2"/>
          <w:sz w:val="28"/>
          <w:szCs w:val="28"/>
          <w:lang w:eastAsia="zh-CN"/>
        </w:rPr>
        <w:t>)</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652"/>
        </w:tabs>
        <w:spacing w:line="400" w:lineRule="exact"/>
        <w:ind w:left="0" w:firstLine="562" w:firstLineChars="200"/>
        <w:rPr>
          <w:rFonts w:eastAsia="宋体"/>
          <w:sz w:val="28"/>
          <w:szCs w:val="28"/>
          <w:lang w:eastAsia="zh-CN"/>
        </w:rPr>
      </w:pPr>
      <w:r>
        <w:rPr>
          <w:rFonts w:eastAsia="宋体"/>
          <w:b/>
          <w:bCs/>
          <w:sz w:val="28"/>
          <w:szCs w:val="28"/>
          <w:lang w:eastAsia="zh-CN"/>
        </w:rPr>
        <w:t>103.</w:t>
      </w:r>
      <w:r>
        <w:rPr>
          <w:rFonts w:eastAsia="宋体"/>
          <w:b/>
          <w:sz w:val="28"/>
          <w:szCs w:val="28"/>
          <w:lang w:eastAsia="zh-CN"/>
        </w:rPr>
        <w:t>监管框架中是否有规定要求对支付服务提供商的监管合规性，进行外部审查?</w:t>
      </w:r>
      <w:r>
        <w:rPr>
          <w:rFonts w:hint="eastAsia" w:eastAsia="宋体"/>
          <w:b/>
          <w:sz w:val="28"/>
          <w:szCs w:val="28"/>
          <w:lang w:eastAsia="zh-CN"/>
        </w:rPr>
        <w:t>请同时提供银行和非银行机构的答案</w:t>
      </w:r>
      <w:r>
        <w:rPr>
          <w:rFonts w:eastAsia="宋体"/>
          <w:b/>
          <w:sz w:val="28"/>
          <w:szCs w:val="28"/>
          <w:lang w:eastAsia="zh-CN"/>
        </w:rPr>
        <w:t>。</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104.</w:t>
      </w:r>
      <w:r>
        <w:rPr>
          <w:rFonts w:eastAsia="宋体"/>
          <w:b/>
          <w:sz w:val="28"/>
          <w:szCs w:val="28"/>
          <w:lang w:eastAsia="zh-CN"/>
        </w:rPr>
        <w:t>如果103题的答案是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，那么审查的范围是什么?</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104a.反洗钱/打击资助恐怖主义审计</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104b.IT(信息技术)风险管理审查</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104c.数据保护和隐私审查</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104d.运营和安全风险管理审查</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104e.财务风险管审查</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104f.监管报告审查(评估监管报告要求是否得到适当和及时的执行)</w:t>
      </w:r>
    </w:p>
    <w:p>
      <w:pPr>
        <w:pStyle w:val="11"/>
        <w:tabs>
          <w:tab w:val="left" w:pos="647"/>
        </w:tabs>
        <w:spacing w:line="400" w:lineRule="exact"/>
        <w:ind w:left="0" w:firstLine="560" w:firstLineChars="200"/>
        <w:rPr>
          <w:rFonts w:eastAsia="宋体"/>
          <w:sz w:val="28"/>
          <w:szCs w:val="28"/>
          <w:lang w:eastAsia="zh-CN"/>
        </w:rPr>
      </w:pPr>
      <w:r>
        <w:rPr>
          <w:rFonts w:eastAsia="宋体"/>
          <w:sz w:val="28"/>
          <w:szCs w:val="28"/>
          <w:lang w:eastAsia="zh-CN"/>
        </w:rPr>
        <w:t>104g.其他</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105.</w:t>
      </w:r>
      <w:r>
        <w:rPr>
          <w:rFonts w:eastAsia="宋体"/>
          <w:b/>
          <w:sz w:val="28"/>
          <w:szCs w:val="28"/>
          <w:lang w:eastAsia="zh-CN"/>
        </w:rPr>
        <w:t>如果第103题的答案是肯定的，由谁来进行审查?请选择所有适用项</w:t>
      </w:r>
      <w:r>
        <w:rPr>
          <w:rFonts w:hint="eastAsia" w:eastAsia="宋体"/>
          <w:i/>
          <w:sz w:val="28"/>
          <w:szCs w:val="28"/>
          <w:lang w:eastAsia="zh-CN"/>
        </w:rPr>
        <w:t>：</w:t>
      </w:r>
      <w:r>
        <w:rPr>
          <w:rFonts w:eastAsia="宋体"/>
          <w:i/>
          <w:sz w:val="28"/>
          <w:szCs w:val="28"/>
          <w:lang w:eastAsia="zh-CN"/>
        </w:rPr>
        <w:t>(不计分)</w:t>
      </w:r>
    </w:p>
    <w:p>
      <w:pPr>
        <w:spacing w:line="400" w:lineRule="exact"/>
        <w:ind w:firstLine="560" w:firstLineChars="200"/>
        <w:jc w:val="both"/>
        <w:rPr>
          <w:rFonts w:eastAsia="宋体"/>
          <w:i/>
          <w:sz w:val="28"/>
          <w:szCs w:val="28"/>
          <w:lang w:eastAsia="zh-CN"/>
        </w:rPr>
      </w:pPr>
      <w:r>
        <w:rPr>
          <w:rFonts w:eastAsia="宋体"/>
          <w:i/>
          <w:sz w:val="28"/>
          <w:szCs w:val="28"/>
          <w:lang w:eastAsia="zh-CN"/>
        </w:rPr>
        <w:t>注意</w:t>
      </w:r>
      <w:r>
        <w:rPr>
          <w:rFonts w:hint="eastAsia" w:eastAsia="宋体"/>
          <w:i/>
          <w:sz w:val="28"/>
          <w:szCs w:val="28"/>
          <w:lang w:eastAsia="zh-CN"/>
        </w:rPr>
        <w:t>：</w:t>
      </w:r>
      <w:r>
        <w:rPr>
          <w:rFonts w:eastAsia="宋体"/>
          <w:i/>
          <w:sz w:val="28"/>
          <w:szCs w:val="28"/>
          <w:lang w:eastAsia="zh-CN"/>
        </w:rPr>
        <w:t>此问题将适用于前一问题的每个</w:t>
      </w:r>
      <w:r>
        <w:rPr>
          <w:rFonts w:hint="eastAsia" w:eastAsia="宋体"/>
          <w:i/>
          <w:sz w:val="28"/>
          <w:szCs w:val="28"/>
          <w:lang w:eastAsia="zh-CN"/>
        </w:rPr>
        <w:t>“</w:t>
      </w:r>
      <w:r>
        <w:rPr>
          <w:rFonts w:eastAsia="宋体"/>
          <w:i/>
          <w:sz w:val="28"/>
          <w:szCs w:val="28"/>
          <w:lang w:eastAsia="zh-CN"/>
        </w:rPr>
        <w:t>是</w:t>
      </w:r>
      <w:r>
        <w:rPr>
          <w:rFonts w:hint="eastAsia" w:eastAsia="宋体"/>
          <w:i/>
          <w:sz w:val="28"/>
          <w:szCs w:val="28"/>
          <w:lang w:eastAsia="zh-CN"/>
        </w:rPr>
        <w:t>”</w:t>
      </w:r>
      <w:r>
        <w:rPr>
          <w:rFonts w:eastAsia="宋体"/>
          <w:i/>
          <w:sz w:val="28"/>
          <w:szCs w:val="28"/>
          <w:lang w:eastAsia="zh-CN"/>
        </w:rPr>
        <w:t>回答。</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105a.监管机构或其他政府机构</w:t>
      </w:r>
      <w:r>
        <w:rPr>
          <w:rFonts w:hint="eastAsia" w:eastAsia="宋体"/>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105b.外部私有</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105c.其他</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106.</w:t>
      </w:r>
      <w:r>
        <w:rPr>
          <w:rFonts w:eastAsia="宋体"/>
          <w:b/>
          <w:sz w:val="28"/>
          <w:szCs w:val="28"/>
          <w:lang w:eastAsia="zh-CN"/>
        </w:rPr>
        <w:t>监管框架是否要求实施内部控制，以保障数据和操作流程的完整性、真实性和保密性?请同时提供银行和非银行机构的答案。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107.</w:t>
      </w:r>
      <w:r>
        <w:rPr>
          <w:rFonts w:eastAsia="宋体"/>
          <w:b/>
          <w:sz w:val="28"/>
          <w:szCs w:val="28"/>
          <w:lang w:eastAsia="zh-CN"/>
        </w:rPr>
        <w:t>电子支付监管框架中是否有列出网络安全要求的条款?请提供银行和非银行机构的答案。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sz w:val="28"/>
          <w:szCs w:val="28"/>
        </w:rPr>
      </w:pPr>
      <w:r>
        <w:rPr>
          <w:rFonts w:eastAsia="宋体"/>
          <w:b/>
          <w:bCs/>
          <w:sz w:val="28"/>
          <w:szCs w:val="28"/>
          <w:lang w:eastAsia="zh-CN"/>
        </w:rPr>
        <w:t>108.</w:t>
      </w:r>
      <w:r>
        <w:rPr>
          <w:rFonts w:eastAsia="宋体"/>
          <w:b/>
          <w:sz w:val="28"/>
          <w:szCs w:val="28"/>
          <w:lang w:eastAsia="zh-CN"/>
        </w:rPr>
        <w:t>电子支付的监管框架中是否有规定，要求在系统和技术出现故障时制定应急计划和业务连续性程序?</w:t>
      </w:r>
      <w:r>
        <w:rPr>
          <w:rFonts w:eastAsia="宋体"/>
          <w:i/>
          <w:sz w:val="28"/>
          <w:szCs w:val="28"/>
          <w:lang w:eastAsia="zh-CN"/>
        </w:rPr>
        <w:t>(例如，备份站点或流程、网络弹性框架)</w:t>
      </w:r>
      <w:r>
        <w:rPr>
          <w:rFonts w:eastAsia="宋体"/>
          <w:b/>
          <w:sz w:val="28"/>
          <w:szCs w:val="28"/>
          <w:lang w:eastAsia="zh-CN"/>
        </w:rPr>
        <w:t>。</w:t>
      </w:r>
      <w:r>
        <w:rPr>
          <w:rFonts w:eastAsia="宋体"/>
          <w:b/>
          <w:sz w:val="28"/>
          <w:szCs w:val="28"/>
        </w:rPr>
        <w:t>请同时提供银行和非银行机构的答案。</w:t>
      </w:r>
      <w:r>
        <w:rPr>
          <w:rFonts w:eastAsia="宋体"/>
          <w:sz w:val="28"/>
          <w:szCs w:val="28"/>
        </w:rPr>
        <w:t>(</w:t>
      </w:r>
      <w:r>
        <w:rPr>
          <w:rFonts w:hint="eastAsia" w:eastAsia="宋体"/>
          <w:sz w:val="28"/>
          <w:szCs w:val="28"/>
          <w:lang w:eastAsia="zh-CN"/>
        </w:rPr>
        <w:t>Y/N</w:t>
      </w:r>
      <w:r>
        <w:rPr>
          <w:rFonts w:eastAsia="宋体"/>
          <w:sz w:val="28"/>
          <w:szCs w:val="28"/>
        </w:rPr>
        <w:t>)</w:t>
      </w:r>
    </w:p>
    <w:p>
      <w:pPr>
        <w:pStyle w:val="11"/>
        <w:tabs>
          <w:tab w:val="left" w:pos="647"/>
        </w:tabs>
        <w:spacing w:line="400" w:lineRule="exact"/>
        <w:ind w:left="0" w:firstLine="562" w:firstLineChars="200"/>
        <w:rPr>
          <w:rFonts w:eastAsia="宋体"/>
          <w:b/>
          <w:bCs/>
          <w:sz w:val="28"/>
          <w:szCs w:val="28"/>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109.在银行和非银行PSP的监管框架中，是否有法规要求，规定确保客户在取款和支付受到合理限制的情况下，有保障地获得其资金(指存放于</w:t>
      </w:r>
      <w:r>
        <w:rPr>
          <w:rFonts w:eastAsia="宋体"/>
          <w:b/>
          <w:bCs/>
          <w:spacing w:val="-14"/>
          <w:sz w:val="28"/>
          <w:szCs w:val="28"/>
          <w:lang w:eastAsia="zh-CN"/>
        </w:rPr>
        <w:t>PSP的资金)</w:t>
      </w:r>
      <w:r>
        <w:rPr>
          <w:rFonts w:eastAsia="宋体"/>
          <w:b/>
          <w:bCs/>
          <w:spacing w:val="-13"/>
          <w:sz w:val="28"/>
          <w:szCs w:val="28"/>
          <w:lang w:eastAsia="zh-CN"/>
        </w:rPr>
        <w:t>?</w:t>
      </w:r>
      <w:r>
        <w:rPr>
          <w:rFonts w:eastAsia="宋体"/>
          <w:b/>
          <w:bCs/>
          <w:sz w:val="28"/>
          <w:szCs w:val="28"/>
          <w:lang w:eastAsia="zh-CN"/>
        </w:rPr>
        <w:t>请给出银行和非银行机构的答案。(</w:t>
      </w:r>
      <w:r>
        <w:rPr>
          <w:rFonts w:hint="eastAsia" w:eastAsia="宋体"/>
          <w:b/>
          <w:bCs/>
          <w:sz w:val="28"/>
          <w:szCs w:val="28"/>
          <w:lang w:eastAsia="zh-CN"/>
        </w:rPr>
        <w:t>Y/N</w:t>
      </w:r>
      <w:r>
        <w:rPr>
          <w:rFonts w:eastAsia="宋体"/>
          <w:b/>
          <w:bCs/>
          <w:sz w:val="28"/>
          <w:szCs w:val="28"/>
          <w:lang w:eastAsia="zh-CN"/>
        </w:rPr>
        <w:t>)</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b/>
          <w:bCs/>
          <w:sz w:val="28"/>
          <w:szCs w:val="28"/>
          <w:lang w:eastAsia="zh-CN"/>
        </w:rPr>
      </w:pPr>
      <w:r>
        <w:rPr>
          <w:rFonts w:eastAsia="宋体"/>
          <w:b/>
          <w:bCs/>
          <w:sz w:val="28"/>
          <w:szCs w:val="28"/>
          <w:lang w:eastAsia="zh-CN"/>
        </w:rPr>
        <w:t>110.</w:t>
      </w:r>
      <w:r>
        <w:rPr>
          <w:rFonts w:eastAsia="宋体"/>
          <w:b/>
          <w:sz w:val="28"/>
          <w:szCs w:val="28"/>
          <w:lang w:eastAsia="zh-CN"/>
        </w:rPr>
        <w:t>规管架构中是否有条例界定电子支付服务用户的客户使用限制?请给出银行和非银行机构的答案。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111.</w:t>
      </w:r>
      <w:r>
        <w:rPr>
          <w:rFonts w:eastAsia="宋体"/>
          <w:b/>
          <w:sz w:val="28"/>
          <w:szCs w:val="28"/>
          <w:lang w:eastAsia="zh-CN"/>
        </w:rPr>
        <w:t>不同类型的PSP在审查范围或所提供的任何回复方面，是否有具体考虑?</w:t>
      </w:r>
      <w:r>
        <w:rPr>
          <w:rFonts w:eastAsia="宋体"/>
          <w:sz w:val="28"/>
          <w:szCs w:val="28"/>
          <w:lang w:eastAsia="zh-CN"/>
        </w:rPr>
        <w:t>(Y/N)</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112.</w:t>
      </w:r>
      <w:r>
        <w:rPr>
          <w:rFonts w:eastAsia="宋体"/>
          <w:b/>
          <w:sz w:val="28"/>
          <w:szCs w:val="28"/>
          <w:lang w:eastAsia="zh-CN"/>
        </w:rPr>
        <w:t>监管框架中是否有限制支付工具使用</w:t>
      </w:r>
      <w:r>
        <w:rPr>
          <w:rFonts w:eastAsia="宋体"/>
          <w:i/>
          <w:sz w:val="28"/>
          <w:szCs w:val="28"/>
          <w:lang w:eastAsia="zh-CN"/>
        </w:rPr>
        <w:t>(</w:t>
      </w:r>
      <w:r>
        <w:rPr>
          <w:rFonts w:eastAsia="宋体"/>
          <w:b/>
          <w:sz w:val="28"/>
          <w:szCs w:val="28"/>
          <w:lang w:eastAsia="zh-CN"/>
        </w:rPr>
        <w:t>例如限制使用地点或交易类型</w:t>
      </w:r>
      <w:r>
        <w:rPr>
          <w:rFonts w:eastAsia="宋体"/>
          <w:i/>
          <w:sz w:val="28"/>
          <w:szCs w:val="28"/>
          <w:lang w:eastAsia="zh-CN"/>
        </w:rPr>
        <w:t>)</w:t>
      </w:r>
      <w:r>
        <w:rPr>
          <w:rFonts w:eastAsia="宋体"/>
          <w:b/>
          <w:spacing w:val="-1"/>
          <w:sz w:val="28"/>
          <w:szCs w:val="28"/>
          <w:lang w:eastAsia="zh-CN"/>
        </w:rPr>
        <w:t>和支付服务提供商访问支付账户的规定?</w:t>
      </w:r>
      <w:r>
        <w:rPr>
          <w:rFonts w:eastAsia="宋体"/>
          <w:b/>
          <w:sz w:val="28"/>
          <w:szCs w:val="28"/>
          <w:lang w:eastAsia="zh-CN"/>
        </w:rPr>
        <w:t>请提供银行和非银行机构的答案。</w:t>
      </w:r>
      <w:r>
        <w:rPr>
          <w:rFonts w:eastAsia="宋体"/>
          <w:sz w:val="28"/>
          <w:szCs w:val="28"/>
          <w:lang w:eastAsia="zh-CN"/>
        </w:rPr>
        <w:t>(Y/N)(Y-但仅使用支付工具/Y-但仅访问支付账户/Y-对于两者/N)</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113.</w:t>
      </w:r>
      <w:r>
        <w:rPr>
          <w:rFonts w:eastAsia="宋体"/>
          <w:b/>
          <w:sz w:val="28"/>
          <w:szCs w:val="28"/>
          <w:lang w:eastAsia="zh-CN"/>
        </w:rPr>
        <w:t>监管框架是否定义了支付服务用户在支付工具和个性化安全凭证方面的义务?</w:t>
      </w:r>
      <w:r>
        <w:rPr>
          <w:rFonts w:hint="eastAsia" w:eastAsia="宋体"/>
          <w:b/>
          <w:sz w:val="28"/>
          <w:szCs w:val="28"/>
          <w:lang w:eastAsia="zh-CN"/>
        </w:rPr>
        <w:t>请同时提供银行和非银行机构的答案。</w:t>
      </w:r>
      <w:r>
        <w:rPr>
          <w:rFonts w:eastAsia="宋体"/>
          <w:sz w:val="28"/>
          <w:szCs w:val="28"/>
          <w:lang w:eastAsia="zh-CN"/>
        </w:rPr>
        <w:t>(Y/N)</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114.</w:t>
      </w:r>
      <w:r>
        <w:rPr>
          <w:rFonts w:eastAsia="宋体"/>
          <w:b/>
          <w:sz w:val="28"/>
          <w:szCs w:val="28"/>
          <w:lang w:eastAsia="zh-CN"/>
        </w:rPr>
        <w:t>支付服务提供者在执行支付交易前是否需要</w:t>
      </w:r>
      <w:r>
        <w:rPr>
          <w:rFonts w:eastAsia="宋体"/>
          <w:b/>
          <w:i/>
          <w:sz w:val="28"/>
          <w:szCs w:val="28"/>
          <w:lang w:eastAsia="zh-CN"/>
        </w:rPr>
        <w:t>验证支付服务用户的身份(认证</w:t>
      </w:r>
      <w:r>
        <w:rPr>
          <w:rFonts w:eastAsia="宋体"/>
          <w:b/>
          <w:sz w:val="28"/>
          <w:szCs w:val="28"/>
          <w:lang w:eastAsia="zh-CN"/>
        </w:rPr>
        <w:t>)?请提供银行和非银行机构的答案。(Y/N)</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115.</w:t>
      </w:r>
      <w:r>
        <w:rPr>
          <w:rFonts w:eastAsia="宋体"/>
          <w:b/>
          <w:sz w:val="28"/>
          <w:szCs w:val="28"/>
          <w:lang w:eastAsia="zh-CN"/>
        </w:rPr>
        <w:t>监管框架中是否有规定，要求支付服务提供商允许付款人单方面取消或修改支付交易，直至付款人的支付服务提供商执行付款交易为止?请同时提供银行和非银行机构的答案。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outlineLvl w:val="0"/>
        <w:rPr>
          <w:rFonts w:eastAsia="宋体"/>
          <w:i/>
          <w:sz w:val="28"/>
          <w:szCs w:val="28"/>
          <w:lang w:eastAsia="zh-CN"/>
        </w:rPr>
      </w:pPr>
      <w:r>
        <w:rPr>
          <w:rFonts w:eastAsia="宋体"/>
          <w:b/>
          <w:bCs/>
          <w:sz w:val="28"/>
          <w:szCs w:val="28"/>
          <w:lang w:eastAsia="zh-CN"/>
        </w:rPr>
        <w:t>116.</w:t>
      </w:r>
      <w:r>
        <w:rPr>
          <w:rFonts w:eastAsia="宋体"/>
          <w:b/>
          <w:sz w:val="28"/>
          <w:szCs w:val="28"/>
          <w:lang w:eastAsia="zh-CN"/>
        </w:rPr>
        <w:t>不同类型的交易是否有不同的要求?</w:t>
      </w:r>
      <w:r>
        <w:rPr>
          <w:rFonts w:eastAsia="宋体"/>
          <w:i/>
          <w:sz w:val="28"/>
          <w:szCs w:val="28"/>
          <w:lang w:eastAsia="zh-CN"/>
        </w:rPr>
        <w:t>(</w:t>
      </w:r>
      <w:r>
        <w:rPr>
          <w:rFonts w:hint="eastAsia" w:eastAsia="宋体"/>
          <w:i/>
          <w:sz w:val="28"/>
          <w:szCs w:val="28"/>
          <w:lang w:eastAsia="zh-CN"/>
        </w:rPr>
        <w:t>不计分</w:t>
      </w:r>
      <w:r>
        <w:rPr>
          <w:rFonts w:eastAsia="宋体"/>
          <w:i/>
          <w:spacing w:val="-2"/>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116a.大额资金转账</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116b.零售支付</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116c.快速支付</w:t>
      </w:r>
      <w:r>
        <w:rPr>
          <w:rFonts w:hint="eastAsia" w:eastAsia="宋体"/>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116d</w:t>
      </w:r>
      <w:r>
        <w:rPr>
          <w:rFonts w:hint="eastAsia" w:eastAsia="宋体"/>
          <w:sz w:val="28"/>
          <w:szCs w:val="28"/>
          <w:lang w:eastAsia="zh-CN"/>
        </w:rPr>
        <w:t>.</w:t>
      </w:r>
      <w:r>
        <w:rPr>
          <w:rFonts w:eastAsia="宋体"/>
          <w:sz w:val="28"/>
          <w:szCs w:val="28"/>
          <w:lang w:eastAsia="zh-CN"/>
        </w:rPr>
        <w:t>其他</w:t>
      </w:r>
    </w:p>
    <w:p>
      <w:pPr>
        <w:pStyle w:val="5"/>
        <w:spacing w:line="400" w:lineRule="exact"/>
        <w:ind w:firstLine="560" w:firstLineChars="200"/>
        <w:jc w:val="both"/>
        <w:rPr>
          <w:rFonts w:eastAsia="宋体"/>
          <w:sz w:val="28"/>
          <w:szCs w:val="28"/>
          <w:lang w:eastAsia="zh-CN"/>
        </w:rPr>
      </w:pPr>
    </w:p>
    <w:p>
      <w:pPr>
        <w:pStyle w:val="11"/>
        <w:tabs>
          <w:tab w:val="left" w:pos="741"/>
        </w:tabs>
        <w:spacing w:line="400" w:lineRule="exact"/>
        <w:ind w:left="0" w:firstLine="562" w:firstLineChars="200"/>
        <w:rPr>
          <w:rFonts w:eastAsia="宋体"/>
          <w:sz w:val="28"/>
          <w:szCs w:val="28"/>
          <w:lang w:eastAsia="zh-CN"/>
        </w:rPr>
      </w:pPr>
      <w:r>
        <w:rPr>
          <w:rFonts w:eastAsia="宋体"/>
          <w:b/>
          <w:bCs/>
          <w:sz w:val="28"/>
          <w:szCs w:val="28"/>
          <w:lang w:eastAsia="zh-CN"/>
        </w:rPr>
        <w:t>117.</w:t>
      </w:r>
      <w:r>
        <w:rPr>
          <w:rFonts w:eastAsia="宋体"/>
          <w:b/>
          <w:sz w:val="28"/>
          <w:szCs w:val="28"/>
          <w:lang w:eastAsia="zh-CN"/>
        </w:rPr>
        <w:t>监管框架是否包括保护非银行支付服务提供商持有的客户资金的条款?</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b/>
          <w:sz w:val="28"/>
          <w:szCs w:val="28"/>
          <w:lang w:eastAsia="zh-CN"/>
        </w:rPr>
      </w:pPr>
      <w:r>
        <w:rPr>
          <w:rFonts w:eastAsia="宋体"/>
          <w:b/>
          <w:bCs/>
          <w:sz w:val="28"/>
          <w:szCs w:val="28"/>
          <w:lang w:eastAsia="zh-CN"/>
        </w:rPr>
        <w:t>118.</w:t>
      </w:r>
      <w:r>
        <w:rPr>
          <w:rFonts w:eastAsia="宋体"/>
          <w:b/>
          <w:sz w:val="28"/>
          <w:szCs w:val="28"/>
          <w:lang w:eastAsia="zh-CN"/>
        </w:rPr>
        <w:t>请说明以下哪些是法律要求保护客户资金的</w:t>
      </w:r>
      <w:r>
        <w:rPr>
          <w:rFonts w:hint="eastAsia" w:eastAsia="宋体"/>
          <w:b/>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 xml:space="preserve">118a.要求客户的资金与PSP的资金分开 </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118b</w:t>
      </w:r>
      <w:r>
        <w:rPr>
          <w:rFonts w:hint="eastAsia" w:eastAsia="宋体"/>
          <w:sz w:val="28"/>
          <w:szCs w:val="28"/>
          <w:lang w:eastAsia="zh-CN"/>
        </w:rPr>
        <w:t>.</w:t>
      </w:r>
      <w:r>
        <w:rPr>
          <w:rFonts w:eastAsia="宋体"/>
          <w:sz w:val="28"/>
          <w:szCs w:val="28"/>
          <w:lang w:eastAsia="zh-CN"/>
        </w:rPr>
        <w:t>要求非银行PSP将客户资金存入央行</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118c.禁止将客户资金用于除兑换（赎回）电子货币和执行资金转移以外的目的</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118d.受到审慎监管</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118e.明确保护PSP免于潜在的破产/资不抵债的影响</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118f.明确保护客户由PSP存放/放置客户资金的任何银行或其他机构，免受破产/无力偿债的影响</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118g.其他</w:t>
      </w:r>
    </w:p>
    <w:p>
      <w:pPr>
        <w:pStyle w:val="5"/>
        <w:spacing w:line="400" w:lineRule="exact"/>
        <w:ind w:firstLine="560" w:firstLineChars="200"/>
        <w:jc w:val="both"/>
        <w:rPr>
          <w:rFonts w:eastAsia="宋体"/>
          <w:sz w:val="28"/>
          <w:szCs w:val="28"/>
          <w:lang w:eastAsia="zh-CN"/>
        </w:rPr>
      </w:pPr>
    </w:p>
    <w:p>
      <w:pPr>
        <w:pStyle w:val="11"/>
        <w:tabs>
          <w:tab w:val="left" w:pos="734"/>
        </w:tabs>
        <w:spacing w:line="400" w:lineRule="exact"/>
        <w:ind w:left="0" w:firstLine="562" w:firstLineChars="200"/>
        <w:rPr>
          <w:rFonts w:eastAsia="宋体"/>
          <w:sz w:val="28"/>
          <w:szCs w:val="28"/>
          <w:lang w:eastAsia="zh-CN"/>
        </w:rPr>
      </w:pPr>
      <w:r>
        <w:rPr>
          <w:rFonts w:eastAsia="宋体"/>
          <w:b/>
          <w:bCs/>
          <w:sz w:val="28"/>
          <w:szCs w:val="28"/>
          <w:lang w:eastAsia="zh-CN"/>
        </w:rPr>
        <w:t>119.</w:t>
      </w:r>
      <w:r>
        <w:rPr>
          <w:rFonts w:eastAsia="宋体"/>
          <w:b/>
          <w:sz w:val="28"/>
          <w:szCs w:val="28"/>
          <w:lang w:eastAsia="zh-CN"/>
        </w:rPr>
        <w:t>监管框架中是否有条款要求，对非银行支付服务提供商持有的客户资金进行保险?</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734"/>
        </w:tabs>
        <w:spacing w:line="400" w:lineRule="exact"/>
        <w:ind w:left="0" w:firstLine="562" w:firstLineChars="200"/>
        <w:rPr>
          <w:rFonts w:eastAsia="宋体"/>
          <w:b/>
          <w:sz w:val="28"/>
          <w:szCs w:val="28"/>
          <w:lang w:eastAsia="zh-CN"/>
        </w:rPr>
      </w:pPr>
      <w:r>
        <w:rPr>
          <w:rFonts w:eastAsia="宋体"/>
          <w:b/>
          <w:bCs/>
          <w:sz w:val="28"/>
          <w:szCs w:val="28"/>
          <w:lang w:eastAsia="zh-CN"/>
        </w:rPr>
        <w:t>120.</w:t>
      </w:r>
      <w:r>
        <w:rPr>
          <w:rFonts w:eastAsia="宋体"/>
          <w:b/>
          <w:sz w:val="28"/>
          <w:szCs w:val="28"/>
          <w:lang w:eastAsia="zh-CN"/>
        </w:rPr>
        <w:t>如果问题119的答案为</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，请说明以下哪些条款属于要求对非银行支付服务提供者持有的客户资金进行保险的监管框架</w:t>
      </w:r>
      <w:r>
        <w:rPr>
          <w:rFonts w:hint="eastAsia" w:eastAsia="宋体"/>
          <w:b/>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120a.扩展到非银行PSP的存款保险基金。</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120b.一种存款保险基金，涵盖存放在商业银行的非银行PSP的客户资金。</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120c.对非银行PSP持有的客户资金的商业保险要求。</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120d</w:t>
      </w:r>
      <w:r>
        <w:rPr>
          <w:rFonts w:hint="eastAsia" w:eastAsia="宋体"/>
          <w:sz w:val="28"/>
          <w:szCs w:val="28"/>
          <w:lang w:eastAsia="zh-CN"/>
        </w:rPr>
        <w:t>.</w:t>
      </w:r>
      <w:r>
        <w:rPr>
          <w:rFonts w:eastAsia="宋体"/>
          <w:sz w:val="28"/>
          <w:szCs w:val="28"/>
          <w:lang w:eastAsia="zh-CN"/>
        </w:rPr>
        <w:t>向非银行PSP提供的客户担保资金</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120e.其他</w:t>
      </w:r>
    </w:p>
    <w:p>
      <w:pPr>
        <w:pStyle w:val="5"/>
        <w:spacing w:line="400" w:lineRule="exact"/>
        <w:ind w:firstLine="560" w:firstLineChars="200"/>
        <w:jc w:val="both"/>
        <w:rPr>
          <w:rFonts w:eastAsia="宋体"/>
          <w:sz w:val="28"/>
          <w:szCs w:val="28"/>
          <w:lang w:eastAsia="zh-CN"/>
        </w:rPr>
      </w:pPr>
    </w:p>
    <w:p>
      <w:pPr>
        <w:pStyle w:val="11"/>
        <w:tabs>
          <w:tab w:val="left" w:pos="734"/>
        </w:tabs>
        <w:spacing w:line="400" w:lineRule="exact"/>
        <w:ind w:left="0" w:firstLine="562" w:firstLineChars="200"/>
        <w:rPr>
          <w:rFonts w:eastAsia="宋体"/>
          <w:b/>
          <w:sz w:val="28"/>
          <w:szCs w:val="28"/>
          <w:lang w:eastAsia="zh-CN"/>
        </w:rPr>
      </w:pPr>
      <w:r>
        <w:rPr>
          <w:rFonts w:eastAsia="宋体"/>
          <w:b/>
          <w:bCs/>
          <w:sz w:val="28"/>
          <w:szCs w:val="28"/>
          <w:lang w:eastAsia="zh-CN"/>
        </w:rPr>
        <w:t>121.</w:t>
      </w:r>
      <w:r>
        <w:rPr>
          <w:rFonts w:eastAsia="宋体"/>
          <w:b/>
          <w:sz w:val="28"/>
          <w:szCs w:val="28"/>
          <w:lang w:eastAsia="zh-CN"/>
        </w:rPr>
        <w:t>监管框架中是否有规定要求以下事项?请给出银行和非银行机构的答案。</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121</w:t>
      </w:r>
      <w:r>
        <w:rPr>
          <w:rFonts w:hint="eastAsia" w:eastAsia="宋体"/>
          <w:sz w:val="28"/>
          <w:szCs w:val="28"/>
          <w:lang w:eastAsia="zh-CN"/>
        </w:rPr>
        <w:t>a</w:t>
      </w:r>
      <w:r>
        <w:rPr>
          <w:rFonts w:eastAsia="宋体"/>
          <w:sz w:val="28"/>
          <w:szCs w:val="28"/>
          <w:lang w:eastAsia="zh-CN"/>
        </w:rPr>
        <w:t>.关于可疑活动的通知</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121b.纠正未经授权或错误执行的电子支付交易</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121c.其他</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sz w:val="28"/>
          <w:szCs w:val="28"/>
          <w:lang w:eastAsia="zh-CN"/>
        </w:rPr>
      </w:pPr>
      <w:r>
        <w:rPr>
          <w:rFonts w:eastAsia="宋体"/>
          <w:b/>
          <w:bCs/>
          <w:sz w:val="28"/>
          <w:szCs w:val="28"/>
          <w:lang w:eastAsia="zh-CN"/>
        </w:rPr>
        <w:t>122.</w:t>
      </w:r>
      <w:r>
        <w:rPr>
          <w:rFonts w:eastAsia="宋体"/>
          <w:b/>
          <w:sz w:val="28"/>
          <w:szCs w:val="28"/>
          <w:lang w:eastAsia="zh-CN"/>
        </w:rPr>
        <w:t>监管框架中是否有规定欺诈责任的一般条款?</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sz w:val="28"/>
          <w:szCs w:val="28"/>
          <w:lang w:eastAsia="zh-CN"/>
        </w:rPr>
      </w:pPr>
      <w:r>
        <w:rPr>
          <w:rFonts w:eastAsia="宋体"/>
          <w:b/>
          <w:bCs/>
          <w:sz w:val="28"/>
          <w:szCs w:val="28"/>
          <w:lang w:eastAsia="zh-CN"/>
        </w:rPr>
        <w:t>123.</w:t>
      </w:r>
      <w:r>
        <w:rPr>
          <w:rFonts w:eastAsia="宋体"/>
          <w:b/>
          <w:sz w:val="28"/>
          <w:szCs w:val="28"/>
          <w:lang w:eastAsia="zh-CN"/>
        </w:rPr>
        <w:t>监管框架中是否有法规，界定支付服务提供商对未经授权的支付交易的责任?请为银行和非银行机构提供答案。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sz w:val="28"/>
          <w:szCs w:val="28"/>
          <w:lang w:eastAsia="zh-CN"/>
        </w:rPr>
      </w:pPr>
      <w:r>
        <w:rPr>
          <w:rFonts w:eastAsia="宋体"/>
          <w:b/>
          <w:bCs/>
          <w:sz w:val="28"/>
          <w:szCs w:val="28"/>
          <w:lang w:eastAsia="zh-CN"/>
        </w:rPr>
        <w:t>124.</w:t>
      </w:r>
      <w:r>
        <w:rPr>
          <w:rFonts w:eastAsia="宋体"/>
          <w:b/>
          <w:sz w:val="28"/>
          <w:szCs w:val="28"/>
          <w:lang w:eastAsia="zh-CN"/>
        </w:rPr>
        <w:t>监管框架中是否有规定将付款人对未经授权的支付交易的责任限制在规定的金额内?请提供银行和非银行机构的答案。</w:t>
      </w:r>
      <w:r>
        <w:rPr>
          <w:rFonts w:eastAsia="宋体"/>
          <w:sz w:val="28"/>
          <w:szCs w:val="28"/>
          <w:lang w:eastAsia="zh-CN"/>
        </w:rPr>
        <w:t>(Y/N)</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b/>
          <w:sz w:val="28"/>
          <w:szCs w:val="28"/>
          <w:lang w:eastAsia="zh-CN"/>
        </w:rPr>
      </w:pPr>
      <w:r>
        <w:rPr>
          <w:rFonts w:eastAsia="宋体"/>
          <w:b/>
          <w:bCs/>
          <w:sz w:val="28"/>
          <w:szCs w:val="28"/>
          <w:lang w:eastAsia="zh-CN"/>
        </w:rPr>
        <w:t>125.</w:t>
      </w:r>
      <w:r>
        <w:rPr>
          <w:rFonts w:eastAsia="宋体"/>
          <w:b/>
          <w:sz w:val="28"/>
          <w:szCs w:val="28"/>
          <w:lang w:eastAsia="zh-CN"/>
        </w:rPr>
        <w:t>监管框架中是否有规定要求以下事项?请选择所有适用的条款。请同时提供银行和非银行机构的答案。</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125a.披露使用电子支付的所有费用</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125b.通知用户有关费用的变化</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125c.责任披露</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125d.披露客户数据的使用情况</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125e.投诉处理程序和制度的书面政策</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125f.一般服务条款(例如，处理速度，任何错误的解决时间等)</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sz w:val="28"/>
          <w:szCs w:val="28"/>
          <w:lang w:eastAsia="zh-CN"/>
        </w:rPr>
      </w:pPr>
      <w:r>
        <w:rPr>
          <w:rFonts w:eastAsia="宋体"/>
          <w:b/>
          <w:bCs/>
          <w:sz w:val="28"/>
          <w:szCs w:val="28"/>
          <w:lang w:eastAsia="zh-CN"/>
        </w:rPr>
        <w:t>126.</w:t>
      </w:r>
      <w:r>
        <w:rPr>
          <w:rFonts w:eastAsia="宋体"/>
          <w:b/>
          <w:sz w:val="28"/>
          <w:szCs w:val="28"/>
          <w:lang w:eastAsia="zh-CN"/>
        </w:rPr>
        <w:t>监管框架中是否有规定要求支付服务提供商提供争议解决机制?请为银行和非银行机构提供答案。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b/>
          <w:sz w:val="28"/>
          <w:szCs w:val="28"/>
          <w:lang w:eastAsia="zh-CN"/>
        </w:rPr>
      </w:pPr>
      <w:r>
        <w:rPr>
          <w:rFonts w:eastAsia="宋体"/>
          <w:b/>
          <w:bCs/>
          <w:sz w:val="28"/>
          <w:szCs w:val="28"/>
          <w:lang w:eastAsia="zh-CN"/>
        </w:rPr>
        <w:t>127.</w:t>
      </w:r>
      <w:r>
        <w:rPr>
          <w:rFonts w:eastAsia="宋体"/>
          <w:b/>
          <w:sz w:val="28"/>
          <w:szCs w:val="28"/>
          <w:lang w:eastAsia="zh-CN"/>
        </w:rPr>
        <w:t>如果问题126的答案是肯定的，有哪些不同的方法可以对交易费用进行争议?请给出银行和非银行机构的答案。</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127a.网上在线争议解决</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127b.通过电话</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127c</w:t>
      </w:r>
      <w:r>
        <w:rPr>
          <w:rFonts w:hint="eastAsia" w:eastAsia="宋体"/>
          <w:sz w:val="28"/>
          <w:szCs w:val="28"/>
          <w:lang w:eastAsia="zh-CN"/>
        </w:rPr>
        <w:t>.</w:t>
      </w:r>
      <w:r>
        <w:rPr>
          <w:rFonts w:eastAsia="宋体"/>
          <w:sz w:val="28"/>
          <w:szCs w:val="28"/>
          <w:lang w:eastAsia="zh-CN"/>
        </w:rPr>
        <w:t>以书面形式报告有争议的指控.</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127d.其他</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sz w:val="28"/>
          <w:szCs w:val="28"/>
          <w:lang w:eastAsia="zh-CN"/>
        </w:rPr>
      </w:pPr>
      <w:r>
        <w:rPr>
          <w:rFonts w:eastAsia="宋体"/>
          <w:b/>
          <w:bCs/>
          <w:sz w:val="28"/>
          <w:szCs w:val="28"/>
          <w:lang w:eastAsia="zh-CN"/>
        </w:rPr>
        <w:t>128.</w:t>
      </w:r>
      <w:r>
        <w:rPr>
          <w:rFonts w:eastAsia="宋体"/>
          <w:b/>
          <w:sz w:val="28"/>
          <w:szCs w:val="28"/>
          <w:lang w:eastAsia="zh-CN"/>
        </w:rPr>
        <w:t>付款/收费是否有时间限制?请提供银行和非银行的答案。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i/>
          <w:sz w:val="28"/>
          <w:szCs w:val="28"/>
          <w:lang w:eastAsia="zh-CN"/>
        </w:rPr>
      </w:pPr>
      <w:r>
        <w:rPr>
          <w:rFonts w:eastAsia="宋体"/>
          <w:b/>
          <w:bCs/>
          <w:sz w:val="28"/>
          <w:szCs w:val="28"/>
          <w:lang w:eastAsia="zh-CN"/>
        </w:rPr>
        <w:t>129.</w:t>
      </w:r>
      <w:r>
        <w:rPr>
          <w:rFonts w:eastAsia="宋体"/>
          <w:b/>
          <w:sz w:val="28"/>
          <w:szCs w:val="28"/>
          <w:lang w:eastAsia="zh-CN"/>
        </w:rPr>
        <w:t>如果有一个付款/收费可以争议的期限，期限是否因支付工具的类型而异?</w:t>
      </w:r>
      <w:r>
        <w:rPr>
          <w:rFonts w:eastAsia="宋体"/>
          <w:sz w:val="28"/>
          <w:szCs w:val="28"/>
          <w:lang w:eastAsia="zh-CN"/>
        </w:rPr>
        <w:t>(Y/N)</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i/>
          <w:sz w:val="28"/>
          <w:szCs w:val="28"/>
          <w:lang w:eastAsia="zh-CN"/>
        </w:rPr>
      </w:pPr>
      <w:r>
        <w:rPr>
          <w:rFonts w:eastAsia="宋体"/>
          <w:b/>
          <w:bCs/>
          <w:sz w:val="28"/>
          <w:szCs w:val="28"/>
          <w:lang w:eastAsia="zh-CN"/>
        </w:rPr>
        <w:t>130.</w:t>
      </w:r>
      <w:r>
        <w:rPr>
          <w:rFonts w:eastAsia="宋体"/>
          <w:b/>
          <w:sz w:val="28"/>
          <w:szCs w:val="28"/>
          <w:lang w:eastAsia="zh-CN"/>
        </w:rPr>
        <w:t>如果第129题的答案为</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，请提供仪器类型和相关时间限制。</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sz w:val="28"/>
          <w:szCs w:val="28"/>
          <w:lang w:eastAsia="zh-CN"/>
        </w:rPr>
      </w:pPr>
      <w:r>
        <w:rPr>
          <w:rFonts w:eastAsia="宋体"/>
          <w:b/>
          <w:bCs/>
          <w:sz w:val="28"/>
          <w:szCs w:val="28"/>
          <w:lang w:eastAsia="zh-CN"/>
        </w:rPr>
        <w:t>131.</w:t>
      </w:r>
      <w:r>
        <w:rPr>
          <w:rFonts w:eastAsia="宋体"/>
          <w:b/>
          <w:sz w:val="28"/>
          <w:szCs w:val="28"/>
          <w:lang w:eastAsia="zh-CN"/>
        </w:rPr>
        <w:t>支付服务提供者是否需要确认收到争议通知?请提供银行和非银行的答案。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sz w:val="28"/>
          <w:szCs w:val="28"/>
          <w:lang w:eastAsia="zh-CN"/>
        </w:rPr>
      </w:pPr>
      <w:r>
        <w:rPr>
          <w:rFonts w:eastAsia="宋体"/>
          <w:b/>
          <w:bCs/>
          <w:sz w:val="28"/>
          <w:szCs w:val="28"/>
          <w:lang w:eastAsia="zh-CN"/>
        </w:rPr>
        <w:t>132.</w:t>
      </w:r>
      <w:r>
        <w:rPr>
          <w:rFonts w:eastAsia="宋体"/>
          <w:b/>
          <w:sz w:val="28"/>
          <w:szCs w:val="28"/>
          <w:lang w:eastAsia="zh-CN"/>
        </w:rPr>
        <w:t>支付服务商是否要求有独立的政府机构来负责争议解决?请同时提供银行和非银行机构的答案。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734"/>
        </w:tabs>
        <w:spacing w:line="400" w:lineRule="exact"/>
        <w:ind w:left="0" w:firstLine="562" w:firstLineChars="200"/>
        <w:rPr>
          <w:rFonts w:eastAsia="宋体"/>
          <w:b/>
          <w:bCs/>
          <w:sz w:val="28"/>
          <w:szCs w:val="28"/>
          <w:lang w:eastAsia="zh-CN"/>
        </w:rPr>
      </w:pPr>
    </w:p>
    <w:p>
      <w:pPr>
        <w:pStyle w:val="11"/>
        <w:tabs>
          <w:tab w:val="left" w:pos="734"/>
        </w:tabs>
        <w:spacing w:line="400" w:lineRule="exact"/>
        <w:ind w:left="0" w:firstLine="562" w:firstLineChars="200"/>
        <w:rPr>
          <w:rFonts w:eastAsia="宋体"/>
          <w:sz w:val="28"/>
          <w:szCs w:val="28"/>
          <w:lang w:eastAsia="zh-CN"/>
        </w:rPr>
      </w:pPr>
      <w:r>
        <w:rPr>
          <w:rFonts w:eastAsia="宋体"/>
          <w:b/>
          <w:bCs/>
          <w:sz w:val="28"/>
          <w:szCs w:val="28"/>
          <w:lang w:eastAsia="zh-CN"/>
        </w:rPr>
        <w:t>133.</w:t>
      </w:r>
      <w:r>
        <w:rPr>
          <w:rFonts w:eastAsia="宋体"/>
          <w:b/>
          <w:sz w:val="28"/>
          <w:szCs w:val="28"/>
          <w:lang w:eastAsia="zh-CN"/>
        </w:rPr>
        <w:t>监管框架是否建立了一个独立的政府机构，在争议无法内部解决的情况下，各方可以求助于该机构?请为银行和非银行机构提供答案。</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652"/>
        </w:tabs>
        <w:spacing w:line="400" w:lineRule="exact"/>
        <w:ind w:left="0" w:firstLine="562" w:firstLineChars="200"/>
        <w:rPr>
          <w:rFonts w:eastAsia="宋体"/>
          <w:b/>
          <w:bCs/>
          <w:sz w:val="28"/>
          <w:szCs w:val="28"/>
          <w:lang w:eastAsia="zh-CN"/>
        </w:rPr>
      </w:pPr>
    </w:p>
    <w:p>
      <w:pPr>
        <w:pStyle w:val="11"/>
        <w:tabs>
          <w:tab w:val="left" w:pos="652"/>
        </w:tabs>
        <w:spacing w:line="400" w:lineRule="exact"/>
        <w:ind w:left="0" w:firstLine="562" w:firstLineChars="200"/>
        <w:rPr>
          <w:rFonts w:eastAsia="宋体"/>
          <w:i/>
          <w:sz w:val="28"/>
          <w:szCs w:val="28"/>
          <w:lang w:eastAsia="zh-CN"/>
        </w:rPr>
      </w:pPr>
      <w:r>
        <w:rPr>
          <w:rFonts w:eastAsia="宋体"/>
          <w:b/>
          <w:bCs/>
          <w:sz w:val="28"/>
          <w:szCs w:val="28"/>
          <w:lang w:eastAsia="zh-CN"/>
        </w:rPr>
        <w:t>134.</w:t>
      </w:r>
      <w:r>
        <w:rPr>
          <w:rFonts w:eastAsia="宋体"/>
          <w:b/>
          <w:sz w:val="28"/>
          <w:szCs w:val="28"/>
          <w:lang w:eastAsia="zh-CN"/>
        </w:rPr>
        <w:t>请提供向该独立政府机构申请的机构名称和规定的时限</w:t>
      </w:r>
      <w:r>
        <w:rPr>
          <w:rFonts w:eastAsia="宋体"/>
          <w:sz w:val="28"/>
          <w:szCs w:val="28"/>
          <w:lang w:eastAsia="zh-CN"/>
        </w:rPr>
        <w:t>(</w:t>
      </w:r>
      <w:r>
        <w:rPr>
          <w:rFonts w:eastAsia="宋体"/>
          <w:i/>
          <w:sz w:val="28"/>
          <w:szCs w:val="28"/>
          <w:lang w:eastAsia="zh-CN"/>
        </w:rPr>
        <w:t>支付</w:t>
      </w:r>
      <w:r>
        <w:rPr>
          <w:rFonts w:eastAsia="宋体"/>
          <w:i/>
          <w:spacing w:val="-6"/>
          <w:sz w:val="28"/>
          <w:szCs w:val="28"/>
          <w:lang w:eastAsia="zh-CN"/>
        </w:rPr>
        <w:t>服务</w:t>
      </w:r>
      <w:r>
        <w:rPr>
          <w:rFonts w:eastAsia="宋体"/>
          <w:i/>
          <w:sz w:val="28"/>
          <w:szCs w:val="28"/>
          <w:lang w:eastAsia="zh-CN"/>
        </w:rPr>
        <w:t>提供商</w:t>
      </w:r>
      <w:r>
        <w:rPr>
          <w:rFonts w:eastAsia="宋体"/>
          <w:i/>
          <w:spacing w:val="-4"/>
          <w:sz w:val="28"/>
          <w:szCs w:val="28"/>
          <w:lang w:eastAsia="zh-CN"/>
        </w:rPr>
        <w:t>争议</w:t>
      </w:r>
      <w:r>
        <w:rPr>
          <w:rFonts w:eastAsia="宋体"/>
          <w:i/>
          <w:sz w:val="28"/>
          <w:szCs w:val="28"/>
          <w:lang w:eastAsia="zh-CN"/>
        </w:rPr>
        <w:t>解决</w:t>
      </w:r>
      <w:r>
        <w:rPr>
          <w:rFonts w:eastAsia="宋体"/>
          <w:i/>
          <w:spacing w:val="-4"/>
          <w:sz w:val="28"/>
          <w:szCs w:val="28"/>
          <w:lang w:eastAsia="zh-CN"/>
        </w:rPr>
        <w:t>单位</w:t>
      </w:r>
      <w:r>
        <w:rPr>
          <w:rFonts w:eastAsia="宋体"/>
          <w:i/>
          <w:sz w:val="28"/>
          <w:szCs w:val="28"/>
          <w:lang w:eastAsia="zh-CN"/>
        </w:rPr>
        <w:t>最终</w:t>
      </w:r>
      <w:r>
        <w:rPr>
          <w:rFonts w:eastAsia="宋体"/>
          <w:i/>
          <w:spacing w:val="-4"/>
          <w:sz w:val="28"/>
          <w:szCs w:val="28"/>
          <w:lang w:eastAsia="zh-CN"/>
        </w:rPr>
        <w:t>决定</w:t>
      </w:r>
      <w:r>
        <w:rPr>
          <w:rFonts w:eastAsia="宋体"/>
          <w:i/>
          <w:sz w:val="28"/>
          <w:szCs w:val="28"/>
          <w:lang w:eastAsia="zh-CN"/>
        </w:rPr>
        <w:t>之</w:t>
      </w:r>
      <w:r>
        <w:rPr>
          <w:rFonts w:eastAsia="宋体"/>
          <w:i/>
          <w:spacing w:val="-4"/>
          <w:sz w:val="28"/>
          <w:szCs w:val="28"/>
          <w:lang w:eastAsia="zh-CN"/>
        </w:rPr>
        <w:t>日</w:t>
      </w:r>
      <w:r>
        <w:rPr>
          <w:rFonts w:eastAsia="宋体"/>
          <w:i/>
          <w:spacing w:val="-5"/>
          <w:sz w:val="28"/>
          <w:szCs w:val="28"/>
          <w:lang w:eastAsia="zh-CN"/>
        </w:rPr>
        <w:t>起</w:t>
      </w:r>
      <w:r>
        <w:rPr>
          <w:rFonts w:eastAsia="宋体"/>
          <w:i/>
          <w:sz w:val="28"/>
          <w:szCs w:val="28"/>
          <w:lang w:eastAsia="zh-CN"/>
        </w:rPr>
        <w:t>最长天数</w:t>
      </w:r>
      <w:r>
        <w:rPr>
          <w:rFonts w:eastAsia="宋体"/>
          <w:sz w:val="28"/>
          <w:szCs w:val="28"/>
          <w:lang w:eastAsia="zh-CN"/>
        </w:rPr>
        <w:t>)</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11"/>
        <w:tabs>
          <w:tab w:val="left" w:pos="652"/>
        </w:tabs>
        <w:spacing w:line="400" w:lineRule="exact"/>
        <w:ind w:left="0" w:firstLine="562" w:firstLineChars="200"/>
        <w:rPr>
          <w:rFonts w:eastAsia="宋体"/>
          <w:b/>
          <w:bCs/>
          <w:sz w:val="28"/>
          <w:szCs w:val="28"/>
          <w:lang w:eastAsia="zh-CN"/>
        </w:rPr>
      </w:pPr>
    </w:p>
    <w:p>
      <w:pPr>
        <w:pStyle w:val="11"/>
        <w:tabs>
          <w:tab w:val="left" w:pos="652"/>
        </w:tabs>
        <w:spacing w:line="400" w:lineRule="exact"/>
        <w:ind w:left="0" w:firstLine="562" w:firstLineChars="200"/>
        <w:rPr>
          <w:rFonts w:eastAsia="宋体"/>
          <w:sz w:val="28"/>
          <w:szCs w:val="28"/>
          <w:lang w:eastAsia="zh-CN"/>
        </w:rPr>
      </w:pPr>
      <w:r>
        <w:rPr>
          <w:rFonts w:eastAsia="宋体"/>
          <w:b/>
          <w:bCs/>
          <w:sz w:val="28"/>
          <w:szCs w:val="28"/>
          <w:lang w:eastAsia="zh-CN"/>
        </w:rPr>
        <w:t>135.</w:t>
      </w:r>
      <w:r>
        <w:rPr>
          <w:rFonts w:eastAsia="宋体"/>
          <w:b/>
          <w:sz w:val="28"/>
          <w:szCs w:val="28"/>
          <w:lang w:eastAsia="zh-CN"/>
        </w:rPr>
        <w:t>如果争议有待解决，法律是否允许收款人继续收取无争议的费用</w:t>
      </w:r>
      <w:r>
        <w:rPr>
          <w:rFonts w:eastAsia="宋体"/>
          <w:sz w:val="28"/>
          <w:szCs w:val="28"/>
          <w:lang w:eastAsia="zh-CN"/>
        </w:rPr>
        <w:t>(</w:t>
      </w:r>
      <w:r>
        <w:rPr>
          <w:rFonts w:eastAsia="宋体"/>
          <w:b/>
          <w:spacing w:val="-12"/>
          <w:sz w:val="28"/>
          <w:szCs w:val="28"/>
          <w:lang w:eastAsia="zh-CN"/>
        </w:rPr>
        <w:t>如</w:t>
      </w:r>
      <w:r>
        <w:rPr>
          <w:rFonts w:eastAsia="宋体"/>
          <w:i/>
          <w:sz w:val="28"/>
          <w:szCs w:val="28"/>
          <w:lang w:eastAsia="zh-CN"/>
        </w:rPr>
        <w:t>适用</w:t>
      </w:r>
      <w:r>
        <w:rPr>
          <w:rFonts w:eastAsia="宋体"/>
          <w:sz w:val="28"/>
          <w:szCs w:val="28"/>
          <w:lang w:eastAsia="zh-CN"/>
        </w:rPr>
        <w:t>)</w:t>
      </w:r>
      <w:r>
        <w:rPr>
          <w:rFonts w:eastAsia="宋体"/>
          <w:b/>
          <w:sz w:val="28"/>
          <w:szCs w:val="28"/>
          <w:lang w:eastAsia="zh-CN"/>
        </w:rPr>
        <w:t>?请提供银行和非银行机构的答案。</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11"/>
        <w:tabs>
          <w:tab w:val="left" w:pos="652"/>
        </w:tabs>
        <w:spacing w:line="400" w:lineRule="exact"/>
        <w:ind w:left="0" w:firstLine="562" w:firstLineChars="200"/>
        <w:rPr>
          <w:rFonts w:eastAsia="宋体"/>
          <w:b/>
          <w:bCs/>
          <w:sz w:val="28"/>
          <w:szCs w:val="28"/>
          <w:lang w:eastAsia="zh-CN"/>
        </w:rPr>
      </w:pPr>
    </w:p>
    <w:p>
      <w:pPr>
        <w:pStyle w:val="11"/>
        <w:tabs>
          <w:tab w:val="left" w:pos="652"/>
        </w:tabs>
        <w:spacing w:line="400" w:lineRule="exact"/>
        <w:ind w:left="0" w:firstLine="562" w:firstLineChars="200"/>
        <w:rPr>
          <w:rFonts w:eastAsia="宋体"/>
          <w:b/>
          <w:sz w:val="28"/>
          <w:szCs w:val="28"/>
          <w:lang w:eastAsia="zh-CN"/>
        </w:rPr>
      </w:pPr>
      <w:r>
        <w:rPr>
          <w:rFonts w:eastAsia="宋体"/>
          <w:b/>
          <w:bCs/>
          <w:sz w:val="28"/>
          <w:szCs w:val="28"/>
          <w:lang w:eastAsia="zh-CN"/>
        </w:rPr>
        <w:t>136.</w:t>
      </w:r>
      <w:r>
        <w:rPr>
          <w:rFonts w:eastAsia="宋体"/>
          <w:b/>
          <w:sz w:val="28"/>
          <w:szCs w:val="28"/>
          <w:lang w:eastAsia="zh-CN"/>
        </w:rPr>
        <w:t>在管辖权中互操作性的水平和范围程度是如何?请选择所有适用的。请同时提供银行和非银行机构的答案。</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这个问题指的是经济体内部PSP的互操作性，不包括跨境支付。</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136a.付款人只能从他/她的支付服务提供商向同一支付服务提供商的收款人付款</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136b.付款人可以向大多数支付服务提供商的收款人付款</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136c.付款人可以向所有支付服务提供商的收款人付款，包括非银行PSP</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136d.其他</w:t>
      </w:r>
    </w:p>
    <w:p>
      <w:pPr>
        <w:pStyle w:val="11"/>
        <w:tabs>
          <w:tab w:val="left" w:pos="652"/>
        </w:tabs>
        <w:spacing w:line="400" w:lineRule="exact"/>
        <w:ind w:left="0" w:firstLine="562" w:firstLineChars="200"/>
        <w:rPr>
          <w:rFonts w:eastAsia="宋体"/>
          <w:b/>
          <w:bCs/>
          <w:sz w:val="28"/>
          <w:szCs w:val="28"/>
          <w:lang w:eastAsia="zh-CN"/>
        </w:rPr>
      </w:pPr>
    </w:p>
    <w:p>
      <w:pPr>
        <w:pStyle w:val="11"/>
        <w:tabs>
          <w:tab w:val="left" w:pos="652"/>
        </w:tabs>
        <w:spacing w:line="400" w:lineRule="exact"/>
        <w:ind w:left="0" w:firstLine="562" w:firstLineChars="200"/>
        <w:rPr>
          <w:rFonts w:eastAsia="宋体"/>
          <w:i/>
          <w:sz w:val="28"/>
          <w:szCs w:val="28"/>
          <w:lang w:eastAsia="zh-CN"/>
        </w:rPr>
      </w:pPr>
      <w:r>
        <w:rPr>
          <w:rFonts w:eastAsia="宋体"/>
          <w:b/>
          <w:bCs/>
          <w:sz w:val="28"/>
          <w:szCs w:val="28"/>
          <w:lang w:eastAsia="zh-CN"/>
        </w:rPr>
        <w:t>137.</w:t>
      </w:r>
      <w:r>
        <w:rPr>
          <w:rFonts w:eastAsia="宋体"/>
          <w:b/>
          <w:sz w:val="28"/>
          <w:szCs w:val="28"/>
          <w:lang w:eastAsia="zh-CN"/>
        </w:rPr>
        <w:t>如果问题136对于136a, 136b, 136c，或136d的答案是肯定的，请选择它是法律上的要求，事实上还是两者兼而有之</w:t>
      </w:r>
      <w:r>
        <w:rPr>
          <w:rFonts w:hint="eastAsia" w:eastAsia="宋体"/>
          <w:i/>
          <w:sz w:val="28"/>
          <w:szCs w:val="28"/>
          <w:lang w:eastAsia="zh-CN"/>
        </w:rPr>
        <w:t>：</w:t>
      </w:r>
      <w:r>
        <w:rPr>
          <w:rFonts w:eastAsia="宋体"/>
          <w:i/>
          <w:sz w:val="28"/>
          <w:szCs w:val="28"/>
          <w:lang w:eastAsia="zh-CN"/>
        </w:rPr>
        <w:t>(不计分)</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137a.法律上的</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137b.事实上的</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137c.两个兼有</w:t>
      </w:r>
    </w:p>
    <w:p>
      <w:pPr>
        <w:pStyle w:val="11"/>
        <w:tabs>
          <w:tab w:val="left" w:pos="652"/>
        </w:tabs>
        <w:spacing w:line="400" w:lineRule="exact"/>
        <w:ind w:left="0" w:firstLine="562" w:firstLineChars="200"/>
        <w:rPr>
          <w:rFonts w:eastAsia="宋体"/>
          <w:b/>
          <w:bCs/>
          <w:sz w:val="28"/>
          <w:szCs w:val="28"/>
          <w:lang w:eastAsia="zh-CN"/>
        </w:rPr>
      </w:pPr>
    </w:p>
    <w:p>
      <w:pPr>
        <w:pStyle w:val="11"/>
        <w:tabs>
          <w:tab w:val="left" w:pos="652"/>
        </w:tabs>
        <w:spacing w:line="400" w:lineRule="exact"/>
        <w:ind w:left="0" w:firstLine="562" w:firstLineChars="200"/>
        <w:rPr>
          <w:rFonts w:eastAsia="宋体"/>
          <w:i/>
          <w:sz w:val="28"/>
          <w:szCs w:val="28"/>
          <w:lang w:eastAsia="zh-CN"/>
        </w:rPr>
      </w:pPr>
      <w:r>
        <w:rPr>
          <w:rFonts w:eastAsia="宋体"/>
          <w:b/>
          <w:bCs/>
          <w:sz w:val="28"/>
          <w:szCs w:val="28"/>
          <w:lang w:eastAsia="zh-CN"/>
        </w:rPr>
        <w:t>138.</w:t>
      </w:r>
      <w:r>
        <w:rPr>
          <w:rFonts w:eastAsia="宋体"/>
          <w:b/>
          <w:sz w:val="28"/>
          <w:szCs w:val="28"/>
          <w:lang w:eastAsia="zh-CN"/>
        </w:rPr>
        <w:t>司法管辖区内的互操作性水平和程度是否适用于所有支付工具?</w:t>
      </w:r>
      <w:r>
        <w:rPr>
          <w:rFonts w:eastAsia="宋体"/>
          <w:sz w:val="28"/>
          <w:szCs w:val="28"/>
          <w:lang w:eastAsia="zh-CN"/>
        </w:rPr>
        <w:t>(Y/N)</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11"/>
        <w:tabs>
          <w:tab w:val="left" w:pos="652"/>
        </w:tabs>
        <w:spacing w:line="400" w:lineRule="exact"/>
        <w:ind w:left="0" w:firstLine="602" w:firstLineChars="200"/>
        <w:outlineLvl w:val="0"/>
        <w:rPr>
          <w:rFonts w:eastAsia="宋体"/>
          <w:b/>
          <w:bCs/>
          <w:sz w:val="30"/>
          <w:szCs w:val="30"/>
          <w:lang w:eastAsia="zh-CN"/>
        </w:rPr>
      </w:pPr>
    </w:p>
    <w:p>
      <w:pPr>
        <w:pStyle w:val="11"/>
        <w:tabs>
          <w:tab w:val="left" w:pos="652"/>
        </w:tabs>
        <w:spacing w:line="400" w:lineRule="exact"/>
        <w:ind w:left="0" w:firstLine="562" w:firstLineChars="200"/>
        <w:outlineLvl w:val="0"/>
        <w:rPr>
          <w:rFonts w:eastAsia="宋体"/>
          <w:i/>
          <w:sz w:val="28"/>
          <w:szCs w:val="28"/>
          <w:lang w:eastAsia="zh-CN"/>
        </w:rPr>
      </w:pPr>
      <w:r>
        <w:rPr>
          <w:rFonts w:eastAsia="宋体"/>
          <w:b/>
          <w:bCs/>
          <w:sz w:val="28"/>
          <w:szCs w:val="28"/>
          <w:lang w:eastAsia="zh-CN"/>
        </w:rPr>
        <w:t>139.</w:t>
      </w:r>
      <w:r>
        <w:rPr>
          <w:rFonts w:eastAsia="宋体"/>
          <w:b/>
          <w:sz w:val="28"/>
          <w:szCs w:val="28"/>
          <w:lang w:eastAsia="zh-CN"/>
        </w:rPr>
        <w:t>如果否，请注明哪些支付工具不可互操作</w:t>
      </w:r>
      <w:r>
        <w:rPr>
          <w:rFonts w:eastAsia="宋体"/>
          <w:i/>
          <w:sz w:val="28"/>
          <w:szCs w:val="28"/>
          <w:lang w:eastAsia="zh-CN"/>
        </w:rPr>
        <w:t>(</w:t>
      </w:r>
      <w:r>
        <w:rPr>
          <w:rFonts w:hint="eastAsia" w:eastAsia="宋体"/>
          <w:i/>
          <w:sz w:val="28"/>
          <w:szCs w:val="28"/>
          <w:lang w:eastAsia="zh-CN"/>
        </w:rPr>
        <w:t>不计分</w:t>
      </w:r>
      <w:r>
        <w:rPr>
          <w:rFonts w:eastAsia="宋体"/>
          <w:i/>
          <w:spacing w:val="-2"/>
          <w:sz w:val="28"/>
          <w:szCs w:val="28"/>
          <w:lang w:eastAsia="zh-CN"/>
        </w:rPr>
        <w:t>)</w:t>
      </w:r>
    </w:p>
    <w:p>
      <w:pPr>
        <w:pStyle w:val="11"/>
        <w:tabs>
          <w:tab w:val="left" w:pos="652"/>
        </w:tabs>
        <w:spacing w:line="400" w:lineRule="exact"/>
        <w:ind w:left="0" w:firstLine="562" w:firstLineChars="200"/>
        <w:rPr>
          <w:rFonts w:eastAsia="宋体"/>
          <w:b/>
          <w:bCs/>
          <w:sz w:val="28"/>
          <w:szCs w:val="28"/>
          <w:lang w:eastAsia="zh-CN"/>
        </w:rPr>
      </w:pPr>
    </w:p>
    <w:p>
      <w:pPr>
        <w:pStyle w:val="11"/>
        <w:tabs>
          <w:tab w:val="left" w:pos="652"/>
        </w:tabs>
        <w:spacing w:line="400" w:lineRule="exact"/>
        <w:ind w:left="0" w:firstLine="562" w:firstLineChars="200"/>
        <w:rPr>
          <w:rFonts w:eastAsia="宋体"/>
          <w:b/>
          <w:sz w:val="28"/>
          <w:szCs w:val="28"/>
          <w:lang w:eastAsia="zh-CN"/>
        </w:rPr>
      </w:pPr>
      <w:r>
        <w:rPr>
          <w:rFonts w:eastAsia="宋体"/>
          <w:b/>
          <w:bCs/>
          <w:sz w:val="28"/>
          <w:szCs w:val="28"/>
          <w:lang w:eastAsia="zh-CN"/>
        </w:rPr>
        <w:t>140.</w:t>
      </w:r>
      <w:r>
        <w:rPr>
          <w:rFonts w:eastAsia="宋体"/>
          <w:b/>
          <w:sz w:val="28"/>
          <w:szCs w:val="28"/>
          <w:lang w:eastAsia="zh-CN"/>
        </w:rPr>
        <w:t>监管框架是否包括以下方面的公平竞争条款?</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公平竞争条款的例子包括禁止与竞争对手就定价、客户、市场分配和抵制达成协议的法律条款，或一般禁止从事不公平或排他性行为的法律条款。</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140a.电子支付服务提供商</w:t>
      </w:r>
      <w:r>
        <w:rPr>
          <w:rFonts w:hint="eastAsia" w:eastAsia="宋体"/>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140b</w:t>
      </w:r>
      <w:r>
        <w:rPr>
          <w:rFonts w:hint="eastAsia" w:eastAsia="宋体"/>
          <w:sz w:val="28"/>
          <w:szCs w:val="28"/>
          <w:lang w:eastAsia="zh-CN"/>
        </w:rPr>
        <w:t>.</w:t>
      </w:r>
      <w:r>
        <w:rPr>
          <w:rFonts w:eastAsia="宋体"/>
          <w:sz w:val="28"/>
          <w:szCs w:val="28"/>
          <w:lang w:eastAsia="zh-CN"/>
        </w:rPr>
        <w:t>支付系统</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140c.仪器</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140d.产品</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140e.商业模式</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140f.渠道</w:t>
      </w:r>
    </w:p>
    <w:p>
      <w:pPr>
        <w:pStyle w:val="11"/>
        <w:tabs>
          <w:tab w:val="left" w:pos="652"/>
        </w:tabs>
        <w:spacing w:line="400" w:lineRule="exact"/>
        <w:ind w:left="0" w:firstLine="562" w:firstLineChars="200"/>
        <w:rPr>
          <w:rFonts w:eastAsia="宋体"/>
          <w:b/>
          <w:bCs/>
          <w:sz w:val="28"/>
          <w:szCs w:val="28"/>
          <w:lang w:eastAsia="zh-CN"/>
        </w:rPr>
      </w:pPr>
    </w:p>
    <w:p>
      <w:pPr>
        <w:pStyle w:val="11"/>
        <w:tabs>
          <w:tab w:val="left" w:pos="652"/>
        </w:tabs>
        <w:spacing w:line="400" w:lineRule="exact"/>
        <w:ind w:left="0" w:firstLine="562" w:firstLineChars="200"/>
        <w:rPr>
          <w:rFonts w:eastAsia="宋体"/>
          <w:sz w:val="28"/>
          <w:szCs w:val="28"/>
          <w:lang w:eastAsia="zh-CN"/>
        </w:rPr>
      </w:pPr>
      <w:r>
        <w:rPr>
          <w:rFonts w:eastAsia="宋体"/>
          <w:b/>
          <w:bCs/>
          <w:sz w:val="28"/>
          <w:szCs w:val="28"/>
          <w:lang w:eastAsia="zh-CN"/>
        </w:rPr>
        <w:t>141.</w:t>
      </w:r>
      <w:r>
        <w:rPr>
          <w:rFonts w:eastAsia="宋体"/>
          <w:b/>
          <w:sz w:val="28"/>
          <w:szCs w:val="28"/>
          <w:lang w:eastAsia="zh-CN"/>
        </w:rPr>
        <w:t>监管框架中是否有关于新的支付服务提供商、工具、产品、商业模式和渠道的规定，给予他们与</w:t>
      </w:r>
      <w:r>
        <w:rPr>
          <w:rFonts w:eastAsia="宋体"/>
          <w:b/>
          <w:spacing w:val="-9"/>
          <w:sz w:val="28"/>
          <w:szCs w:val="28"/>
          <w:lang w:eastAsia="zh-CN"/>
        </w:rPr>
        <w:t>现有</w:t>
      </w:r>
      <w:r>
        <w:rPr>
          <w:rFonts w:eastAsia="宋体"/>
          <w:b/>
          <w:sz w:val="28"/>
          <w:szCs w:val="28"/>
          <w:lang w:eastAsia="zh-CN"/>
        </w:rPr>
        <w:t>参与者平等的市场准入</w:t>
      </w:r>
      <w:r>
        <w:rPr>
          <w:rFonts w:eastAsia="宋体"/>
          <w:b/>
          <w:spacing w:val="-10"/>
          <w:sz w:val="28"/>
          <w:szCs w:val="28"/>
          <w:lang w:eastAsia="zh-CN"/>
        </w:rPr>
        <w:t>?</w:t>
      </w:r>
      <w:r>
        <w:rPr>
          <w:rFonts w:eastAsia="宋体"/>
          <w:sz w:val="28"/>
          <w:szCs w:val="28"/>
          <w:lang w:eastAsia="zh-CN"/>
        </w:rPr>
        <w:t>(Y/N) (Y-有直接授予平等准入的条款/N-通过缺乏限制间接授予平等准入的条款/N-框架中有拒绝平等准入的限制/限制)</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平等准入是指新的支付服务提供商开始在其他竞争性服务提供商中不受限制地向用户提供服务的可能性(例如，无法访问关键支付系统，某些PSP与商家和代理商签订排他性合同等)。</w:t>
      </w:r>
    </w:p>
    <w:p>
      <w:pPr>
        <w:pStyle w:val="11"/>
        <w:tabs>
          <w:tab w:val="left" w:pos="652"/>
        </w:tabs>
        <w:spacing w:line="400" w:lineRule="exact"/>
        <w:ind w:left="0" w:firstLine="562" w:firstLineChars="200"/>
        <w:rPr>
          <w:rFonts w:eastAsia="宋体"/>
          <w:b/>
          <w:bCs/>
          <w:sz w:val="28"/>
          <w:szCs w:val="28"/>
          <w:lang w:eastAsia="zh-CN"/>
        </w:rPr>
      </w:pPr>
    </w:p>
    <w:p>
      <w:pPr>
        <w:pStyle w:val="11"/>
        <w:tabs>
          <w:tab w:val="left" w:pos="652"/>
        </w:tabs>
        <w:spacing w:line="400" w:lineRule="exact"/>
        <w:ind w:left="0" w:firstLine="562" w:firstLineChars="200"/>
        <w:rPr>
          <w:rFonts w:eastAsia="宋体"/>
          <w:sz w:val="28"/>
          <w:szCs w:val="28"/>
          <w:lang w:eastAsia="zh-CN"/>
        </w:rPr>
      </w:pPr>
      <w:r>
        <w:rPr>
          <w:rFonts w:eastAsia="宋体"/>
          <w:b/>
          <w:bCs/>
          <w:sz w:val="28"/>
          <w:szCs w:val="28"/>
          <w:lang w:eastAsia="zh-CN"/>
        </w:rPr>
        <w:t>142.</w:t>
      </w:r>
      <w:r>
        <w:rPr>
          <w:rFonts w:eastAsia="宋体"/>
          <w:b/>
          <w:sz w:val="28"/>
          <w:szCs w:val="28"/>
          <w:lang w:eastAsia="zh-CN"/>
        </w:rPr>
        <w:t>注册和许可的规则/程序是否以公平和相称的方式适用于所有新的支付服务提供商、工具、产品、商业模式和渠道，并确保公平的竞争环境?</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11"/>
        <w:tabs>
          <w:tab w:val="left" w:pos="652"/>
        </w:tabs>
        <w:spacing w:line="400" w:lineRule="exact"/>
        <w:ind w:left="0" w:firstLine="562" w:firstLineChars="200"/>
        <w:outlineLvl w:val="0"/>
        <w:rPr>
          <w:rFonts w:eastAsia="宋体"/>
          <w:b/>
          <w:bCs/>
          <w:sz w:val="28"/>
          <w:szCs w:val="28"/>
          <w:lang w:eastAsia="zh-CN"/>
        </w:rPr>
      </w:pPr>
    </w:p>
    <w:p>
      <w:pPr>
        <w:pStyle w:val="11"/>
        <w:tabs>
          <w:tab w:val="left" w:pos="652"/>
        </w:tabs>
        <w:spacing w:line="400" w:lineRule="exact"/>
        <w:ind w:left="0" w:firstLine="562" w:firstLineChars="200"/>
        <w:outlineLvl w:val="0"/>
        <w:rPr>
          <w:rFonts w:eastAsia="宋体"/>
          <w:sz w:val="28"/>
          <w:szCs w:val="28"/>
          <w:lang w:eastAsia="zh-CN"/>
        </w:rPr>
      </w:pPr>
      <w:r>
        <w:rPr>
          <w:rFonts w:eastAsia="宋体"/>
          <w:b/>
          <w:bCs/>
          <w:sz w:val="28"/>
          <w:szCs w:val="28"/>
          <w:lang w:eastAsia="zh-CN"/>
        </w:rPr>
        <w:t>143.</w:t>
      </w:r>
      <w:r>
        <w:rPr>
          <w:rFonts w:eastAsia="宋体"/>
          <w:b/>
          <w:sz w:val="28"/>
          <w:szCs w:val="28"/>
          <w:lang w:eastAsia="zh-CN"/>
        </w:rPr>
        <w:t>监管框架是否对支付服务提供商设定了功能要求?</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功能需求的类型可以是外部接口、事务处理、身份认证、授权级别、技术标准(数据采集、数据存储、数据共享)等。</w:t>
      </w:r>
    </w:p>
    <w:p>
      <w:pPr>
        <w:pStyle w:val="11"/>
        <w:tabs>
          <w:tab w:val="left" w:pos="652"/>
        </w:tabs>
        <w:spacing w:line="400" w:lineRule="exact"/>
        <w:ind w:left="0" w:firstLine="562" w:firstLineChars="200"/>
        <w:rPr>
          <w:rFonts w:eastAsia="宋体"/>
          <w:sz w:val="28"/>
          <w:szCs w:val="28"/>
        </w:rPr>
      </w:pPr>
      <w:r>
        <w:rPr>
          <w:rFonts w:eastAsia="宋体"/>
          <w:b/>
          <w:bCs/>
          <w:sz w:val="28"/>
          <w:szCs w:val="28"/>
        </w:rPr>
        <w:t>144.</w:t>
      </w:r>
      <w:r>
        <w:rPr>
          <w:rFonts w:eastAsia="宋体"/>
          <w:b/>
          <w:sz w:val="28"/>
          <w:szCs w:val="28"/>
        </w:rPr>
        <w:t>功能需求是否按比例适用于所有支付服务提供商?</w:t>
      </w:r>
      <w:r>
        <w:rPr>
          <w:rFonts w:eastAsia="宋体"/>
          <w:spacing w:val="-2"/>
          <w:sz w:val="28"/>
          <w:szCs w:val="28"/>
        </w:rPr>
        <w:t>(</w:t>
      </w:r>
      <w:r>
        <w:rPr>
          <w:rFonts w:hint="eastAsia" w:eastAsia="宋体"/>
          <w:spacing w:val="-2"/>
          <w:sz w:val="28"/>
          <w:szCs w:val="28"/>
          <w:lang w:eastAsia="zh-CN"/>
        </w:rPr>
        <w:t>Y/N</w:t>
      </w:r>
      <w:r>
        <w:rPr>
          <w:rFonts w:eastAsia="宋体"/>
          <w:spacing w:val="-2"/>
          <w:sz w:val="28"/>
          <w:szCs w:val="28"/>
        </w:rPr>
        <w:t>)</w:t>
      </w:r>
    </w:p>
    <w:p>
      <w:pPr>
        <w:spacing w:line="400" w:lineRule="exact"/>
        <w:ind w:firstLine="560" w:firstLineChars="200"/>
        <w:rPr>
          <w:rFonts w:eastAsia="宋体"/>
          <w:sz w:val="28"/>
          <w:szCs w:val="28"/>
        </w:rPr>
        <w:sectPr>
          <w:pgSz w:w="12240" w:h="15840"/>
          <w:pgMar w:top="1440" w:right="1800" w:bottom="1440" w:left="1800" w:header="720" w:footer="720" w:gutter="0"/>
          <w:cols w:space="720" w:num="1"/>
        </w:sectPr>
      </w:pPr>
    </w:p>
    <w:p>
      <w:pPr>
        <w:pStyle w:val="5"/>
        <w:spacing w:before="8"/>
        <w:rPr>
          <w:sz w:val="16"/>
        </w:rPr>
      </w:pPr>
    </w:p>
    <w:tbl>
      <w:tblPr>
        <w:tblStyle w:val="8"/>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29"/>
        <w:gridCol w:w="996"/>
        <w:gridCol w:w="1085"/>
        <w:gridCol w:w="14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36" w:type="dxa"/>
            <w:gridSpan w:val="4"/>
            <w:shd w:val="clear" w:color="auto" w:fill="CCD4EA"/>
            <w:vAlign w:val="center"/>
          </w:tcPr>
          <w:p>
            <w:pPr>
              <w:pStyle w:val="12"/>
              <w:spacing w:before="101"/>
              <w:jc w:val="both"/>
              <w:rPr>
                <w:rFonts w:eastAsia="宋体"/>
                <w:b/>
                <w:sz w:val="21"/>
                <w:szCs w:val="21"/>
                <w:lang w:eastAsia="zh-CN"/>
              </w:rPr>
            </w:pPr>
            <w:r>
              <w:rPr>
                <w:rFonts w:eastAsia="宋体"/>
                <w:b/>
                <w:color w:val="4471C4"/>
                <w:sz w:val="21"/>
                <w:szCs w:val="21"/>
                <w:lang w:eastAsia="zh-CN"/>
              </w:rPr>
              <w:t>2.6电子支付的良好监管实践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6" w:type="dxa"/>
            <w:gridSpan w:val="4"/>
            <w:shd w:val="clear" w:color="auto" w:fill="E7EBF5"/>
            <w:vAlign w:val="center"/>
          </w:tcPr>
          <w:p>
            <w:pPr>
              <w:pStyle w:val="12"/>
              <w:spacing w:before="101"/>
              <w:ind w:left="467"/>
              <w:jc w:val="both"/>
              <w:rPr>
                <w:rFonts w:eastAsia="宋体"/>
                <w:b/>
                <w:sz w:val="21"/>
                <w:szCs w:val="21"/>
              </w:rPr>
            </w:pPr>
            <w:r>
              <w:rPr>
                <w:rFonts w:eastAsia="宋体"/>
                <w:b/>
                <w:sz w:val="21"/>
                <w:szCs w:val="21"/>
              </w:rPr>
              <w:t>2.6.1风险管理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29" w:type="dxa"/>
            <w:vAlign w:val="center"/>
          </w:tcPr>
          <w:p>
            <w:pPr>
              <w:pStyle w:val="12"/>
              <w:spacing w:before="26"/>
              <w:jc w:val="both"/>
              <w:rPr>
                <w:rFonts w:eastAsia="宋体"/>
                <w:b/>
                <w:sz w:val="21"/>
                <w:szCs w:val="21"/>
              </w:rPr>
            </w:pPr>
            <w:r>
              <w:rPr>
                <w:rFonts w:eastAsia="宋体"/>
                <w:b/>
                <w:spacing w:val="-2"/>
                <w:sz w:val="21"/>
                <w:szCs w:val="21"/>
              </w:rPr>
              <w:t>指标</w:t>
            </w:r>
          </w:p>
        </w:tc>
        <w:tc>
          <w:tcPr>
            <w:tcW w:w="996" w:type="dxa"/>
            <w:vAlign w:val="center"/>
          </w:tcPr>
          <w:p>
            <w:pPr>
              <w:pStyle w:val="12"/>
              <w:spacing w:before="26"/>
              <w:jc w:val="center"/>
              <w:rPr>
                <w:rFonts w:eastAsia="宋体"/>
                <w:b/>
                <w:sz w:val="21"/>
                <w:szCs w:val="21"/>
              </w:rPr>
            </w:pPr>
            <w:r>
              <w:rPr>
                <w:rFonts w:eastAsia="宋体"/>
                <w:b/>
                <w:spacing w:val="-5"/>
                <w:sz w:val="21"/>
                <w:szCs w:val="21"/>
              </w:rPr>
              <w:t>FFP</w:t>
            </w:r>
          </w:p>
        </w:tc>
        <w:tc>
          <w:tcPr>
            <w:tcW w:w="1085" w:type="dxa"/>
            <w:vAlign w:val="center"/>
          </w:tcPr>
          <w:p>
            <w:pPr>
              <w:pStyle w:val="12"/>
              <w:spacing w:before="26"/>
              <w:jc w:val="center"/>
              <w:rPr>
                <w:rFonts w:eastAsia="宋体"/>
                <w:b/>
                <w:sz w:val="21"/>
                <w:szCs w:val="21"/>
              </w:rPr>
            </w:pPr>
            <w:r>
              <w:rPr>
                <w:rFonts w:eastAsia="宋体"/>
                <w:b/>
                <w:spacing w:val="-5"/>
                <w:sz w:val="21"/>
                <w:szCs w:val="21"/>
              </w:rPr>
              <w:t>SBP</w:t>
            </w:r>
          </w:p>
        </w:tc>
        <w:tc>
          <w:tcPr>
            <w:tcW w:w="1426" w:type="dxa"/>
            <w:vAlign w:val="center"/>
          </w:tcPr>
          <w:p>
            <w:pPr>
              <w:pStyle w:val="12"/>
              <w:spacing w:before="26"/>
              <w:jc w:val="center"/>
              <w:rPr>
                <w:rFonts w:eastAsia="宋体"/>
                <w:b/>
                <w:sz w:val="21"/>
                <w:szCs w:val="21"/>
              </w:rPr>
            </w:pPr>
            <w:r>
              <w:rPr>
                <w:rFonts w:hint="eastAsia" w:eastAsia="宋体"/>
                <w:b/>
                <w:sz w:val="21"/>
                <w:szCs w:val="21"/>
                <w:lang w:eastAsia="zh-CN"/>
              </w:rPr>
              <w:t>总</w:t>
            </w: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6" w:hRule="atLeast"/>
        </w:trPr>
        <w:tc>
          <w:tcPr>
            <w:tcW w:w="5929" w:type="dxa"/>
            <w:vAlign w:val="center"/>
          </w:tcPr>
          <w:p>
            <w:pPr>
              <w:pStyle w:val="12"/>
              <w:spacing w:line="230" w:lineRule="exact"/>
              <w:jc w:val="both"/>
              <w:rPr>
                <w:rFonts w:eastAsia="宋体"/>
                <w:b/>
                <w:sz w:val="21"/>
                <w:szCs w:val="21"/>
              </w:rPr>
            </w:pPr>
            <w:r>
              <w:rPr>
                <w:rFonts w:eastAsia="宋体"/>
                <w:b/>
                <w:sz w:val="21"/>
                <w:szCs w:val="21"/>
              </w:rPr>
              <w:t>外部审查和内部控制</w:t>
            </w:r>
          </w:p>
          <w:p>
            <w:pPr>
              <w:pStyle w:val="12"/>
              <w:numPr>
                <w:ilvl w:val="0"/>
                <w:numId w:val="7"/>
              </w:numPr>
              <w:tabs>
                <w:tab w:val="left" w:pos="467"/>
                <w:tab w:val="left" w:pos="468"/>
              </w:tabs>
              <w:spacing w:before="7" w:line="230" w:lineRule="auto"/>
              <w:ind w:right="552"/>
              <w:jc w:val="both"/>
              <w:rPr>
                <w:rFonts w:eastAsia="宋体"/>
                <w:sz w:val="21"/>
                <w:szCs w:val="21"/>
                <w:lang w:eastAsia="zh-CN"/>
              </w:rPr>
            </w:pPr>
            <w:r>
              <w:rPr>
                <w:rFonts w:eastAsia="宋体"/>
                <w:sz w:val="21"/>
                <w:szCs w:val="21"/>
                <w:lang w:eastAsia="zh-CN"/>
              </w:rPr>
              <w:t>支付服务提供商监管合规性的外部审查(PSP) (103和104)</w:t>
            </w:r>
          </w:p>
          <w:p>
            <w:pPr>
              <w:pStyle w:val="12"/>
              <w:numPr>
                <w:ilvl w:val="0"/>
                <w:numId w:val="7"/>
              </w:numPr>
              <w:tabs>
                <w:tab w:val="left" w:pos="467"/>
                <w:tab w:val="left" w:pos="468"/>
              </w:tabs>
              <w:spacing w:before="1" w:line="213" w:lineRule="exact"/>
              <w:ind w:hanging="361"/>
              <w:jc w:val="both"/>
              <w:rPr>
                <w:rFonts w:eastAsia="宋体"/>
                <w:sz w:val="21"/>
                <w:szCs w:val="21"/>
              </w:rPr>
            </w:pPr>
            <w:r>
              <w:rPr>
                <w:rFonts w:eastAsia="宋体"/>
                <w:sz w:val="21"/>
                <w:szCs w:val="21"/>
              </w:rPr>
              <w:t>内部控制的实施(106)</w:t>
            </w:r>
          </w:p>
        </w:tc>
        <w:tc>
          <w:tcPr>
            <w:tcW w:w="996" w:type="dxa"/>
            <w:vAlign w:val="center"/>
          </w:tcPr>
          <w:p>
            <w:pPr>
              <w:pStyle w:val="12"/>
              <w:spacing w:before="2"/>
              <w:jc w:val="center"/>
              <w:rPr>
                <w:rFonts w:eastAsia="宋体"/>
                <w:b/>
                <w:sz w:val="21"/>
                <w:szCs w:val="21"/>
              </w:rPr>
            </w:pPr>
            <w:r>
              <w:rPr>
                <w:rFonts w:eastAsia="宋体"/>
                <w:b/>
                <w:w w:val="99"/>
                <w:sz w:val="21"/>
                <w:szCs w:val="21"/>
              </w:rPr>
              <w:t>1</w:t>
            </w:r>
          </w:p>
          <w:p>
            <w:pPr>
              <w:pStyle w:val="12"/>
              <w:spacing w:before="1"/>
              <w:jc w:val="center"/>
              <w:rPr>
                <w:rFonts w:eastAsia="宋体"/>
                <w:sz w:val="21"/>
                <w:szCs w:val="21"/>
              </w:rPr>
            </w:pPr>
            <w:r>
              <w:rPr>
                <w:rFonts w:eastAsia="宋体"/>
                <w:spacing w:val="-5"/>
                <w:sz w:val="21"/>
                <w:szCs w:val="21"/>
              </w:rPr>
              <w:t>0.5</w:t>
            </w:r>
          </w:p>
          <w:p>
            <w:pPr>
              <w:pStyle w:val="12"/>
              <w:spacing w:before="1" w:line="212" w:lineRule="exact"/>
              <w:jc w:val="center"/>
              <w:rPr>
                <w:rFonts w:eastAsia="宋体"/>
                <w:sz w:val="21"/>
                <w:szCs w:val="21"/>
              </w:rPr>
            </w:pPr>
            <w:r>
              <w:rPr>
                <w:rFonts w:eastAsia="宋体"/>
                <w:spacing w:val="-5"/>
                <w:sz w:val="21"/>
                <w:szCs w:val="21"/>
              </w:rPr>
              <w:t>0.5</w:t>
            </w:r>
          </w:p>
        </w:tc>
        <w:tc>
          <w:tcPr>
            <w:tcW w:w="1085" w:type="dxa"/>
            <w:vAlign w:val="center"/>
          </w:tcPr>
          <w:p>
            <w:pPr>
              <w:pStyle w:val="12"/>
              <w:spacing w:before="2"/>
              <w:jc w:val="center"/>
              <w:rPr>
                <w:rFonts w:eastAsia="宋体"/>
                <w:b/>
                <w:sz w:val="21"/>
                <w:szCs w:val="21"/>
              </w:rPr>
            </w:pPr>
            <w:r>
              <w:rPr>
                <w:rFonts w:eastAsia="宋体"/>
                <w:b/>
                <w:w w:val="99"/>
                <w:sz w:val="21"/>
                <w:szCs w:val="21"/>
              </w:rPr>
              <w:t>1</w:t>
            </w:r>
          </w:p>
          <w:p>
            <w:pPr>
              <w:pStyle w:val="12"/>
              <w:spacing w:before="1"/>
              <w:jc w:val="center"/>
              <w:rPr>
                <w:rFonts w:eastAsia="宋体"/>
                <w:sz w:val="21"/>
                <w:szCs w:val="21"/>
              </w:rPr>
            </w:pPr>
            <w:r>
              <w:rPr>
                <w:rFonts w:eastAsia="宋体"/>
                <w:spacing w:val="-5"/>
                <w:sz w:val="21"/>
                <w:szCs w:val="21"/>
              </w:rPr>
              <w:t>0.5</w:t>
            </w:r>
          </w:p>
          <w:p>
            <w:pPr>
              <w:pStyle w:val="12"/>
              <w:spacing w:before="1" w:line="212" w:lineRule="exact"/>
              <w:jc w:val="center"/>
              <w:rPr>
                <w:rFonts w:eastAsia="宋体"/>
                <w:sz w:val="21"/>
                <w:szCs w:val="21"/>
              </w:rPr>
            </w:pPr>
            <w:r>
              <w:rPr>
                <w:rFonts w:eastAsia="宋体"/>
                <w:spacing w:val="-5"/>
                <w:sz w:val="21"/>
                <w:szCs w:val="21"/>
              </w:rPr>
              <w:t>0.5</w:t>
            </w:r>
          </w:p>
        </w:tc>
        <w:tc>
          <w:tcPr>
            <w:tcW w:w="1426" w:type="dxa"/>
            <w:vAlign w:val="center"/>
          </w:tcPr>
          <w:p>
            <w:pPr>
              <w:pStyle w:val="12"/>
              <w:spacing w:before="2"/>
              <w:jc w:val="center"/>
              <w:rPr>
                <w:rFonts w:eastAsia="宋体"/>
                <w:b/>
                <w:sz w:val="21"/>
                <w:szCs w:val="21"/>
              </w:rPr>
            </w:pPr>
            <w:r>
              <w:rPr>
                <w:rFonts w:eastAsia="宋体"/>
                <w:b/>
                <w:w w:val="99"/>
                <w:sz w:val="21"/>
                <w:szCs w:val="21"/>
              </w:rPr>
              <w:t>2</w:t>
            </w:r>
          </w:p>
          <w:p>
            <w:pPr>
              <w:pStyle w:val="12"/>
              <w:spacing w:before="1"/>
              <w:jc w:val="center"/>
              <w:rPr>
                <w:rFonts w:eastAsia="宋体"/>
                <w:sz w:val="21"/>
                <w:szCs w:val="21"/>
              </w:rPr>
            </w:pPr>
            <w:r>
              <w:rPr>
                <w:rFonts w:eastAsia="宋体"/>
                <w:w w:val="99"/>
                <w:sz w:val="21"/>
                <w:szCs w:val="21"/>
              </w:rPr>
              <w:t>1</w:t>
            </w:r>
          </w:p>
          <w:p>
            <w:pPr>
              <w:pStyle w:val="12"/>
              <w:spacing w:before="1" w:line="212" w:lineRule="exact"/>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5929" w:type="dxa"/>
            <w:tcBorders>
              <w:bottom w:val="nil"/>
            </w:tcBorders>
            <w:vAlign w:val="center"/>
          </w:tcPr>
          <w:p>
            <w:pPr>
              <w:pStyle w:val="12"/>
              <w:spacing w:line="218" w:lineRule="exact"/>
              <w:jc w:val="both"/>
              <w:rPr>
                <w:rFonts w:eastAsia="宋体"/>
                <w:b/>
                <w:sz w:val="21"/>
                <w:szCs w:val="21"/>
              </w:rPr>
            </w:pPr>
            <w:r>
              <w:rPr>
                <w:rFonts w:eastAsia="宋体"/>
                <w:b/>
                <w:sz w:val="21"/>
                <w:szCs w:val="21"/>
              </w:rPr>
              <w:t>网络安全和</w:t>
            </w:r>
            <w:r>
              <w:rPr>
                <w:rFonts w:eastAsia="宋体"/>
                <w:b/>
                <w:sz w:val="21"/>
                <w:szCs w:val="21"/>
                <w:lang w:eastAsia="zh-CN"/>
              </w:rPr>
              <w:t>运营</w:t>
            </w:r>
            <w:r>
              <w:rPr>
                <w:rFonts w:eastAsia="宋体"/>
                <w:b/>
                <w:sz w:val="21"/>
                <w:szCs w:val="21"/>
              </w:rPr>
              <w:t>风险</w:t>
            </w:r>
          </w:p>
        </w:tc>
        <w:tc>
          <w:tcPr>
            <w:tcW w:w="996" w:type="dxa"/>
            <w:tcBorders>
              <w:bottom w:val="nil"/>
            </w:tcBorders>
            <w:vAlign w:val="center"/>
          </w:tcPr>
          <w:p>
            <w:pPr>
              <w:pStyle w:val="12"/>
              <w:spacing w:before="5" w:line="214" w:lineRule="exact"/>
              <w:jc w:val="center"/>
              <w:rPr>
                <w:rFonts w:eastAsia="宋体"/>
                <w:b/>
                <w:sz w:val="21"/>
                <w:szCs w:val="21"/>
              </w:rPr>
            </w:pPr>
            <w:r>
              <w:rPr>
                <w:rFonts w:eastAsia="宋体"/>
                <w:b/>
                <w:w w:val="99"/>
                <w:sz w:val="21"/>
                <w:szCs w:val="21"/>
              </w:rPr>
              <w:t>1</w:t>
            </w:r>
          </w:p>
        </w:tc>
        <w:tc>
          <w:tcPr>
            <w:tcW w:w="1085" w:type="dxa"/>
            <w:tcBorders>
              <w:bottom w:val="nil"/>
            </w:tcBorders>
            <w:vAlign w:val="center"/>
          </w:tcPr>
          <w:p>
            <w:pPr>
              <w:pStyle w:val="12"/>
              <w:spacing w:before="5" w:line="214" w:lineRule="exact"/>
              <w:jc w:val="center"/>
              <w:rPr>
                <w:rFonts w:eastAsia="宋体"/>
                <w:b/>
                <w:sz w:val="21"/>
                <w:szCs w:val="21"/>
              </w:rPr>
            </w:pPr>
            <w:r>
              <w:rPr>
                <w:rFonts w:eastAsia="宋体"/>
                <w:b/>
                <w:w w:val="99"/>
                <w:sz w:val="21"/>
                <w:szCs w:val="21"/>
              </w:rPr>
              <w:t>1</w:t>
            </w:r>
          </w:p>
        </w:tc>
        <w:tc>
          <w:tcPr>
            <w:tcW w:w="1426" w:type="dxa"/>
            <w:tcBorders>
              <w:bottom w:val="nil"/>
            </w:tcBorders>
            <w:vAlign w:val="center"/>
          </w:tcPr>
          <w:p>
            <w:pPr>
              <w:pStyle w:val="12"/>
              <w:spacing w:before="5" w:line="214" w:lineRule="exact"/>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5929" w:type="dxa"/>
            <w:tcBorders>
              <w:top w:val="nil"/>
              <w:bottom w:val="nil"/>
            </w:tcBorders>
            <w:vAlign w:val="center"/>
          </w:tcPr>
          <w:p>
            <w:pPr>
              <w:pStyle w:val="12"/>
              <w:tabs>
                <w:tab w:val="left" w:pos="467"/>
              </w:tabs>
              <w:spacing w:line="214" w:lineRule="exact"/>
              <w:jc w:val="both"/>
              <w:rPr>
                <w:rFonts w:eastAsia="宋体"/>
                <w:sz w:val="21"/>
                <w:szCs w:val="21"/>
              </w:rPr>
            </w:pPr>
            <w:r>
              <w:rPr>
                <w:rFonts w:eastAsia="宋体"/>
                <w:b/>
                <w:spacing w:val="-10"/>
                <w:sz w:val="21"/>
                <w:szCs w:val="21"/>
              </w:rPr>
              <w:t>-</w:t>
            </w:r>
            <w:r>
              <w:rPr>
                <w:rFonts w:eastAsia="宋体"/>
                <w:b/>
                <w:sz w:val="21"/>
                <w:szCs w:val="21"/>
              </w:rPr>
              <w:tab/>
            </w:r>
            <w:r>
              <w:rPr>
                <w:rFonts w:eastAsia="宋体"/>
                <w:sz w:val="21"/>
                <w:szCs w:val="21"/>
              </w:rPr>
              <w:t>网络安全要求(107)</w:t>
            </w:r>
          </w:p>
        </w:tc>
        <w:tc>
          <w:tcPr>
            <w:tcW w:w="996" w:type="dxa"/>
            <w:tcBorders>
              <w:top w:val="nil"/>
              <w:bottom w:val="nil"/>
            </w:tcBorders>
            <w:vAlign w:val="center"/>
          </w:tcPr>
          <w:p>
            <w:pPr>
              <w:pStyle w:val="12"/>
              <w:spacing w:line="214" w:lineRule="exact"/>
              <w:jc w:val="center"/>
              <w:rPr>
                <w:rFonts w:eastAsia="宋体"/>
                <w:sz w:val="21"/>
                <w:szCs w:val="21"/>
              </w:rPr>
            </w:pPr>
            <w:r>
              <w:rPr>
                <w:rFonts w:eastAsia="宋体"/>
                <w:spacing w:val="-5"/>
                <w:sz w:val="21"/>
                <w:szCs w:val="21"/>
              </w:rPr>
              <w:t>0.5</w:t>
            </w:r>
          </w:p>
        </w:tc>
        <w:tc>
          <w:tcPr>
            <w:tcW w:w="1085" w:type="dxa"/>
            <w:tcBorders>
              <w:top w:val="nil"/>
              <w:bottom w:val="nil"/>
            </w:tcBorders>
            <w:vAlign w:val="center"/>
          </w:tcPr>
          <w:p>
            <w:pPr>
              <w:pStyle w:val="12"/>
              <w:spacing w:line="214" w:lineRule="exact"/>
              <w:jc w:val="center"/>
              <w:rPr>
                <w:rFonts w:eastAsia="宋体"/>
                <w:sz w:val="21"/>
                <w:szCs w:val="21"/>
              </w:rPr>
            </w:pPr>
            <w:r>
              <w:rPr>
                <w:rFonts w:eastAsia="宋体"/>
                <w:spacing w:val="-5"/>
                <w:sz w:val="21"/>
                <w:szCs w:val="21"/>
              </w:rPr>
              <w:t>0.5</w:t>
            </w:r>
          </w:p>
        </w:tc>
        <w:tc>
          <w:tcPr>
            <w:tcW w:w="1426" w:type="dxa"/>
            <w:tcBorders>
              <w:top w:val="nil"/>
              <w:bottom w:val="nil"/>
            </w:tcBorders>
            <w:vAlign w:val="center"/>
          </w:tcPr>
          <w:p>
            <w:pPr>
              <w:pStyle w:val="12"/>
              <w:spacing w:line="214" w:lineRule="exact"/>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5929" w:type="dxa"/>
            <w:tcBorders>
              <w:top w:val="nil"/>
            </w:tcBorders>
            <w:vAlign w:val="center"/>
          </w:tcPr>
          <w:p>
            <w:pPr>
              <w:pStyle w:val="12"/>
              <w:tabs>
                <w:tab w:val="left" w:pos="467"/>
              </w:tabs>
              <w:spacing w:line="206" w:lineRule="exact"/>
              <w:jc w:val="both"/>
              <w:rPr>
                <w:rFonts w:eastAsia="宋体"/>
                <w:sz w:val="21"/>
                <w:szCs w:val="21"/>
              </w:rPr>
            </w:pPr>
            <w:r>
              <w:rPr>
                <w:rFonts w:eastAsia="宋体"/>
                <w:b/>
                <w:spacing w:val="-10"/>
                <w:sz w:val="21"/>
                <w:szCs w:val="21"/>
              </w:rPr>
              <w:t>-</w:t>
            </w:r>
            <w:r>
              <w:rPr>
                <w:rFonts w:eastAsia="宋体"/>
                <w:b/>
                <w:sz w:val="21"/>
                <w:szCs w:val="21"/>
              </w:rPr>
              <w:tab/>
            </w:r>
            <w:r>
              <w:rPr>
                <w:rFonts w:eastAsia="宋体"/>
                <w:sz w:val="21"/>
                <w:szCs w:val="21"/>
              </w:rPr>
              <w:t>应急计划要求(108)</w:t>
            </w:r>
          </w:p>
        </w:tc>
        <w:tc>
          <w:tcPr>
            <w:tcW w:w="996" w:type="dxa"/>
            <w:tcBorders>
              <w:top w:val="nil"/>
            </w:tcBorders>
            <w:vAlign w:val="center"/>
          </w:tcPr>
          <w:p>
            <w:pPr>
              <w:pStyle w:val="12"/>
              <w:spacing w:line="206" w:lineRule="exact"/>
              <w:jc w:val="center"/>
              <w:rPr>
                <w:rFonts w:eastAsia="宋体"/>
                <w:sz w:val="21"/>
                <w:szCs w:val="21"/>
              </w:rPr>
            </w:pPr>
            <w:r>
              <w:rPr>
                <w:rFonts w:eastAsia="宋体"/>
                <w:spacing w:val="-5"/>
                <w:sz w:val="21"/>
                <w:szCs w:val="21"/>
              </w:rPr>
              <w:t>0.5</w:t>
            </w:r>
          </w:p>
        </w:tc>
        <w:tc>
          <w:tcPr>
            <w:tcW w:w="1085" w:type="dxa"/>
            <w:tcBorders>
              <w:top w:val="nil"/>
            </w:tcBorders>
            <w:vAlign w:val="center"/>
          </w:tcPr>
          <w:p>
            <w:pPr>
              <w:pStyle w:val="12"/>
              <w:spacing w:line="206" w:lineRule="exact"/>
              <w:jc w:val="center"/>
              <w:rPr>
                <w:rFonts w:eastAsia="宋体"/>
                <w:sz w:val="21"/>
                <w:szCs w:val="21"/>
              </w:rPr>
            </w:pPr>
            <w:r>
              <w:rPr>
                <w:rFonts w:eastAsia="宋体"/>
                <w:spacing w:val="-5"/>
                <w:sz w:val="21"/>
                <w:szCs w:val="21"/>
              </w:rPr>
              <w:t>0.5</w:t>
            </w:r>
          </w:p>
        </w:tc>
        <w:tc>
          <w:tcPr>
            <w:tcW w:w="1426" w:type="dxa"/>
            <w:tcBorders>
              <w:top w:val="nil"/>
            </w:tcBorders>
            <w:vAlign w:val="center"/>
          </w:tcPr>
          <w:p>
            <w:pPr>
              <w:pStyle w:val="12"/>
              <w:spacing w:line="206" w:lineRule="exact"/>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929" w:type="dxa"/>
            <w:tcBorders>
              <w:bottom w:val="nil"/>
            </w:tcBorders>
            <w:vAlign w:val="center"/>
          </w:tcPr>
          <w:p>
            <w:pPr>
              <w:pStyle w:val="12"/>
              <w:spacing w:line="218" w:lineRule="exact"/>
              <w:jc w:val="both"/>
              <w:rPr>
                <w:rFonts w:eastAsia="宋体"/>
                <w:b/>
                <w:sz w:val="21"/>
                <w:szCs w:val="21"/>
              </w:rPr>
            </w:pPr>
            <w:r>
              <w:rPr>
                <w:rFonts w:eastAsia="宋体"/>
                <w:b/>
                <w:sz w:val="21"/>
                <w:szCs w:val="21"/>
              </w:rPr>
              <w:t>流动性风险</w:t>
            </w:r>
          </w:p>
        </w:tc>
        <w:tc>
          <w:tcPr>
            <w:tcW w:w="996" w:type="dxa"/>
            <w:tcBorders>
              <w:bottom w:val="nil"/>
            </w:tcBorders>
            <w:vAlign w:val="center"/>
          </w:tcPr>
          <w:p>
            <w:pPr>
              <w:pStyle w:val="12"/>
              <w:spacing w:before="5" w:line="214" w:lineRule="exact"/>
              <w:jc w:val="center"/>
              <w:rPr>
                <w:rFonts w:eastAsia="宋体"/>
                <w:b/>
                <w:sz w:val="21"/>
                <w:szCs w:val="21"/>
              </w:rPr>
            </w:pPr>
            <w:r>
              <w:rPr>
                <w:rFonts w:eastAsia="宋体"/>
                <w:b/>
                <w:w w:val="99"/>
                <w:sz w:val="21"/>
                <w:szCs w:val="21"/>
              </w:rPr>
              <w:t>1</w:t>
            </w:r>
          </w:p>
        </w:tc>
        <w:tc>
          <w:tcPr>
            <w:tcW w:w="1085" w:type="dxa"/>
            <w:tcBorders>
              <w:bottom w:val="nil"/>
            </w:tcBorders>
            <w:vAlign w:val="center"/>
          </w:tcPr>
          <w:p>
            <w:pPr>
              <w:pStyle w:val="12"/>
              <w:spacing w:before="5" w:line="214" w:lineRule="exact"/>
              <w:jc w:val="center"/>
              <w:rPr>
                <w:rFonts w:eastAsia="宋体"/>
                <w:b/>
                <w:sz w:val="21"/>
                <w:szCs w:val="21"/>
              </w:rPr>
            </w:pPr>
            <w:r>
              <w:rPr>
                <w:rFonts w:eastAsia="宋体"/>
                <w:b/>
                <w:w w:val="99"/>
                <w:sz w:val="21"/>
                <w:szCs w:val="21"/>
              </w:rPr>
              <w:t>1</w:t>
            </w:r>
          </w:p>
        </w:tc>
        <w:tc>
          <w:tcPr>
            <w:tcW w:w="1426" w:type="dxa"/>
            <w:tcBorders>
              <w:bottom w:val="nil"/>
            </w:tcBorders>
            <w:vAlign w:val="center"/>
          </w:tcPr>
          <w:p>
            <w:pPr>
              <w:pStyle w:val="12"/>
              <w:spacing w:before="5" w:line="214" w:lineRule="exact"/>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929" w:type="dxa"/>
            <w:tcBorders>
              <w:top w:val="nil"/>
              <w:bottom w:val="nil"/>
            </w:tcBorders>
            <w:vAlign w:val="center"/>
          </w:tcPr>
          <w:p>
            <w:pPr>
              <w:pStyle w:val="12"/>
              <w:tabs>
                <w:tab w:val="left" w:pos="467"/>
              </w:tabs>
              <w:spacing w:line="213"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确保客户获得资金的要求(109)</w:t>
            </w:r>
          </w:p>
        </w:tc>
        <w:tc>
          <w:tcPr>
            <w:tcW w:w="996" w:type="dxa"/>
            <w:tcBorders>
              <w:top w:val="nil"/>
              <w:bottom w:val="nil"/>
            </w:tcBorders>
            <w:vAlign w:val="center"/>
          </w:tcPr>
          <w:p>
            <w:pPr>
              <w:pStyle w:val="12"/>
              <w:spacing w:line="213" w:lineRule="exact"/>
              <w:jc w:val="center"/>
              <w:rPr>
                <w:rFonts w:eastAsia="宋体"/>
                <w:sz w:val="21"/>
                <w:szCs w:val="21"/>
              </w:rPr>
            </w:pPr>
            <w:r>
              <w:rPr>
                <w:rFonts w:eastAsia="宋体"/>
                <w:spacing w:val="-5"/>
                <w:sz w:val="21"/>
                <w:szCs w:val="21"/>
              </w:rPr>
              <w:t>0.5</w:t>
            </w:r>
          </w:p>
        </w:tc>
        <w:tc>
          <w:tcPr>
            <w:tcW w:w="1085" w:type="dxa"/>
            <w:tcBorders>
              <w:top w:val="nil"/>
              <w:bottom w:val="nil"/>
            </w:tcBorders>
            <w:vAlign w:val="center"/>
          </w:tcPr>
          <w:p>
            <w:pPr>
              <w:pStyle w:val="12"/>
              <w:spacing w:line="213" w:lineRule="exact"/>
              <w:jc w:val="center"/>
              <w:rPr>
                <w:rFonts w:eastAsia="宋体"/>
                <w:sz w:val="21"/>
                <w:szCs w:val="21"/>
              </w:rPr>
            </w:pPr>
            <w:r>
              <w:rPr>
                <w:rFonts w:eastAsia="宋体"/>
                <w:spacing w:val="-5"/>
                <w:sz w:val="21"/>
                <w:szCs w:val="21"/>
              </w:rPr>
              <w:t>0.5</w:t>
            </w:r>
          </w:p>
        </w:tc>
        <w:tc>
          <w:tcPr>
            <w:tcW w:w="1426" w:type="dxa"/>
            <w:tcBorders>
              <w:top w:val="nil"/>
              <w:bottom w:val="nil"/>
            </w:tcBorders>
            <w:vAlign w:val="center"/>
          </w:tcPr>
          <w:p>
            <w:pPr>
              <w:pStyle w:val="12"/>
              <w:spacing w:line="213" w:lineRule="exact"/>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5929" w:type="dxa"/>
            <w:tcBorders>
              <w:top w:val="nil"/>
            </w:tcBorders>
            <w:vAlign w:val="center"/>
          </w:tcPr>
          <w:p>
            <w:pPr>
              <w:pStyle w:val="12"/>
              <w:tabs>
                <w:tab w:val="left" w:pos="467"/>
              </w:tabs>
              <w:spacing w:line="207" w:lineRule="exact"/>
              <w:jc w:val="both"/>
              <w:rPr>
                <w:rFonts w:eastAsia="宋体"/>
                <w:sz w:val="21"/>
                <w:szCs w:val="21"/>
              </w:rPr>
            </w:pPr>
            <w:r>
              <w:rPr>
                <w:rFonts w:eastAsia="宋体"/>
                <w:b/>
                <w:spacing w:val="-10"/>
                <w:sz w:val="21"/>
                <w:szCs w:val="21"/>
              </w:rPr>
              <w:t>-</w:t>
            </w:r>
            <w:r>
              <w:rPr>
                <w:rFonts w:eastAsia="宋体"/>
                <w:b/>
                <w:sz w:val="21"/>
                <w:szCs w:val="21"/>
              </w:rPr>
              <w:tab/>
            </w:r>
            <w:r>
              <w:rPr>
                <w:rFonts w:eastAsia="宋体"/>
                <w:sz w:val="21"/>
                <w:szCs w:val="21"/>
              </w:rPr>
              <w:t>客户使用限制(110)</w:t>
            </w:r>
          </w:p>
        </w:tc>
        <w:tc>
          <w:tcPr>
            <w:tcW w:w="996" w:type="dxa"/>
            <w:tcBorders>
              <w:top w:val="nil"/>
            </w:tcBorders>
            <w:vAlign w:val="center"/>
          </w:tcPr>
          <w:p>
            <w:pPr>
              <w:pStyle w:val="12"/>
              <w:spacing w:line="207" w:lineRule="exact"/>
              <w:jc w:val="center"/>
              <w:rPr>
                <w:rFonts w:eastAsia="宋体"/>
                <w:sz w:val="21"/>
                <w:szCs w:val="21"/>
              </w:rPr>
            </w:pPr>
            <w:r>
              <w:rPr>
                <w:rFonts w:eastAsia="宋体"/>
                <w:spacing w:val="-5"/>
                <w:sz w:val="21"/>
                <w:szCs w:val="21"/>
              </w:rPr>
              <w:t>0.5</w:t>
            </w:r>
          </w:p>
        </w:tc>
        <w:tc>
          <w:tcPr>
            <w:tcW w:w="1085" w:type="dxa"/>
            <w:tcBorders>
              <w:top w:val="nil"/>
            </w:tcBorders>
            <w:vAlign w:val="center"/>
          </w:tcPr>
          <w:p>
            <w:pPr>
              <w:pStyle w:val="12"/>
              <w:spacing w:line="207" w:lineRule="exact"/>
              <w:jc w:val="center"/>
              <w:rPr>
                <w:rFonts w:eastAsia="宋体"/>
                <w:sz w:val="21"/>
                <w:szCs w:val="21"/>
              </w:rPr>
            </w:pPr>
            <w:r>
              <w:rPr>
                <w:rFonts w:eastAsia="宋体"/>
                <w:spacing w:val="-5"/>
                <w:sz w:val="21"/>
                <w:szCs w:val="21"/>
              </w:rPr>
              <w:t>0.5</w:t>
            </w:r>
          </w:p>
        </w:tc>
        <w:tc>
          <w:tcPr>
            <w:tcW w:w="1426" w:type="dxa"/>
            <w:tcBorders>
              <w:top w:val="nil"/>
            </w:tcBorders>
            <w:vAlign w:val="center"/>
          </w:tcPr>
          <w:p>
            <w:pPr>
              <w:pStyle w:val="12"/>
              <w:spacing w:line="207" w:lineRule="exact"/>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929" w:type="dxa"/>
            <w:shd w:val="clear" w:color="auto" w:fill="FFC000"/>
            <w:vAlign w:val="center"/>
          </w:tcPr>
          <w:p>
            <w:pPr>
              <w:pStyle w:val="12"/>
              <w:spacing w:before="34"/>
              <w:jc w:val="both"/>
              <w:rPr>
                <w:rFonts w:eastAsia="宋体"/>
                <w:b/>
                <w:sz w:val="21"/>
                <w:szCs w:val="21"/>
              </w:rPr>
            </w:pPr>
            <w:r>
              <w:rPr>
                <w:rFonts w:eastAsia="宋体"/>
                <w:b/>
                <w:sz w:val="21"/>
                <w:szCs w:val="21"/>
                <w:lang w:eastAsia="zh-CN"/>
              </w:rPr>
              <w:t>总</w:t>
            </w:r>
            <w:r>
              <w:rPr>
                <w:rFonts w:hint="eastAsia" w:eastAsia="宋体"/>
                <w:b/>
                <w:sz w:val="21"/>
                <w:szCs w:val="21"/>
                <w:lang w:eastAsia="zh-CN"/>
              </w:rPr>
              <w:t>计</w:t>
            </w:r>
          </w:p>
        </w:tc>
        <w:tc>
          <w:tcPr>
            <w:tcW w:w="996" w:type="dxa"/>
            <w:shd w:val="clear" w:color="auto" w:fill="FFC000"/>
            <w:vAlign w:val="center"/>
          </w:tcPr>
          <w:p>
            <w:pPr>
              <w:pStyle w:val="12"/>
              <w:spacing w:before="34"/>
              <w:jc w:val="center"/>
              <w:rPr>
                <w:rFonts w:eastAsia="宋体"/>
                <w:b/>
                <w:sz w:val="21"/>
                <w:szCs w:val="21"/>
              </w:rPr>
            </w:pPr>
            <w:r>
              <w:rPr>
                <w:rFonts w:eastAsia="宋体"/>
                <w:b/>
                <w:w w:val="99"/>
                <w:sz w:val="21"/>
                <w:szCs w:val="21"/>
              </w:rPr>
              <w:t>3.</w:t>
            </w:r>
          </w:p>
        </w:tc>
        <w:tc>
          <w:tcPr>
            <w:tcW w:w="1085" w:type="dxa"/>
            <w:shd w:val="clear" w:color="auto" w:fill="FFC000"/>
            <w:vAlign w:val="center"/>
          </w:tcPr>
          <w:p>
            <w:pPr>
              <w:pStyle w:val="12"/>
              <w:spacing w:before="34"/>
              <w:jc w:val="center"/>
              <w:rPr>
                <w:rFonts w:eastAsia="宋体"/>
                <w:b/>
                <w:sz w:val="21"/>
                <w:szCs w:val="21"/>
              </w:rPr>
            </w:pPr>
            <w:r>
              <w:rPr>
                <w:rFonts w:eastAsia="宋体"/>
                <w:b/>
                <w:w w:val="99"/>
                <w:sz w:val="21"/>
                <w:szCs w:val="21"/>
              </w:rPr>
              <w:t>3.</w:t>
            </w:r>
          </w:p>
        </w:tc>
        <w:tc>
          <w:tcPr>
            <w:tcW w:w="1426" w:type="dxa"/>
            <w:shd w:val="clear" w:color="auto" w:fill="FFC000"/>
            <w:vAlign w:val="center"/>
          </w:tcPr>
          <w:p>
            <w:pPr>
              <w:pStyle w:val="12"/>
              <w:spacing w:before="34"/>
              <w:jc w:val="center"/>
              <w:rPr>
                <w:rFonts w:eastAsia="宋体"/>
                <w:b/>
                <w:sz w:val="21"/>
                <w:szCs w:val="21"/>
              </w:rPr>
            </w:pPr>
            <w:r>
              <w:rPr>
                <w:rFonts w:eastAsia="宋体"/>
                <w:b/>
                <w:w w:val="99"/>
                <w:sz w:val="21"/>
                <w:szCs w:val="21"/>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6" w:type="dxa"/>
            <w:gridSpan w:val="4"/>
            <w:shd w:val="clear" w:color="auto" w:fill="E7EBF5"/>
            <w:vAlign w:val="center"/>
          </w:tcPr>
          <w:p>
            <w:pPr>
              <w:pStyle w:val="12"/>
              <w:spacing w:before="101"/>
              <w:ind w:left="467"/>
              <w:jc w:val="both"/>
              <w:rPr>
                <w:rFonts w:eastAsia="宋体"/>
                <w:b/>
                <w:sz w:val="21"/>
                <w:szCs w:val="21"/>
              </w:rPr>
            </w:pPr>
            <w:r>
              <w:rPr>
                <w:rFonts w:eastAsia="宋体"/>
                <w:b/>
                <w:sz w:val="21"/>
                <w:szCs w:val="21"/>
              </w:rPr>
              <w:t>2.6.2客户资金保护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5929" w:type="dxa"/>
            <w:vAlign w:val="center"/>
          </w:tcPr>
          <w:p>
            <w:pPr>
              <w:pStyle w:val="12"/>
              <w:spacing w:before="50"/>
              <w:jc w:val="both"/>
              <w:rPr>
                <w:rFonts w:eastAsia="宋体"/>
                <w:b/>
                <w:sz w:val="21"/>
                <w:szCs w:val="21"/>
              </w:rPr>
            </w:pPr>
            <w:r>
              <w:rPr>
                <w:rFonts w:eastAsia="宋体"/>
                <w:b/>
                <w:spacing w:val="-2"/>
                <w:sz w:val="21"/>
                <w:szCs w:val="21"/>
              </w:rPr>
              <w:t>指标</w:t>
            </w:r>
          </w:p>
        </w:tc>
        <w:tc>
          <w:tcPr>
            <w:tcW w:w="996" w:type="dxa"/>
            <w:vAlign w:val="center"/>
          </w:tcPr>
          <w:p>
            <w:pPr>
              <w:pStyle w:val="12"/>
              <w:spacing w:before="50"/>
              <w:jc w:val="center"/>
              <w:rPr>
                <w:rFonts w:eastAsia="宋体"/>
                <w:b/>
                <w:sz w:val="21"/>
                <w:szCs w:val="21"/>
              </w:rPr>
            </w:pPr>
            <w:r>
              <w:rPr>
                <w:rFonts w:eastAsia="宋体"/>
                <w:b/>
                <w:spacing w:val="-5"/>
                <w:sz w:val="21"/>
                <w:szCs w:val="21"/>
              </w:rPr>
              <w:t>FFP</w:t>
            </w:r>
          </w:p>
        </w:tc>
        <w:tc>
          <w:tcPr>
            <w:tcW w:w="1085" w:type="dxa"/>
            <w:vAlign w:val="center"/>
          </w:tcPr>
          <w:p>
            <w:pPr>
              <w:pStyle w:val="12"/>
              <w:spacing w:before="50"/>
              <w:jc w:val="center"/>
              <w:rPr>
                <w:rFonts w:eastAsia="宋体"/>
                <w:b/>
                <w:sz w:val="21"/>
                <w:szCs w:val="21"/>
              </w:rPr>
            </w:pPr>
            <w:r>
              <w:rPr>
                <w:rFonts w:eastAsia="宋体"/>
                <w:b/>
                <w:spacing w:val="-5"/>
                <w:sz w:val="21"/>
                <w:szCs w:val="21"/>
              </w:rPr>
              <w:t>SBP</w:t>
            </w:r>
          </w:p>
        </w:tc>
        <w:tc>
          <w:tcPr>
            <w:tcW w:w="1426" w:type="dxa"/>
            <w:vAlign w:val="center"/>
          </w:tcPr>
          <w:p>
            <w:pPr>
              <w:pStyle w:val="12"/>
              <w:spacing w:before="50"/>
              <w:jc w:val="center"/>
              <w:rPr>
                <w:rFonts w:eastAsia="宋体"/>
                <w:b/>
                <w:sz w:val="21"/>
                <w:szCs w:val="21"/>
              </w:rPr>
            </w:pPr>
            <w:r>
              <w:rPr>
                <w:rFonts w:hint="eastAsia" w:eastAsia="宋体"/>
                <w:b/>
                <w:sz w:val="21"/>
                <w:szCs w:val="21"/>
                <w:lang w:eastAsia="zh-CN"/>
              </w:rPr>
              <w:t>总</w:t>
            </w: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88" w:hRule="atLeast"/>
        </w:trPr>
        <w:tc>
          <w:tcPr>
            <w:tcW w:w="5929" w:type="dxa"/>
            <w:vAlign w:val="center"/>
          </w:tcPr>
          <w:p>
            <w:pPr>
              <w:pStyle w:val="12"/>
              <w:spacing w:before="134" w:line="230" w:lineRule="exact"/>
              <w:jc w:val="both"/>
              <w:rPr>
                <w:rFonts w:eastAsia="宋体"/>
                <w:b/>
                <w:sz w:val="21"/>
                <w:szCs w:val="21"/>
                <w:lang w:eastAsia="zh-CN"/>
              </w:rPr>
            </w:pPr>
            <w:r>
              <w:rPr>
                <w:rFonts w:eastAsia="宋体"/>
                <w:b/>
                <w:sz w:val="21"/>
                <w:szCs w:val="21"/>
                <w:lang w:eastAsia="zh-CN"/>
              </w:rPr>
              <w:t>用户和支付服务提供商(PSP)的义务</w:t>
            </w:r>
          </w:p>
          <w:p>
            <w:pPr>
              <w:pStyle w:val="12"/>
              <w:numPr>
                <w:ilvl w:val="0"/>
                <w:numId w:val="8"/>
              </w:numPr>
              <w:tabs>
                <w:tab w:val="left" w:pos="467"/>
                <w:tab w:val="left" w:pos="468"/>
              </w:tabs>
              <w:spacing w:before="8" w:line="230" w:lineRule="auto"/>
              <w:ind w:right="659"/>
              <w:jc w:val="both"/>
              <w:rPr>
                <w:rFonts w:eastAsia="宋体"/>
                <w:sz w:val="21"/>
                <w:szCs w:val="21"/>
                <w:lang w:eastAsia="zh-CN"/>
              </w:rPr>
            </w:pPr>
            <w:r>
              <w:rPr>
                <w:rFonts w:eastAsia="宋体"/>
                <w:sz w:val="21"/>
                <w:szCs w:val="21"/>
                <w:lang w:eastAsia="zh-CN"/>
              </w:rPr>
              <w:t>使用支付工具和访问支付账户的限制(112)</w:t>
            </w:r>
          </w:p>
          <w:p>
            <w:pPr>
              <w:pStyle w:val="12"/>
              <w:numPr>
                <w:ilvl w:val="0"/>
                <w:numId w:val="8"/>
              </w:numPr>
              <w:tabs>
                <w:tab w:val="left" w:pos="467"/>
                <w:tab w:val="left" w:pos="468"/>
              </w:tabs>
              <w:spacing w:before="8" w:line="230" w:lineRule="auto"/>
              <w:ind w:right="183"/>
              <w:jc w:val="both"/>
              <w:rPr>
                <w:rFonts w:eastAsia="宋体"/>
                <w:sz w:val="21"/>
                <w:szCs w:val="21"/>
                <w:lang w:eastAsia="zh-CN"/>
              </w:rPr>
            </w:pPr>
            <w:r>
              <w:rPr>
                <w:rFonts w:eastAsia="宋体"/>
                <w:sz w:val="21"/>
                <w:szCs w:val="21"/>
                <w:lang w:eastAsia="zh-CN"/>
              </w:rPr>
              <w:t>用户在支付工具和安全凭证方面的义务(113)</w:t>
            </w:r>
          </w:p>
          <w:p>
            <w:pPr>
              <w:pStyle w:val="12"/>
              <w:numPr>
                <w:ilvl w:val="0"/>
                <w:numId w:val="8"/>
              </w:numPr>
              <w:tabs>
                <w:tab w:val="left" w:pos="467"/>
                <w:tab w:val="left" w:pos="468"/>
              </w:tabs>
              <w:spacing w:before="8" w:line="230" w:lineRule="auto"/>
              <w:ind w:right="105"/>
              <w:jc w:val="both"/>
              <w:rPr>
                <w:rFonts w:eastAsia="宋体"/>
                <w:sz w:val="21"/>
                <w:szCs w:val="21"/>
                <w:lang w:eastAsia="zh-CN"/>
              </w:rPr>
            </w:pPr>
            <w:r>
              <w:rPr>
                <w:rFonts w:eastAsia="宋体"/>
                <w:sz w:val="21"/>
                <w:szCs w:val="21"/>
                <w:lang w:eastAsia="zh-CN"/>
              </w:rPr>
              <w:t>PSP在支付交易执行之前验证支付服务用户的身份(认证)(114)</w:t>
            </w:r>
          </w:p>
        </w:tc>
        <w:tc>
          <w:tcPr>
            <w:tcW w:w="996" w:type="dxa"/>
            <w:vAlign w:val="center"/>
          </w:tcPr>
          <w:p>
            <w:pPr>
              <w:pStyle w:val="12"/>
              <w:spacing w:before="139"/>
              <w:jc w:val="center"/>
              <w:rPr>
                <w:rFonts w:eastAsia="宋体"/>
                <w:b/>
                <w:sz w:val="21"/>
                <w:szCs w:val="21"/>
              </w:rPr>
            </w:pPr>
            <w:r>
              <w:rPr>
                <w:rFonts w:eastAsia="宋体"/>
                <w:b/>
                <w:w w:val="99"/>
                <w:sz w:val="21"/>
                <w:szCs w:val="21"/>
              </w:rPr>
              <w:t>1</w:t>
            </w:r>
          </w:p>
          <w:p>
            <w:pPr>
              <w:pStyle w:val="12"/>
              <w:spacing w:before="1"/>
              <w:jc w:val="center"/>
              <w:rPr>
                <w:rFonts w:eastAsia="宋体"/>
                <w:sz w:val="21"/>
                <w:szCs w:val="21"/>
              </w:rPr>
            </w:pPr>
            <w:r>
              <w:rPr>
                <w:rFonts w:eastAsia="宋体"/>
                <w:spacing w:val="-4"/>
                <w:sz w:val="21"/>
                <w:szCs w:val="21"/>
              </w:rPr>
              <w:t>0.34</w:t>
            </w:r>
          </w:p>
          <w:p>
            <w:pPr>
              <w:pStyle w:val="12"/>
              <w:spacing w:before="9"/>
              <w:ind w:left="0"/>
              <w:jc w:val="center"/>
              <w:rPr>
                <w:rFonts w:eastAsia="宋体"/>
                <w:sz w:val="21"/>
                <w:szCs w:val="21"/>
              </w:rPr>
            </w:pPr>
          </w:p>
          <w:p>
            <w:pPr>
              <w:pStyle w:val="12"/>
              <w:spacing w:before="1"/>
              <w:jc w:val="center"/>
              <w:rPr>
                <w:rFonts w:eastAsia="宋体"/>
                <w:sz w:val="21"/>
                <w:szCs w:val="21"/>
              </w:rPr>
            </w:pPr>
            <w:r>
              <w:rPr>
                <w:rFonts w:eastAsia="宋体"/>
                <w:spacing w:val="-4"/>
                <w:sz w:val="21"/>
                <w:szCs w:val="21"/>
              </w:rPr>
              <w:t>0.33</w:t>
            </w:r>
          </w:p>
          <w:p>
            <w:pPr>
              <w:pStyle w:val="12"/>
              <w:spacing w:before="1"/>
              <w:ind w:left="0"/>
              <w:jc w:val="center"/>
              <w:rPr>
                <w:rFonts w:eastAsia="宋体"/>
                <w:sz w:val="21"/>
                <w:szCs w:val="21"/>
              </w:rPr>
            </w:pPr>
          </w:p>
          <w:p>
            <w:pPr>
              <w:pStyle w:val="12"/>
              <w:jc w:val="center"/>
              <w:rPr>
                <w:rFonts w:eastAsia="宋体"/>
                <w:sz w:val="21"/>
                <w:szCs w:val="21"/>
              </w:rPr>
            </w:pPr>
            <w:r>
              <w:rPr>
                <w:rFonts w:eastAsia="宋体"/>
                <w:spacing w:val="-4"/>
                <w:sz w:val="21"/>
                <w:szCs w:val="21"/>
              </w:rPr>
              <w:t>0.33</w:t>
            </w:r>
          </w:p>
        </w:tc>
        <w:tc>
          <w:tcPr>
            <w:tcW w:w="1085" w:type="dxa"/>
            <w:vAlign w:val="center"/>
          </w:tcPr>
          <w:p>
            <w:pPr>
              <w:pStyle w:val="12"/>
              <w:spacing w:before="139"/>
              <w:jc w:val="center"/>
              <w:rPr>
                <w:rFonts w:eastAsia="宋体"/>
                <w:b/>
                <w:sz w:val="21"/>
                <w:szCs w:val="21"/>
              </w:rPr>
            </w:pPr>
            <w:r>
              <w:rPr>
                <w:rFonts w:eastAsia="宋体"/>
                <w:b/>
                <w:w w:val="99"/>
                <w:sz w:val="21"/>
                <w:szCs w:val="21"/>
              </w:rPr>
              <w:t>1</w:t>
            </w:r>
          </w:p>
          <w:p>
            <w:pPr>
              <w:pStyle w:val="12"/>
              <w:spacing w:before="1"/>
              <w:jc w:val="center"/>
              <w:rPr>
                <w:rFonts w:eastAsia="宋体"/>
                <w:sz w:val="21"/>
                <w:szCs w:val="21"/>
              </w:rPr>
            </w:pPr>
            <w:r>
              <w:rPr>
                <w:rFonts w:eastAsia="宋体"/>
                <w:spacing w:val="-4"/>
                <w:sz w:val="21"/>
                <w:szCs w:val="21"/>
              </w:rPr>
              <w:t>0.34</w:t>
            </w:r>
          </w:p>
          <w:p>
            <w:pPr>
              <w:pStyle w:val="12"/>
              <w:spacing w:before="9"/>
              <w:ind w:left="0"/>
              <w:jc w:val="center"/>
              <w:rPr>
                <w:rFonts w:eastAsia="宋体"/>
                <w:sz w:val="21"/>
                <w:szCs w:val="21"/>
              </w:rPr>
            </w:pPr>
          </w:p>
          <w:p>
            <w:pPr>
              <w:pStyle w:val="12"/>
              <w:spacing w:before="1"/>
              <w:jc w:val="center"/>
              <w:rPr>
                <w:rFonts w:eastAsia="宋体"/>
                <w:sz w:val="21"/>
                <w:szCs w:val="21"/>
              </w:rPr>
            </w:pPr>
            <w:r>
              <w:rPr>
                <w:rFonts w:eastAsia="宋体"/>
                <w:spacing w:val="-4"/>
                <w:sz w:val="21"/>
                <w:szCs w:val="21"/>
              </w:rPr>
              <w:t>0.33</w:t>
            </w:r>
          </w:p>
          <w:p>
            <w:pPr>
              <w:pStyle w:val="12"/>
              <w:spacing w:before="1"/>
              <w:ind w:left="0"/>
              <w:jc w:val="center"/>
              <w:rPr>
                <w:rFonts w:eastAsia="宋体"/>
                <w:sz w:val="21"/>
                <w:szCs w:val="21"/>
              </w:rPr>
            </w:pPr>
          </w:p>
          <w:p>
            <w:pPr>
              <w:pStyle w:val="12"/>
              <w:jc w:val="center"/>
              <w:rPr>
                <w:rFonts w:eastAsia="宋体"/>
                <w:sz w:val="21"/>
                <w:szCs w:val="21"/>
              </w:rPr>
            </w:pPr>
            <w:r>
              <w:rPr>
                <w:rFonts w:eastAsia="宋体"/>
                <w:spacing w:val="-4"/>
                <w:sz w:val="21"/>
                <w:szCs w:val="21"/>
              </w:rPr>
              <w:t>0.33</w:t>
            </w:r>
          </w:p>
        </w:tc>
        <w:tc>
          <w:tcPr>
            <w:tcW w:w="1426" w:type="dxa"/>
            <w:vAlign w:val="center"/>
          </w:tcPr>
          <w:p>
            <w:pPr>
              <w:pStyle w:val="12"/>
              <w:spacing w:before="139"/>
              <w:jc w:val="center"/>
              <w:rPr>
                <w:rFonts w:eastAsia="宋体"/>
                <w:b/>
                <w:sz w:val="21"/>
                <w:szCs w:val="21"/>
              </w:rPr>
            </w:pPr>
            <w:r>
              <w:rPr>
                <w:rFonts w:eastAsia="宋体"/>
                <w:b/>
                <w:w w:val="99"/>
                <w:sz w:val="21"/>
                <w:szCs w:val="21"/>
              </w:rPr>
              <w:t>2</w:t>
            </w:r>
          </w:p>
          <w:p>
            <w:pPr>
              <w:pStyle w:val="12"/>
              <w:spacing w:before="1"/>
              <w:jc w:val="center"/>
              <w:rPr>
                <w:rFonts w:eastAsia="宋体"/>
                <w:sz w:val="21"/>
                <w:szCs w:val="21"/>
              </w:rPr>
            </w:pPr>
            <w:r>
              <w:rPr>
                <w:rFonts w:eastAsia="宋体"/>
                <w:spacing w:val="-4"/>
                <w:sz w:val="21"/>
                <w:szCs w:val="21"/>
              </w:rPr>
              <w:t>0.68</w:t>
            </w:r>
          </w:p>
          <w:p>
            <w:pPr>
              <w:pStyle w:val="12"/>
              <w:spacing w:before="9"/>
              <w:ind w:left="0"/>
              <w:jc w:val="center"/>
              <w:rPr>
                <w:rFonts w:eastAsia="宋体"/>
                <w:sz w:val="21"/>
                <w:szCs w:val="21"/>
              </w:rPr>
            </w:pPr>
          </w:p>
          <w:p>
            <w:pPr>
              <w:pStyle w:val="12"/>
              <w:spacing w:before="1"/>
              <w:jc w:val="center"/>
              <w:rPr>
                <w:rFonts w:eastAsia="宋体"/>
                <w:sz w:val="21"/>
                <w:szCs w:val="21"/>
              </w:rPr>
            </w:pPr>
            <w:r>
              <w:rPr>
                <w:rFonts w:eastAsia="宋体"/>
                <w:spacing w:val="-4"/>
                <w:sz w:val="21"/>
                <w:szCs w:val="21"/>
              </w:rPr>
              <w:t>0.66</w:t>
            </w:r>
          </w:p>
          <w:p>
            <w:pPr>
              <w:pStyle w:val="12"/>
              <w:spacing w:before="1"/>
              <w:ind w:left="0"/>
              <w:jc w:val="center"/>
              <w:rPr>
                <w:rFonts w:eastAsia="宋体"/>
                <w:sz w:val="21"/>
                <w:szCs w:val="21"/>
              </w:rPr>
            </w:pPr>
          </w:p>
          <w:p>
            <w:pPr>
              <w:pStyle w:val="12"/>
              <w:jc w:val="center"/>
              <w:rPr>
                <w:rFonts w:eastAsia="宋体"/>
                <w:sz w:val="21"/>
                <w:szCs w:val="21"/>
              </w:rPr>
            </w:pPr>
            <w:r>
              <w:rPr>
                <w:rFonts w:eastAsia="宋体"/>
                <w:spacing w:val="-4"/>
                <w:sz w:val="21"/>
                <w:szCs w:val="21"/>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929" w:type="dxa"/>
            <w:vMerge w:val="restart"/>
            <w:vAlign w:val="center"/>
          </w:tcPr>
          <w:p>
            <w:pPr>
              <w:pStyle w:val="12"/>
              <w:ind w:left="410" w:hanging="274"/>
              <w:jc w:val="both"/>
              <w:rPr>
                <w:rFonts w:eastAsia="宋体"/>
                <w:b/>
                <w:sz w:val="21"/>
                <w:szCs w:val="21"/>
                <w:lang w:eastAsia="zh-CN"/>
              </w:rPr>
            </w:pPr>
            <w:r>
              <w:rPr>
                <w:rFonts w:eastAsia="宋体"/>
                <w:b/>
                <w:sz w:val="21"/>
                <w:szCs w:val="21"/>
                <w:lang w:eastAsia="zh-CN"/>
              </w:rPr>
              <w:t>取消错误交易，保护非银行PSP持有的资金，以及未授权支付的责任</w:t>
            </w:r>
          </w:p>
          <w:p>
            <w:pPr>
              <w:pStyle w:val="12"/>
              <w:numPr>
                <w:ilvl w:val="0"/>
                <w:numId w:val="9"/>
              </w:numPr>
              <w:tabs>
                <w:tab w:val="left" w:pos="467"/>
                <w:tab w:val="left" w:pos="468"/>
              </w:tabs>
              <w:spacing w:before="7" w:line="230" w:lineRule="auto"/>
              <w:ind w:right="232"/>
              <w:jc w:val="both"/>
              <w:rPr>
                <w:rFonts w:eastAsia="宋体"/>
                <w:sz w:val="21"/>
                <w:szCs w:val="21"/>
                <w:lang w:eastAsia="zh-CN"/>
              </w:rPr>
            </w:pPr>
            <w:r>
              <w:rPr>
                <w:rFonts w:eastAsia="宋体"/>
                <w:sz w:val="21"/>
                <w:szCs w:val="21"/>
                <w:lang w:eastAsia="zh-CN"/>
              </w:rPr>
              <w:t>允许付款人单方面取消或修改付款交易，直至处理时间结束(115)</w:t>
            </w:r>
          </w:p>
          <w:p>
            <w:pPr>
              <w:pStyle w:val="12"/>
              <w:numPr>
                <w:ilvl w:val="0"/>
                <w:numId w:val="9"/>
              </w:numPr>
              <w:tabs>
                <w:tab w:val="left" w:pos="467"/>
                <w:tab w:val="left" w:pos="468"/>
              </w:tabs>
              <w:spacing w:before="8" w:line="230" w:lineRule="auto"/>
              <w:ind w:right="166"/>
              <w:jc w:val="both"/>
              <w:rPr>
                <w:rFonts w:eastAsia="宋体"/>
                <w:sz w:val="21"/>
                <w:szCs w:val="21"/>
                <w:lang w:eastAsia="zh-CN"/>
              </w:rPr>
            </w:pPr>
            <w:r>
              <w:rPr>
                <w:rFonts w:eastAsia="宋体"/>
                <w:sz w:val="21"/>
                <w:szCs w:val="21"/>
                <w:lang w:eastAsia="zh-CN"/>
              </w:rPr>
              <w:t>保护非银行PSP持有的客户资金(117和118)</w:t>
            </w:r>
          </w:p>
          <w:p>
            <w:pPr>
              <w:pStyle w:val="12"/>
              <w:numPr>
                <w:ilvl w:val="0"/>
                <w:numId w:val="9"/>
              </w:numPr>
              <w:tabs>
                <w:tab w:val="left" w:pos="467"/>
                <w:tab w:val="left" w:pos="468"/>
              </w:tabs>
              <w:spacing w:before="8" w:line="230" w:lineRule="auto"/>
              <w:ind w:right="173"/>
              <w:jc w:val="both"/>
              <w:rPr>
                <w:rFonts w:eastAsia="宋体"/>
                <w:sz w:val="21"/>
                <w:szCs w:val="21"/>
                <w:lang w:eastAsia="zh-CN"/>
              </w:rPr>
            </w:pPr>
            <w:r>
              <w:rPr>
                <w:rFonts w:eastAsia="宋体"/>
                <w:sz w:val="21"/>
                <w:szCs w:val="21"/>
                <w:lang w:eastAsia="zh-CN"/>
              </w:rPr>
              <w:t>非银行PSP持有客户资金的保险要求(119和120)</w:t>
            </w:r>
          </w:p>
          <w:p>
            <w:pPr>
              <w:pStyle w:val="12"/>
              <w:numPr>
                <w:ilvl w:val="0"/>
                <w:numId w:val="9"/>
              </w:numPr>
              <w:tabs>
                <w:tab w:val="left" w:pos="467"/>
                <w:tab w:val="left" w:pos="468"/>
              </w:tabs>
              <w:spacing w:before="1" w:line="240" w:lineRule="exact"/>
              <w:ind w:hanging="361"/>
              <w:jc w:val="both"/>
              <w:rPr>
                <w:rFonts w:eastAsia="宋体"/>
                <w:sz w:val="21"/>
                <w:szCs w:val="21"/>
              </w:rPr>
            </w:pPr>
            <w:r>
              <w:rPr>
                <w:rFonts w:eastAsia="宋体"/>
                <w:sz w:val="21"/>
                <w:szCs w:val="21"/>
              </w:rPr>
              <w:t>关于可疑活动的通知要求(121a)</w:t>
            </w:r>
          </w:p>
          <w:p>
            <w:pPr>
              <w:pStyle w:val="12"/>
              <w:numPr>
                <w:ilvl w:val="0"/>
                <w:numId w:val="9"/>
              </w:numPr>
              <w:tabs>
                <w:tab w:val="left" w:pos="467"/>
                <w:tab w:val="left" w:pos="468"/>
              </w:tabs>
              <w:spacing w:before="3" w:line="230" w:lineRule="auto"/>
              <w:ind w:right="656"/>
              <w:jc w:val="both"/>
              <w:rPr>
                <w:rFonts w:eastAsia="宋体"/>
                <w:sz w:val="21"/>
                <w:szCs w:val="21"/>
                <w:lang w:eastAsia="zh-CN"/>
              </w:rPr>
            </w:pPr>
            <w:r>
              <w:rPr>
                <w:rFonts w:eastAsia="宋体"/>
                <w:sz w:val="21"/>
                <w:szCs w:val="21"/>
                <w:lang w:eastAsia="zh-CN"/>
              </w:rPr>
              <w:t>纠正未经授权或执行错误的交易的要求(121b)</w:t>
            </w:r>
          </w:p>
          <w:p>
            <w:pPr>
              <w:pStyle w:val="12"/>
              <w:numPr>
                <w:ilvl w:val="0"/>
                <w:numId w:val="9"/>
              </w:numPr>
              <w:tabs>
                <w:tab w:val="left" w:pos="467"/>
                <w:tab w:val="left" w:pos="468"/>
              </w:tabs>
              <w:spacing w:before="1" w:line="238" w:lineRule="exact"/>
              <w:ind w:hanging="361"/>
              <w:jc w:val="both"/>
              <w:rPr>
                <w:rFonts w:eastAsia="宋体"/>
                <w:sz w:val="21"/>
                <w:szCs w:val="21"/>
                <w:lang w:eastAsia="zh-CN"/>
              </w:rPr>
            </w:pPr>
            <w:r>
              <w:rPr>
                <w:rFonts w:eastAsia="宋体"/>
                <w:sz w:val="21"/>
                <w:szCs w:val="21"/>
                <w:lang w:eastAsia="zh-CN"/>
              </w:rPr>
              <w:t>关于欺诈责任的一般规定(122)</w:t>
            </w:r>
          </w:p>
          <w:p>
            <w:pPr>
              <w:pStyle w:val="12"/>
              <w:numPr>
                <w:ilvl w:val="0"/>
                <w:numId w:val="9"/>
              </w:numPr>
              <w:tabs>
                <w:tab w:val="left" w:pos="467"/>
                <w:tab w:val="left" w:pos="468"/>
              </w:tabs>
              <w:spacing w:line="234" w:lineRule="exact"/>
              <w:ind w:hanging="361"/>
              <w:jc w:val="both"/>
              <w:rPr>
                <w:rFonts w:eastAsia="宋体"/>
                <w:sz w:val="21"/>
                <w:szCs w:val="21"/>
                <w:lang w:eastAsia="zh-CN"/>
              </w:rPr>
            </w:pPr>
            <w:r>
              <w:rPr>
                <w:rFonts w:eastAsia="宋体"/>
                <w:sz w:val="21"/>
                <w:szCs w:val="21"/>
                <w:lang w:eastAsia="zh-CN"/>
              </w:rPr>
              <w:t>PSP对未经授权付款的责任(123)</w:t>
            </w:r>
          </w:p>
          <w:p>
            <w:pPr>
              <w:pStyle w:val="12"/>
              <w:numPr>
                <w:ilvl w:val="0"/>
                <w:numId w:val="9"/>
              </w:numPr>
              <w:tabs>
                <w:tab w:val="left" w:pos="467"/>
                <w:tab w:val="left" w:pos="468"/>
              </w:tabs>
              <w:spacing w:line="209" w:lineRule="exact"/>
              <w:ind w:hanging="361"/>
              <w:jc w:val="both"/>
              <w:rPr>
                <w:rFonts w:eastAsia="宋体"/>
                <w:sz w:val="21"/>
                <w:szCs w:val="21"/>
                <w:lang w:eastAsia="zh-CN"/>
              </w:rPr>
            </w:pPr>
            <w:r>
              <w:rPr>
                <w:rFonts w:eastAsia="宋体"/>
                <w:sz w:val="21"/>
                <w:szCs w:val="21"/>
                <w:lang w:eastAsia="zh-CN"/>
              </w:rPr>
              <w:t>付款人对未经授权付款的责任(124)</w:t>
            </w:r>
          </w:p>
        </w:tc>
        <w:tc>
          <w:tcPr>
            <w:tcW w:w="996" w:type="dxa"/>
            <w:tcBorders>
              <w:bottom w:val="nil"/>
            </w:tcBorders>
            <w:vAlign w:val="center"/>
          </w:tcPr>
          <w:p>
            <w:pPr>
              <w:pStyle w:val="12"/>
              <w:spacing w:before="14"/>
              <w:jc w:val="center"/>
              <w:rPr>
                <w:rFonts w:eastAsia="宋体"/>
                <w:b/>
                <w:sz w:val="21"/>
                <w:szCs w:val="21"/>
              </w:rPr>
            </w:pPr>
            <w:r>
              <w:rPr>
                <w:rFonts w:eastAsia="宋体"/>
                <w:b/>
                <w:w w:val="99"/>
                <w:sz w:val="21"/>
                <w:szCs w:val="21"/>
              </w:rPr>
              <w:t>1</w:t>
            </w:r>
          </w:p>
        </w:tc>
        <w:tc>
          <w:tcPr>
            <w:tcW w:w="1085" w:type="dxa"/>
            <w:tcBorders>
              <w:bottom w:val="nil"/>
            </w:tcBorders>
            <w:vAlign w:val="center"/>
          </w:tcPr>
          <w:p>
            <w:pPr>
              <w:pStyle w:val="12"/>
              <w:spacing w:before="14"/>
              <w:jc w:val="center"/>
              <w:rPr>
                <w:rFonts w:eastAsia="宋体"/>
                <w:b/>
                <w:sz w:val="21"/>
                <w:szCs w:val="21"/>
              </w:rPr>
            </w:pPr>
            <w:r>
              <w:rPr>
                <w:rFonts w:eastAsia="宋体"/>
                <w:b/>
                <w:w w:val="99"/>
                <w:sz w:val="21"/>
                <w:szCs w:val="21"/>
              </w:rPr>
              <w:t>1</w:t>
            </w:r>
          </w:p>
        </w:tc>
        <w:tc>
          <w:tcPr>
            <w:tcW w:w="1426" w:type="dxa"/>
            <w:tcBorders>
              <w:bottom w:val="nil"/>
            </w:tcBorders>
            <w:vAlign w:val="center"/>
          </w:tcPr>
          <w:p>
            <w:pPr>
              <w:pStyle w:val="12"/>
              <w:spacing w:before="14"/>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5929" w:type="dxa"/>
            <w:vMerge w:val="continue"/>
            <w:tcBorders>
              <w:top w:val="nil"/>
            </w:tcBorders>
            <w:vAlign w:val="center"/>
          </w:tcPr>
          <w:p>
            <w:pPr>
              <w:jc w:val="both"/>
              <w:rPr>
                <w:rFonts w:eastAsia="宋体"/>
                <w:sz w:val="21"/>
                <w:szCs w:val="21"/>
              </w:rPr>
            </w:pPr>
          </w:p>
        </w:tc>
        <w:tc>
          <w:tcPr>
            <w:tcW w:w="996" w:type="dxa"/>
            <w:tcBorders>
              <w:top w:val="nil"/>
              <w:bottom w:val="nil"/>
            </w:tcBorders>
            <w:vAlign w:val="center"/>
          </w:tcPr>
          <w:p>
            <w:pPr>
              <w:pStyle w:val="12"/>
              <w:spacing w:before="106"/>
              <w:jc w:val="center"/>
              <w:rPr>
                <w:rFonts w:eastAsia="宋体"/>
                <w:sz w:val="21"/>
                <w:szCs w:val="21"/>
              </w:rPr>
            </w:pPr>
            <w:r>
              <w:rPr>
                <w:rFonts w:eastAsia="宋体"/>
                <w:spacing w:val="-4"/>
                <w:sz w:val="21"/>
                <w:szCs w:val="21"/>
              </w:rPr>
              <w:t>0.12</w:t>
            </w:r>
          </w:p>
        </w:tc>
        <w:tc>
          <w:tcPr>
            <w:tcW w:w="1085" w:type="dxa"/>
            <w:tcBorders>
              <w:top w:val="nil"/>
              <w:bottom w:val="nil"/>
            </w:tcBorders>
            <w:vAlign w:val="center"/>
          </w:tcPr>
          <w:p>
            <w:pPr>
              <w:pStyle w:val="12"/>
              <w:spacing w:before="106"/>
              <w:jc w:val="center"/>
              <w:rPr>
                <w:rFonts w:eastAsia="宋体"/>
                <w:sz w:val="21"/>
                <w:szCs w:val="21"/>
              </w:rPr>
            </w:pPr>
            <w:r>
              <w:rPr>
                <w:rFonts w:eastAsia="宋体"/>
                <w:spacing w:val="-4"/>
                <w:sz w:val="21"/>
                <w:szCs w:val="21"/>
              </w:rPr>
              <w:t>0.12</w:t>
            </w:r>
          </w:p>
        </w:tc>
        <w:tc>
          <w:tcPr>
            <w:tcW w:w="1426" w:type="dxa"/>
            <w:tcBorders>
              <w:top w:val="nil"/>
              <w:bottom w:val="nil"/>
            </w:tcBorders>
            <w:vAlign w:val="center"/>
          </w:tcPr>
          <w:p>
            <w:pPr>
              <w:pStyle w:val="12"/>
              <w:spacing w:before="106"/>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5929" w:type="dxa"/>
            <w:vMerge w:val="continue"/>
            <w:tcBorders>
              <w:top w:val="nil"/>
            </w:tcBorders>
            <w:vAlign w:val="center"/>
          </w:tcPr>
          <w:p>
            <w:pPr>
              <w:jc w:val="both"/>
              <w:rPr>
                <w:rFonts w:eastAsia="宋体"/>
                <w:sz w:val="21"/>
                <w:szCs w:val="21"/>
              </w:rPr>
            </w:pPr>
          </w:p>
        </w:tc>
        <w:tc>
          <w:tcPr>
            <w:tcW w:w="996" w:type="dxa"/>
            <w:tcBorders>
              <w:top w:val="nil"/>
              <w:bottom w:val="nil"/>
            </w:tcBorders>
            <w:vAlign w:val="center"/>
          </w:tcPr>
          <w:p>
            <w:pPr>
              <w:pStyle w:val="12"/>
              <w:spacing w:before="104"/>
              <w:jc w:val="center"/>
              <w:rPr>
                <w:rFonts w:eastAsia="宋体"/>
                <w:sz w:val="21"/>
                <w:szCs w:val="21"/>
              </w:rPr>
            </w:pPr>
            <w:r>
              <w:rPr>
                <w:rFonts w:eastAsia="宋体"/>
                <w:spacing w:val="-4"/>
                <w:sz w:val="21"/>
                <w:szCs w:val="21"/>
              </w:rPr>
              <w:t>0.12</w:t>
            </w:r>
          </w:p>
        </w:tc>
        <w:tc>
          <w:tcPr>
            <w:tcW w:w="1085" w:type="dxa"/>
            <w:tcBorders>
              <w:top w:val="nil"/>
              <w:bottom w:val="nil"/>
            </w:tcBorders>
            <w:vAlign w:val="center"/>
          </w:tcPr>
          <w:p>
            <w:pPr>
              <w:pStyle w:val="12"/>
              <w:spacing w:before="104"/>
              <w:jc w:val="center"/>
              <w:rPr>
                <w:rFonts w:eastAsia="宋体"/>
                <w:sz w:val="21"/>
                <w:szCs w:val="21"/>
              </w:rPr>
            </w:pPr>
            <w:r>
              <w:rPr>
                <w:rFonts w:eastAsia="宋体"/>
                <w:spacing w:val="-4"/>
                <w:sz w:val="21"/>
                <w:szCs w:val="21"/>
              </w:rPr>
              <w:t>0.12</w:t>
            </w:r>
          </w:p>
        </w:tc>
        <w:tc>
          <w:tcPr>
            <w:tcW w:w="1426" w:type="dxa"/>
            <w:tcBorders>
              <w:top w:val="nil"/>
              <w:bottom w:val="nil"/>
            </w:tcBorders>
            <w:vAlign w:val="center"/>
          </w:tcPr>
          <w:p>
            <w:pPr>
              <w:pStyle w:val="12"/>
              <w:spacing w:before="104"/>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929" w:type="dxa"/>
            <w:vMerge w:val="continue"/>
            <w:tcBorders>
              <w:top w:val="nil"/>
            </w:tcBorders>
            <w:vAlign w:val="center"/>
          </w:tcPr>
          <w:p>
            <w:pPr>
              <w:jc w:val="both"/>
              <w:rPr>
                <w:rFonts w:eastAsia="宋体"/>
                <w:sz w:val="21"/>
                <w:szCs w:val="21"/>
              </w:rPr>
            </w:pPr>
          </w:p>
        </w:tc>
        <w:tc>
          <w:tcPr>
            <w:tcW w:w="996" w:type="dxa"/>
            <w:tcBorders>
              <w:top w:val="nil"/>
              <w:bottom w:val="nil"/>
            </w:tcBorders>
            <w:vAlign w:val="center"/>
          </w:tcPr>
          <w:p>
            <w:pPr>
              <w:pStyle w:val="12"/>
              <w:spacing w:before="106"/>
              <w:jc w:val="center"/>
              <w:rPr>
                <w:rFonts w:eastAsia="宋体"/>
                <w:sz w:val="21"/>
                <w:szCs w:val="21"/>
              </w:rPr>
            </w:pPr>
            <w:r>
              <w:rPr>
                <w:rFonts w:eastAsia="宋体"/>
                <w:spacing w:val="-4"/>
                <w:sz w:val="21"/>
                <w:szCs w:val="21"/>
              </w:rPr>
              <w:t>0.12</w:t>
            </w:r>
          </w:p>
        </w:tc>
        <w:tc>
          <w:tcPr>
            <w:tcW w:w="1085" w:type="dxa"/>
            <w:tcBorders>
              <w:top w:val="nil"/>
              <w:bottom w:val="nil"/>
            </w:tcBorders>
            <w:vAlign w:val="center"/>
          </w:tcPr>
          <w:p>
            <w:pPr>
              <w:pStyle w:val="12"/>
              <w:spacing w:before="106"/>
              <w:jc w:val="center"/>
              <w:rPr>
                <w:rFonts w:eastAsia="宋体"/>
                <w:sz w:val="21"/>
                <w:szCs w:val="21"/>
              </w:rPr>
            </w:pPr>
            <w:r>
              <w:rPr>
                <w:rFonts w:eastAsia="宋体"/>
                <w:spacing w:val="-4"/>
                <w:sz w:val="21"/>
                <w:szCs w:val="21"/>
              </w:rPr>
              <w:t>0.12</w:t>
            </w:r>
          </w:p>
        </w:tc>
        <w:tc>
          <w:tcPr>
            <w:tcW w:w="1426" w:type="dxa"/>
            <w:tcBorders>
              <w:top w:val="nil"/>
              <w:bottom w:val="nil"/>
            </w:tcBorders>
            <w:vAlign w:val="center"/>
          </w:tcPr>
          <w:p>
            <w:pPr>
              <w:pStyle w:val="12"/>
              <w:spacing w:before="106"/>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929" w:type="dxa"/>
            <w:vMerge w:val="continue"/>
            <w:tcBorders>
              <w:top w:val="nil"/>
            </w:tcBorders>
            <w:vAlign w:val="center"/>
          </w:tcPr>
          <w:p>
            <w:pPr>
              <w:jc w:val="both"/>
              <w:rPr>
                <w:rFonts w:eastAsia="宋体"/>
                <w:sz w:val="21"/>
                <w:szCs w:val="21"/>
              </w:rPr>
            </w:pPr>
          </w:p>
        </w:tc>
        <w:tc>
          <w:tcPr>
            <w:tcW w:w="996" w:type="dxa"/>
            <w:tcBorders>
              <w:top w:val="nil"/>
              <w:bottom w:val="nil"/>
            </w:tcBorders>
            <w:vAlign w:val="center"/>
          </w:tcPr>
          <w:p>
            <w:pPr>
              <w:pStyle w:val="12"/>
              <w:spacing w:before="106" w:line="210" w:lineRule="exact"/>
              <w:jc w:val="center"/>
              <w:rPr>
                <w:rFonts w:eastAsia="宋体"/>
                <w:sz w:val="21"/>
                <w:szCs w:val="21"/>
              </w:rPr>
            </w:pPr>
            <w:r>
              <w:rPr>
                <w:rFonts w:eastAsia="宋体"/>
                <w:spacing w:val="-4"/>
                <w:sz w:val="21"/>
                <w:szCs w:val="21"/>
              </w:rPr>
              <w:t>0.12</w:t>
            </w:r>
          </w:p>
        </w:tc>
        <w:tc>
          <w:tcPr>
            <w:tcW w:w="1085" w:type="dxa"/>
            <w:tcBorders>
              <w:top w:val="nil"/>
              <w:bottom w:val="nil"/>
            </w:tcBorders>
            <w:vAlign w:val="center"/>
          </w:tcPr>
          <w:p>
            <w:pPr>
              <w:pStyle w:val="12"/>
              <w:spacing w:before="106" w:line="210" w:lineRule="exact"/>
              <w:jc w:val="center"/>
              <w:rPr>
                <w:rFonts w:eastAsia="宋体"/>
                <w:sz w:val="21"/>
                <w:szCs w:val="21"/>
              </w:rPr>
            </w:pPr>
            <w:r>
              <w:rPr>
                <w:rFonts w:eastAsia="宋体"/>
                <w:spacing w:val="-4"/>
                <w:sz w:val="21"/>
                <w:szCs w:val="21"/>
              </w:rPr>
              <w:t>0.12</w:t>
            </w:r>
          </w:p>
        </w:tc>
        <w:tc>
          <w:tcPr>
            <w:tcW w:w="1426" w:type="dxa"/>
            <w:tcBorders>
              <w:top w:val="nil"/>
              <w:bottom w:val="nil"/>
            </w:tcBorders>
            <w:vAlign w:val="center"/>
          </w:tcPr>
          <w:p>
            <w:pPr>
              <w:pStyle w:val="12"/>
              <w:spacing w:before="106" w:line="210" w:lineRule="exact"/>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929" w:type="dxa"/>
            <w:vMerge w:val="continue"/>
            <w:tcBorders>
              <w:top w:val="nil"/>
            </w:tcBorders>
            <w:vAlign w:val="center"/>
          </w:tcPr>
          <w:p>
            <w:pPr>
              <w:jc w:val="both"/>
              <w:rPr>
                <w:rFonts w:eastAsia="宋体"/>
                <w:sz w:val="21"/>
                <w:szCs w:val="21"/>
              </w:rPr>
            </w:pPr>
          </w:p>
        </w:tc>
        <w:tc>
          <w:tcPr>
            <w:tcW w:w="996" w:type="dxa"/>
            <w:tcBorders>
              <w:top w:val="nil"/>
              <w:bottom w:val="nil"/>
            </w:tcBorders>
            <w:vAlign w:val="center"/>
          </w:tcPr>
          <w:p>
            <w:pPr>
              <w:pStyle w:val="12"/>
              <w:spacing w:line="221" w:lineRule="exact"/>
              <w:jc w:val="center"/>
              <w:rPr>
                <w:rFonts w:eastAsia="宋体"/>
                <w:sz w:val="21"/>
                <w:szCs w:val="21"/>
              </w:rPr>
            </w:pPr>
            <w:r>
              <w:rPr>
                <w:rFonts w:eastAsia="宋体"/>
                <w:spacing w:val="-4"/>
                <w:sz w:val="21"/>
                <w:szCs w:val="21"/>
              </w:rPr>
              <w:t>0.12</w:t>
            </w:r>
          </w:p>
        </w:tc>
        <w:tc>
          <w:tcPr>
            <w:tcW w:w="1085" w:type="dxa"/>
            <w:tcBorders>
              <w:top w:val="nil"/>
              <w:bottom w:val="nil"/>
            </w:tcBorders>
            <w:vAlign w:val="center"/>
          </w:tcPr>
          <w:p>
            <w:pPr>
              <w:pStyle w:val="12"/>
              <w:spacing w:line="221" w:lineRule="exact"/>
              <w:jc w:val="center"/>
              <w:rPr>
                <w:rFonts w:eastAsia="宋体"/>
                <w:sz w:val="21"/>
                <w:szCs w:val="21"/>
              </w:rPr>
            </w:pPr>
            <w:r>
              <w:rPr>
                <w:rFonts w:eastAsia="宋体"/>
                <w:spacing w:val="-4"/>
                <w:sz w:val="21"/>
                <w:szCs w:val="21"/>
              </w:rPr>
              <w:t>0.12</w:t>
            </w:r>
          </w:p>
        </w:tc>
        <w:tc>
          <w:tcPr>
            <w:tcW w:w="1426" w:type="dxa"/>
            <w:tcBorders>
              <w:top w:val="nil"/>
              <w:bottom w:val="nil"/>
            </w:tcBorders>
            <w:vAlign w:val="center"/>
          </w:tcPr>
          <w:p>
            <w:pPr>
              <w:pStyle w:val="12"/>
              <w:spacing w:line="221" w:lineRule="exact"/>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929" w:type="dxa"/>
            <w:vMerge w:val="continue"/>
            <w:tcBorders>
              <w:top w:val="nil"/>
            </w:tcBorders>
            <w:vAlign w:val="center"/>
          </w:tcPr>
          <w:p>
            <w:pPr>
              <w:jc w:val="both"/>
              <w:rPr>
                <w:rFonts w:eastAsia="宋体"/>
                <w:sz w:val="21"/>
                <w:szCs w:val="21"/>
              </w:rPr>
            </w:pPr>
          </w:p>
        </w:tc>
        <w:tc>
          <w:tcPr>
            <w:tcW w:w="996" w:type="dxa"/>
            <w:tcBorders>
              <w:top w:val="nil"/>
              <w:bottom w:val="nil"/>
            </w:tcBorders>
            <w:vAlign w:val="center"/>
          </w:tcPr>
          <w:p>
            <w:pPr>
              <w:pStyle w:val="12"/>
              <w:spacing w:before="105" w:line="210" w:lineRule="exact"/>
              <w:jc w:val="center"/>
              <w:rPr>
                <w:rFonts w:eastAsia="宋体"/>
                <w:sz w:val="21"/>
                <w:szCs w:val="21"/>
              </w:rPr>
            </w:pPr>
            <w:r>
              <w:rPr>
                <w:rFonts w:eastAsia="宋体"/>
                <w:spacing w:val="-4"/>
                <w:sz w:val="21"/>
                <w:szCs w:val="21"/>
              </w:rPr>
              <w:t>0.12</w:t>
            </w:r>
          </w:p>
        </w:tc>
        <w:tc>
          <w:tcPr>
            <w:tcW w:w="1085" w:type="dxa"/>
            <w:tcBorders>
              <w:top w:val="nil"/>
              <w:bottom w:val="nil"/>
            </w:tcBorders>
            <w:vAlign w:val="center"/>
          </w:tcPr>
          <w:p>
            <w:pPr>
              <w:pStyle w:val="12"/>
              <w:spacing w:before="105" w:line="210" w:lineRule="exact"/>
              <w:jc w:val="center"/>
              <w:rPr>
                <w:rFonts w:eastAsia="宋体"/>
                <w:sz w:val="21"/>
                <w:szCs w:val="21"/>
              </w:rPr>
            </w:pPr>
            <w:r>
              <w:rPr>
                <w:rFonts w:eastAsia="宋体"/>
                <w:spacing w:val="-4"/>
                <w:sz w:val="21"/>
                <w:szCs w:val="21"/>
              </w:rPr>
              <w:t>0.12</w:t>
            </w:r>
          </w:p>
        </w:tc>
        <w:tc>
          <w:tcPr>
            <w:tcW w:w="1426" w:type="dxa"/>
            <w:tcBorders>
              <w:top w:val="nil"/>
              <w:bottom w:val="nil"/>
            </w:tcBorders>
            <w:vAlign w:val="center"/>
          </w:tcPr>
          <w:p>
            <w:pPr>
              <w:pStyle w:val="12"/>
              <w:spacing w:before="105" w:line="210" w:lineRule="exact"/>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5929" w:type="dxa"/>
            <w:vMerge w:val="continue"/>
            <w:tcBorders>
              <w:top w:val="nil"/>
            </w:tcBorders>
            <w:vAlign w:val="center"/>
          </w:tcPr>
          <w:p>
            <w:pPr>
              <w:jc w:val="both"/>
              <w:rPr>
                <w:rFonts w:eastAsia="宋体"/>
                <w:sz w:val="21"/>
                <w:szCs w:val="21"/>
              </w:rPr>
            </w:pPr>
          </w:p>
        </w:tc>
        <w:tc>
          <w:tcPr>
            <w:tcW w:w="996" w:type="dxa"/>
            <w:tcBorders>
              <w:top w:val="nil"/>
              <w:bottom w:val="nil"/>
            </w:tcBorders>
            <w:vAlign w:val="center"/>
          </w:tcPr>
          <w:p>
            <w:pPr>
              <w:pStyle w:val="12"/>
              <w:spacing w:line="200" w:lineRule="exact"/>
              <w:jc w:val="center"/>
              <w:rPr>
                <w:rFonts w:eastAsia="宋体"/>
                <w:sz w:val="21"/>
                <w:szCs w:val="21"/>
              </w:rPr>
            </w:pPr>
            <w:r>
              <w:rPr>
                <w:rFonts w:eastAsia="宋体"/>
                <w:spacing w:val="-4"/>
                <w:sz w:val="21"/>
                <w:szCs w:val="21"/>
              </w:rPr>
              <w:t>0.12</w:t>
            </w:r>
          </w:p>
        </w:tc>
        <w:tc>
          <w:tcPr>
            <w:tcW w:w="1085" w:type="dxa"/>
            <w:tcBorders>
              <w:top w:val="nil"/>
              <w:bottom w:val="nil"/>
            </w:tcBorders>
            <w:vAlign w:val="center"/>
          </w:tcPr>
          <w:p>
            <w:pPr>
              <w:pStyle w:val="12"/>
              <w:spacing w:line="200" w:lineRule="exact"/>
              <w:jc w:val="center"/>
              <w:rPr>
                <w:rFonts w:eastAsia="宋体"/>
                <w:sz w:val="21"/>
                <w:szCs w:val="21"/>
              </w:rPr>
            </w:pPr>
            <w:r>
              <w:rPr>
                <w:rFonts w:eastAsia="宋体"/>
                <w:spacing w:val="-4"/>
                <w:sz w:val="21"/>
                <w:szCs w:val="21"/>
              </w:rPr>
              <w:t>0.12</w:t>
            </w:r>
          </w:p>
        </w:tc>
        <w:tc>
          <w:tcPr>
            <w:tcW w:w="1426" w:type="dxa"/>
            <w:tcBorders>
              <w:top w:val="nil"/>
              <w:bottom w:val="nil"/>
            </w:tcBorders>
            <w:vAlign w:val="center"/>
          </w:tcPr>
          <w:p>
            <w:pPr>
              <w:pStyle w:val="12"/>
              <w:spacing w:line="200" w:lineRule="exact"/>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929" w:type="dxa"/>
            <w:vMerge w:val="continue"/>
            <w:tcBorders>
              <w:top w:val="nil"/>
            </w:tcBorders>
            <w:vAlign w:val="center"/>
          </w:tcPr>
          <w:p>
            <w:pPr>
              <w:jc w:val="both"/>
              <w:rPr>
                <w:rFonts w:eastAsia="宋体"/>
                <w:sz w:val="21"/>
                <w:szCs w:val="21"/>
              </w:rPr>
            </w:pPr>
          </w:p>
        </w:tc>
        <w:tc>
          <w:tcPr>
            <w:tcW w:w="996" w:type="dxa"/>
            <w:tcBorders>
              <w:top w:val="nil"/>
            </w:tcBorders>
            <w:vAlign w:val="center"/>
          </w:tcPr>
          <w:p>
            <w:pPr>
              <w:pStyle w:val="12"/>
              <w:spacing w:line="215" w:lineRule="exact"/>
              <w:jc w:val="center"/>
              <w:rPr>
                <w:rFonts w:eastAsia="宋体"/>
                <w:sz w:val="21"/>
                <w:szCs w:val="21"/>
              </w:rPr>
            </w:pPr>
            <w:r>
              <w:rPr>
                <w:rFonts w:eastAsia="宋体"/>
                <w:spacing w:val="-4"/>
                <w:sz w:val="21"/>
                <w:szCs w:val="21"/>
              </w:rPr>
              <w:t>0.12</w:t>
            </w:r>
          </w:p>
        </w:tc>
        <w:tc>
          <w:tcPr>
            <w:tcW w:w="1085" w:type="dxa"/>
            <w:tcBorders>
              <w:top w:val="nil"/>
            </w:tcBorders>
            <w:vAlign w:val="center"/>
          </w:tcPr>
          <w:p>
            <w:pPr>
              <w:pStyle w:val="12"/>
              <w:spacing w:line="215" w:lineRule="exact"/>
              <w:jc w:val="center"/>
              <w:rPr>
                <w:rFonts w:eastAsia="宋体"/>
                <w:sz w:val="21"/>
                <w:szCs w:val="21"/>
              </w:rPr>
            </w:pPr>
            <w:r>
              <w:rPr>
                <w:rFonts w:eastAsia="宋体"/>
                <w:spacing w:val="-4"/>
                <w:sz w:val="21"/>
                <w:szCs w:val="21"/>
              </w:rPr>
              <w:t>0.12</w:t>
            </w:r>
          </w:p>
        </w:tc>
        <w:tc>
          <w:tcPr>
            <w:tcW w:w="1426" w:type="dxa"/>
            <w:tcBorders>
              <w:top w:val="nil"/>
            </w:tcBorders>
            <w:vAlign w:val="center"/>
          </w:tcPr>
          <w:p>
            <w:pPr>
              <w:pStyle w:val="12"/>
              <w:spacing w:line="215" w:lineRule="exact"/>
              <w:jc w:val="center"/>
              <w:rPr>
                <w:rFonts w:eastAsia="宋体"/>
                <w:sz w:val="21"/>
                <w:szCs w:val="21"/>
              </w:rPr>
            </w:pPr>
            <w:r>
              <w:rPr>
                <w:rFonts w:eastAsia="宋体"/>
                <w:spacing w:val="-4"/>
                <w:sz w:val="21"/>
                <w:szCs w:val="21"/>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29" w:type="dxa"/>
            <w:shd w:val="clear" w:color="auto" w:fill="FFC000"/>
            <w:vAlign w:val="center"/>
          </w:tcPr>
          <w:p>
            <w:pPr>
              <w:pStyle w:val="12"/>
              <w:spacing w:before="26"/>
              <w:jc w:val="both"/>
              <w:rPr>
                <w:rFonts w:eastAsia="宋体"/>
                <w:b/>
                <w:sz w:val="21"/>
                <w:szCs w:val="21"/>
              </w:rPr>
            </w:pPr>
            <w:r>
              <w:rPr>
                <w:rFonts w:eastAsia="宋体"/>
                <w:b/>
                <w:sz w:val="21"/>
                <w:szCs w:val="21"/>
                <w:lang w:eastAsia="zh-CN"/>
              </w:rPr>
              <w:t>总</w:t>
            </w:r>
            <w:r>
              <w:rPr>
                <w:rFonts w:hint="eastAsia" w:eastAsia="宋体"/>
                <w:b/>
                <w:sz w:val="21"/>
                <w:szCs w:val="21"/>
                <w:lang w:eastAsia="zh-CN"/>
              </w:rPr>
              <w:t>计</w:t>
            </w:r>
          </w:p>
        </w:tc>
        <w:tc>
          <w:tcPr>
            <w:tcW w:w="996" w:type="dxa"/>
            <w:shd w:val="clear" w:color="auto" w:fill="FFC000"/>
            <w:vAlign w:val="center"/>
          </w:tcPr>
          <w:p>
            <w:pPr>
              <w:pStyle w:val="12"/>
              <w:spacing w:before="26"/>
              <w:jc w:val="center"/>
              <w:rPr>
                <w:rFonts w:eastAsia="宋体"/>
                <w:b/>
                <w:sz w:val="21"/>
                <w:szCs w:val="21"/>
              </w:rPr>
            </w:pPr>
            <w:r>
              <w:rPr>
                <w:rFonts w:eastAsia="宋体"/>
                <w:b/>
                <w:w w:val="99"/>
                <w:sz w:val="21"/>
                <w:szCs w:val="21"/>
              </w:rPr>
              <w:t>2</w:t>
            </w:r>
          </w:p>
        </w:tc>
        <w:tc>
          <w:tcPr>
            <w:tcW w:w="1085" w:type="dxa"/>
            <w:shd w:val="clear" w:color="auto" w:fill="FFC000"/>
            <w:vAlign w:val="center"/>
          </w:tcPr>
          <w:p>
            <w:pPr>
              <w:pStyle w:val="12"/>
              <w:spacing w:before="26"/>
              <w:jc w:val="center"/>
              <w:rPr>
                <w:rFonts w:eastAsia="宋体"/>
                <w:b/>
                <w:sz w:val="21"/>
                <w:szCs w:val="21"/>
              </w:rPr>
            </w:pPr>
            <w:r>
              <w:rPr>
                <w:rFonts w:eastAsia="宋体"/>
                <w:b/>
                <w:w w:val="99"/>
                <w:sz w:val="21"/>
                <w:szCs w:val="21"/>
              </w:rPr>
              <w:t>2</w:t>
            </w:r>
          </w:p>
        </w:tc>
        <w:tc>
          <w:tcPr>
            <w:tcW w:w="1426" w:type="dxa"/>
            <w:shd w:val="clear" w:color="auto" w:fill="FFC000"/>
            <w:vAlign w:val="center"/>
          </w:tcPr>
          <w:p>
            <w:pPr>
              <w:pStyle w:val="12"/>
              <w:spacing w:before="26"/>
              <w:jc w:val="center"/>
              <w:rPr>
                <w:rFonts w:eastAsia="宋体"/>
                <w:b/>
                <w:sz w:val="21"/>
                <w:szCs w:val="21"/>
              </w:rPr>
            </w:pPr>
            <w:r>
              <w:rPr>
                <w:rFonts w:eastAsia="宋体"/>
                <w:b/>
                <w:w w:val="99"/>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6" w:type="dxa"/>
            <w:gridSpan w:val="4"/>
            <w:shd w:val="clear" w:color="auto" w:fill="E7EBF5"/>
            <w:vAlign w:val="center"/>
          </w:tcPr>
          <w:p>
            <w:pPr>
              <w:pStyle w:val="12"/>
              <w:spacing w:before="101"/>
              <w:ind w:left="467"/>
              <w:jc w:val="both"/>
              <w:rPr>
                <w:rFonts w:eastAsia="宋体"/>
                <w:b/>
                <w:sz w:val="21"/>
                <w:szCs w:val="21"/>
                <w:lang w:eastAsia="zh-CN"/>
              </w:rPr>
            </w:pPr>
            <w:r>
              <w:rPr>
                <w:rFonts w:eastAsia="宋体"/>
                <w:b/>
                <w:sz w:val="21"/>
                <w:szCs w:val="21"/>
                <w:lang w:eastAsia="zh-CN"/>
              </w:rPr>
              <w:t>2.6.3费用、条款和条件的透明度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5929" w:type="dxa"/>
            <w:vAlign w:val="center"/>
          </w:tcPr>
          <w:p>
            <w:pPr>
              <w:pStyle w:val="12"/>
              <w:spacing w:before="26"/>
              <w:jc w:val="both"/>
              <w:rPr>
                <w:rFonts w:eastAsia="宋体"/>
                <w:b/>
                <w:sz w:val="21"/>
                <w:szCs w:val="21"/>
              </w:rPr>
            </w:pPr>
            <w:r>
              <w:rPr>
                <w:rFonts w:eastAsia="宋体"/>
                <w:b/>
                <w:spacing w:val="-2"/>
                <w:sz w:val="21"/>
                <w:szCs w:val="21"/>
              </w:rPr>
              <w:t>指标</w:t>
            </w:r>
          </w:p>
        </w:tc>
        <w:tc>
          <w:tcPr>
            <w:tcW w:w="996" w:type="dxa"/>
            <w:vAlign w:val="center"/>
          </w:tcPr>
          <w:p>
            <w:pPr>
              <w:pStyle w:val="12"/>
              <w:spacing w:before="26"/>
              <w:jc w:val="center"/>
              <w:rPr>
                <w:rFonts w:eastAsia="宋体"/>
                <w:b/>
                <w:sz w:val="21"/>
                <w:szCs w:val="21"/>
              </w:rPr>
            </w:pPr>
            <w:r>
              <w:rPr>
                <w:rFonts w:eastAsia="宋体"/>
                <w:b/>
                <w:spacing w:val="-5"/>
                <w:sz w:val="21"/>
                <w:szCs w:val="21"/>
              </w:rPr>
              <w:t>FFP</w:t>
            </w:r>
          </w:p>
        </w:tc>
        <w:tc>
          <w:tcPr>
            <w:tcW w:w="1085" w:type="dxa"/>
            <w:vAlign w:val="center"/>
          </w:tcPr>
          <w:p>
            <w:pPr>
              <w:pStyle w:val="12"/>
              <w:spacing w:before="26"/>
              <w:jc w:val="center"/>
              <w:rPr>
                <w:rFonts w:eastAsia="宋体"/>
                <w:b/>
                <w:sz w:val="21"/>
                <w:szCs w:val="21"/>
              </w:rPr>
            </w:pPr>
            <w:r>
              <w:rPr>
                <w:rFonts w:eastAsia="宋体"/>
                <w:b/>
                <w:spacing w:val="-5"/>
                <w:sz w:val="21"/>
                <w:szCs w:val="21"/>
              </w:rPr>
              <w:t>SBP</w:t>
            </w:r>
          </w:p>
        </w:tc>
        <w:tc>
          <w:tcPr>
            <w:tcW w:w="1426" w:type="dxa"/>
            <w:vAlign w:val="center"/>
          </w:tcPr>
          <w:p>
            <w:pPr>
              <w:pStyle w:val="12"/>
              <w:spacing w:before="26"/>
              <w:jc w:val="center"/>
              <w:rPr>
                <w:rFonts w:eastAsia="宋体"/>
                <w:b/>
                <w:sz w:val="21"/>
                <w:szCs w:val="21"/>
              </w:rPr>
            </w:pPr>
            <w:r>
              <w:rPr>
                <w:rFonts w:hint="eastAsia" w:eastAsia="宋体"/>
                <w:b/>
                <w:sz w:val="21"/>
                <w:szCs w:val="21"/>
                <w:lang w:eastAsia="zh-CN"/>
              </w:rPr>
              <w:t>总</w:t>
            </w: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5929" w:type="dxa"/>
            <w:tcBorders>
              <w:bottom w:val="nil"/>
            </w:tcBorders>
            <w:vAlign w:val="center"/>
          </w:tcPr>
          <w:p>
            <w:pPr>
              <w:pStyle w:val="12"/>
              <w:spacing w:line="218" w:lineRule="exact"/>
              <w:jc w:val="both"/>
              <w:rPr>
                <w:rFonts w:eastAsia="宋体"/>
                <w:b/>
                <w:sz w:val="21"/>
                <w:szCs w:val="21"/>
                <w:lang w:eastAsia="zh-CN"/>
              </w:rPr>
            </w:pPr>
            <w:r>
              <w:rPr>
                <w:rFonts w:eastAsia="宋体"/>
                <w:b/>
                <w:sz w:val="21"/>
                <w:szCs w:val="21"/>
                <w:lang w:eastAsia="zh-CN"/>
              </w:rPr>
              <w:t>费用披露及费用变动通知</w:t>
            </w:r>
          </w:p>
        </w:tc>
        <w:tc>
          <w:tcPr>
            <w:tcW w:w="996" w:type="dxa"/>
            <w:tcBorders>
              <w:bottom w:val="nil"/>
            </w:tcBorders>
            <w:vAlign w:val="center"/>
          </w:tcPr>
          <w:p>
            <w:pPr>
              <w:pStyle w:val="12"/>
              <w:spacing w:before="5" w:line="214" w:lineRule="exact"/>
              <w:jc w:val="center"/>
              <w:rPr>
                <w:rFonts w:eastAsia="宋体"/>
                <w:b/>
                <w:sz w:val="21"/>
                <w:szCs w:val="21"/>
              </w:rPr>
            </w:pPr>
            <w:r>
              <w:rPr>
                <w:rFonts w:eastAsia="宋体"/>
                <w:b/>
                <w:w w:val="99"/>
                <w:sz w:val="21"/>
                <w:szCs w:val="21"/>
              </w:rPr>
              <w:t>1</w:t>
            </w:r>
          </w:p>
        </w:tc>
        <w:tc>
          <w:tcPr>
            <w:tcW w:w="1085" w:type="dxa"/>
            <w:tcBorders>
              <w:bottom w:val="nil"/>
            </w:tcBorders>
            <w:vAlign w:val="center"/>
          </w:tcPr>
          <w:p>
            <w:pPr>
              <w:pStyle w:val="12"/>
              <w:spacing w:before="5" w:line="214" w:lineRule="exact"/>
              <w:jc w:val="center"/>
              <w:rPr>
                <w:rFonts w:eastAsia="宋体"/>
                <w:b/>
                <w:sz w:val="21"/>
                <w:szCs w:val="21"/>
              </w:rPr>
            </w:pPr>
            <w:r>
              <w:rPr>
                <w:rFonts w:eastAsia="宋体"/>
                <w:b/>
                <w:w w:val="99"/>
                <w:sz w:val="21"/>
                <w:szCs w:val="21"/>
              </w:rPr>
              <w:t>1</w:t>
            </w:r>
          </w:p>
        </w:tc>
        <w:tc>
          <w:tcPr>
            <w:tcW w:w="1426" w:type="dxa"/>
            <w:tcBorders>
              <w:bottom w:val="nil"/>
            </w:tcBorders>
            <w:vAlign w:val="center"/>
          </w:tcPr>
          <w:p>
            <w:pPr>
              <w:pStyle w:val="12"/>
              <w:spacing w:before="5" w:line="214" w:lineRule="exact"/>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5929" w:type="dxa"/>
            <w:tcBorders>
              <w:top w:val="nil"/>
              <w:bottom w:val="nil"/>
            </w:tcBorders>
            <w:vAlign w:val="center"/>
          </w:tcPr>
          <w:p>
            <w:pPr>
              <w:pStyle w:val="12"/>
              <w:tabs>
                <w:tab w:val="left" w:pos="467"/>
              </w:tabs>
              <w:spacing w:line="214" w:lineRule="exact"/>
              <w:jc w:val="both"/>
              <w:rPr>
                <w:rFonts w:eastAsia="宋体"/>
                <w:sz w:val="21"/>
                <w:szCs w:val="21"/>
              </w:rPr>
            </w:pPr>
            <w:r>
              <w:rPr>
                <w:rFonts w:eastAsia="宋体"/>
                <w:b/>
                <w:spacing w:val="-10"/>
                <w:sz w:val="21"/>
                <w:szCs w:val="21"/>
              </w:rPr>
              <w:t>-</w:t>
            </w:r>
            <w:r>
              <w:rPr>
                <w:rFonts w:eastAsia="宋体"/>
                <w:b/>
                <w:sz w:val="21"/>
                <w:szCs w:val="21"/>
              </w:rPr>
              <w:tab/>
            </w:r>
            <w:r>
              <w:rPr>
                <w:rFonts w:eastAsia="宋体"/>
                <w:sz w:val="21"/>
                <w:szCs w:val="21"/>
              </w:rPr>
              <w:t>披露使用电子付款的所有费用(125a)</w:t>
            </w:r>
          </w:p>
        </w:tc>
        <w:tc>
          <w:tcPr>
            <w:tcW w:w="996" w:type="dxa"/>
            <w:tcBorders>
              <w:top w:val="nil"/>
              <w:bottom w:val="nil"/>
            </w:tcBorders>
            <w:vAlign w:val="center"/>
          </w:tcPr>
          <w:p>
            <w:pPr>
              <w:pStyle w:val="12"/>
              <w:spacing w:line="214" w:lineRule="exact"/>
              <w:jc w:val="center"/>
              <w:rPr>
                <w:rFonts w:eastAsia="宋体"/>
                <w:sz w:val="21"/>
                <w:szCs w:val="21"/>
              </w:rPr>
            </w:pPr>
            <w:r>
              <w:rPr>
                <w:rFonts w:eastAsia="宋体"/>
                <w:spacing w:val="-5"/>
                <w:sz w:val="21"/>
                <w:szCs w:val="21"/>
              </w:rPr>
              <w:t>0.5</w:t>
            </w:r>
          </w:p>
        </w:tc>
        <w:tc>
          <w:tcPr>
            <w:tcW w:w="1085" w:type="dxa"/>
            <w:tcBorders>
              <w:top w:val="nil"/>
              <w:bottom w:val="nil"/>
            </w:tcBorders>
            <w:vAlign w:val="center"/>
          </w:tcPr>
          <w:p>
            <w:pPr>
              <w:pStyle w:val="12"/>
              <w:spacing w:line="214" w:lineRule="exact"/>
              <w:jc w:val="center"/>
              <w:rPr>
                <w:rFonts w:eastAsia="宋体"/>
                <w:sz w:val="21"/>
                <w:szCs w:val="21"/>
              </w:rPr>
            </w:pPr>
            <w:r>
              <w:rPr>
                <w:rFonts w:eastAsia="宋体"/>
                <w:spacing w:val="-5"/>
                <w:sz w:val="21"/>
                <w:szCs w:val="21"/>
              </w:rPr>
              <w:t>0.5</w:t>
            </w:r>
          </w:p>
        </w:tc>
        <w:tc>
          <w:tcPr>
            <w:tcW w:w="1426" w:type="dxa"/>
            <w:tcBorders>
              <w:top w:val="nil"/>
              <w:bottom w:val="nil"/>
            </w:tcBorders>
            <w:vAlign w:val="center"/>
          </w:tcPr>
          <w:p>
            <w:pPr>
              <w:pStyle w:val="12"/>
              <w:spacing w:line="214" w:lineRule="exact"/>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5929" w:type="dxa"/>
            <w:tcBorders>
              <w:top w:val="nil"/>
            </w:tcBorders>
            <w:vAlign w:val="center"/>
          </w:tcPr>
          <w:p>
            <w:pPr>
              <w:pStyle w:val="12"/>
              <w:tabs>
                <w:tab w:val="left" w:pos="467"/>
              </w:tabs>
              <w:spacing w:line="206"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通知用户费用的变化(125b)</w:t>
            </w:r>
          </w:p>
        </w:tc>
        <w:tc>
          <w:tcPr>
            <w:tcW w:w="996" w:type="dxa"/>
            <w:tcBorders>
              <w:top w:val="nil"/>
            </w:tcBorders>
            <w:vAlign w:val="center"/>
          </w:tcPr>
          <w:p>
            <w:pPr>
              <w:pStyle w:val="12"/>
              <w:spacing w:line="206" w:lineRule="exact"/>
              <w:jc w:val="center"/>
              <w:rPr>
                <w:rFonts w:eastAsia="宋体"/>
                <w:sz w:val="21"/>
                <w:szCs w:val="21"/>
              </w:rPr>
            </w:pPr>
            <w:r>
              <w:rPr>
                <w:rFonts w:eastAsia="宋体"/>
                <w:spacing w:val="-5"/>
                <w:sz w:val="21"/>
                <w:szCs w:val="21"/>
              </w:rPr>
              <w:t>0.5</w:t>
            </w:r>
          </w:p>
        </w:tc>
        <w:tc>
          <w:tcPr>
            <w:tcW w:w="1085" w:type="dxa"/>
            <w:tcBorders>
              <w:top w:val="nil"/>
            </w:tcBorders>
            <w:vAlign w:val="center"/>
          </w:tcPr>
          <w:p>
            <w:pPr>
              <w:pStyle w:val="12"/>
              <w:spacing w:line="206" w:lineRule="exact"/>
              <w:jc w:val="center"/>
              <w:rPr>
                <w:rFonts w:eastAsia="宋体"/>
                <w:sz w:val="21"/>
                <w:szCs w:val="21"/>
              </w:rPr>
            </w:pPr>
            <w:r>
              <w:rPr>
                <w:rFonts w:eastAsia="宋体"/>
                <w:spacing w:val="-5"/>
                <w:sz w:val="21"/>
                <w:szCs w:val="21"/>
              </w:rPr>
              <w:t>0.5</w:t>
            </w:r>
          </w:p>
        </w:tc>
        <w:tc>
          <w:tcPr>
            <w:tcW w:w="1426" w:type="dxa"/>
            <w:tcBorders>
              <w:top w:val="nil"/>
            </w:tcBorders>
            <w:vAlign w:val="center"/>
          </w:tcPr>
          <w:p>
            <w:pPr>
              <w:pStyle w:val="12"/>
              <w:spacing w:line="206" w:lineRule="exact"/>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5929" w:type="dxa"/>
            <w:tcBorders>
              <w:bottom w:val="nil"/>
            </w:tcBorders>
            <w:vAlign w:val="center"/>
          </w:tcPr>
          <w:p>
            <w:pPr>
              <w:pStyle w:val="12"/>
              <w:spacing w:line="220" w:lineRule="exact"/>
              <w:jc w:val="both"/>
              <w:rPr>
                <w:rFonts w:eastAsia="宋体"/>
                <w:b/>
                <w:sz w:val="21"/>
                <w:szCs w:val="21"/>
                <w:lang w:eastAsia="zh-CN"/>
              </w:rPr>
            </w:pPr>
            <w:r>
              <w:rPr>
                <w:rFonts w:eastAsia="宋体"/>
                <w:b/>
                <w:sz w:val="21"/>
                <w:szCs w:val="21"/>
                <w:lang w:eastAsia="zh-CN"/>
              </w:rPr>
              <w:t>责任披露、数据使用和争议机制</w:t>
            </w:r>
          </w:p>
        </w:tc>
        <w:tc>
          <w:tcPr>
            <w:tcW w:w="996" w:type="dxa"/>
            <w:tcBorders>
              <w:bottom w:val="nil"/>
            </w:tcBorders>
            <w:vAlign w:val="center"/>
          </w:tcPr>
          <w:p>
            <w:pPr>
              <w:pStyle w:val="12"/>
              <w:spacing w:before="7" w:line="213" w:lineRule="exact"/>
              <w:jc w:val="center"/>
              <w:rPr>
                <w:rFonts w:eastAsia="宋体"/>
                <w:b/>
                <w:sz w:val="21"/>
                <w:szCs w:val="21"/>
              </w:rPr>
            </w:pPr>
            <w:r>
              <w:rPr>
                <w:rFonts w:eastAsia="宋体"/>
                <w:b/>
                <w:w w:val="99"/>
                <w:sz w:val="21"/>
                <w:szCs w:val="21"/>
              </w:rPr>
              <w:t>1</w:t>
            </w:r>
          </w:p>
        </w:tc>
        <w:tc>
          <w:tcPr>
            <w:tcW w:w="1085" w:type="dxa"/>
            <w:tcBorders>
              <w:bottom w:val="nil"/>
            </w:tcBorders>
            <w:vAlign w:val="center"/>
          </w:tcPr>
          <w:p>
            <w:pPr>
              <w:pStyle w:val="12"/>
              <w:spacing w:before="7" w:line="213" w:lineRule="exact"/>
              <w:jc w:val="center"/>
              <w:rPr>
                <w:rFonts w:eastAsia="宋体"/>
                <w:b/>
                <w:sz w:val="21"/>
                <w:szCs w:val="21"/>
              </w:rPr>
            </w:pPr>
            <w:r>
              <w:rPr>
                <w:rFonts w:eastAsia="宋体"/>
                <w:b/>
                <w:w w:val="99"/>
                <w:sz w:val="21"/>
                <w:szCs w:val="21"/>
              </w:rPr>
              <w:t>1</w:t>
            </w:r>
          </w:p>
        </w:tc>
        <w:tc>
          <w:tcPr>
            <w:tcW w:w="1426" w:type="dxa"/>
            <w:tcBorders>
              <w:bottom w:val="nil"/>
            </w:tcBorders>
            <w:vAlign w:val="center"/>
          </w:tcPr>
          <w:p>
            <w:pPr>
              <w:pStyle w:val="12"/>
              <w:spacing w:before="7" w:line="213" w:lineRule="exact"/>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5929" w:type="dxa"/>
            <w:tcBorders>
              <w:top w:val="nil"/>
              <w:bottom w:val="nil"/>
            </w:tcBorders>
            <w:vAlign w:val="center"/>
          </w:tcPr>
          <w:p>
            <w:pPr>
              <w:pStyle w:val="12"/>
              <w:tabs>
                <w:tab w:val="left" w:pos="467"/>
              </w:tabs>
              <w:spacing w:line="213" w:lineRule="exact"/>
              <w:jc w:val="both"/>
              <w:rPr>
                <w:rFonts w:eastAsia="宋体"/>
                <w:sz w:val="21"/>
                <w:szCs w:val="21"/>
              </w:rPr>
            </w:pPr>
            <w:r>
              <w:rPr>
                <w:rFonts w:eastAsia="宋体"/>
                <w:b/>
                <w:spacing w:val="-10"/>
                <w:sz w:val="21"/>
                <w:szCs w:val="21"/>
              </w:rPr>
              <w:t>-</w:t>
            </w:r>
            <w:r>
              <w:rPr>
                <w:rFonts w:eastAsia="宋体"/>
                <w:b/>
                <w:sz w:val="21"/>
                <w:szCs w:val="21"/>
              </w:rPr>
              <w:tab/>
            </w:r>
            <w:r>
              <w:rPr>
                <w:rFonts w:eastAsia="宋体"/>
                <w:sz w:val="21"/>
                <w:szCs w:val="21"/>
              </w:rPr>
              <w:t>披露责任(125c)</w:t>
            </w:r>
          </w:p>
        </w:tc>
        <w:tc>
          <w:tcPr>
            <w:tcW w:w="996" w:type="dxa"/>
            <w:tcBorders>
              <w:top w:val="nil"/>
              <w:bottom w:val="nil"/>
            </w:tcBorders>
            <w:vAlign w:val="center"/>
          </w:tcPr>
          <w:p>
            <w:pPr>
              <w:pStyle w:val="12"/>
              <w:spacing w:line="213" w:lineRule="exact"/>
              <w:jc w:val="center"/>
              <w:rPr>
                <w:rFonts w:eastAsia="宋体"/>
                <w:sz w:val="21"/>
                <w:szCs w:val="21"/>
              </w:rPr>
            </w:pPr>
            <w:r>
              <w:rPr>
                <w:rFonts w:eastAsia="宋体"/>
                <w:spacing w:val="-4"/>
                <w:sz w:val="21"/>
                <w:szCs w:val="21"/>
              </w:rPr>
              <w:t>0.25</w:t>
            </w:r>
          </w:p>
        </w:tc>
        <w:tc>
          <w:tcPr>
            <w:tcW w:w="1085" w:type="dxa"/>
            <w:tcBorders>
              <w:top w:val="nil"/>
              <w:bottom w:val="nil"/>
            </w:tcBorders>
            <w:vAlign w:val="center"/>
          </w:tcPr>
          <w:p>
            <w:pPr>
              <w:pStyle w:val="12"/>
              <w:spacing w:line="213" w:lineRule="exact"/>
              <w:jc w:val="center"/>
              <w:rPr>
                <w:rFonts w:eastAsia="宋体"/>
                <w:sz w:val="21"/>
                <w:szCs w:val="21"/>
              </w:rPr>
            </w:pPr>
            <w:r>
              <w:rPr>
                <w:rFonts w:eastAsia="宋体"/>
                <w:spacing w:val="-4"/>
                <w:sz w:val="21"/>
                <w:szCs w:val="21"/>
              </w:rPr>
              <w:t>0.25</w:t>
            </w:r>
          </w:p>
        </w:tc>
        <w:tc>
          <w:tcPr>
            <w:tcW w:w="1426" w:type="dxa"/>
            <w:tcBorders>
              <w:top w:val="nil"/>
              <w:bottom w:val="nil"/>
            </w:tcBorders>
            <w:vAlign w:val="center"/>
          </w:tcPr>
          <w:p>
            <w:pPr>
              <w:pStyle w:val="12"/>
              <w:spacing w:line="213" w:lineRule="exact"/>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929" w:type="dxa"/>
            <w:tcBorders>
              <w:top w:val="nil"/>
              <w:bottom w:val="nil"/>
            </w:tcBorders>
            <w:vAlign w:val="center"/>
          </w:tcPr>
          <w:p>
            <w:pPr>
              <w:pStyle w:val="12"/>
              <w:tabs>
                <w:tab w:val="left" w:pos="467"/>
              </w:tabs>
              <w:spacing w:line="213"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披露客户数据的使用情况(125d)</w:t>
            </w:r>
          </w:p>
        </w:tc>
        <w:tc>
          <w:tcPr>
            <w:tcW w:w="996" w:type="dxa"/>
            <w:tcBorders>
              <w:top w:val="nil"/>
              <w:bottom w:val="nil"/>
            </w:tcBorders>
            <w:vAlign w:val="center"/>
          </w:tcPr>
          <w:p>
            <w:pPr>
              <w:pStyle w:val="12"/>
              <w:spacing w:line="213" w:lineRule="exact"/>
              <w:jc w:val="center"/>
              <w:rPr>
                <w:rFonts w:eastAsia="宋体"/>
                <w:sz w:val="21"/>
                <w:szCs w:val="21"/>
              </w:rPr>
            </w:pPr>
            <w:r>
              <w:rPr>
                <w:rFonts w:eastAsia="宋体"/>
                <w:spacing w:val="-4"/>
                <w:sz w:val="21"/>
                <w:szCs w:val="21"/>
              </w:rPr>
              <w:t>0.25</w:t>
            </w:r>
          </w:p>
        </w:tc>
        <w:tc>
          <w:tcPr>
            <w:tcW w:w="1085" w:type="dxa"/>
            <w:tcBorders>
              <w:top w:val="nil"/>
              <w:bottom w:val="nil"/>
            </w:tcBorders>
            <w:vAlign w:val="center"/>
          </w:tcPr>
          <w:p>
            <w:pPr>
              <w:pStyle w:val="12"/>
              <w:spacing w:line="213" w:lineRule="exact"/>
              <w:jc w:val="center"/>
              <w:rPr>
                <w:rFonts w:eastAsia="宋体"/>
                <w:sz w:val="21"/>
                <w:szCs w:val="21"/>
              </w:rPr>
            </w:pPr>
            <w:r>
              <w:rPr>
                <w:rFonts w:eastAsia="宋体"/>
                <w:spacing w:val="-4"/>
                <w:sz w:val="21"/>
                <w:szCs w:val="21"/>
              </w:rPr>
              <w:t>0.25</w:t>
            </w:r>
          </w:p>
        </w:tc>
        <w:tc>
          <w:tcPr>
            <w:tcW w:w="1426" w:type="dxa"/>
            <w:tcBorders>
              <w:top w:val="nil"/>
              <w:bottom w:val="nil"/>
            </w:tcBorders>
            <w:vAlign w:val="center"/>
          </w:tcPr>
          <w:p>
            <w:pPr>
              <w:pStyle w:val="12"/>
              <w:spacing w:line="213" w:lineRule="exact"/>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5929" w:type="dxa"/>
            <w:tcBorders>
              <w:top w:val="nil"/>
              <w:bottom w:val="nil"/>
            </w:tcBorders>
            <w:vAlign w:val="center"/>
          </w:tcPr>
          <w:p>
            <w:pPr>
              <w:pStyle w:val="12"/>
              <w:tabs>
                <w:tab w:val="left" w:pos="467"/>
              </w:tabs>
              <w:spacing w:line="212"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投诉处理程序的书面政策(125e)</w:t>
            </w:r>
          </w:p>
        </w:tc>
        <w:tc>
          <w:tcPr>
            <w:tcW w:w="996" w:type="dxa"/>
            <w:tcBorders>
              <w:top w:val="nil"/>
              <w:bottom w:val="nil"/>
            </w:tcBorders>
            <w:vAlign w:val="center"/>
          </w:tcPr>
          <w:p>
            <w:pPr>
              <w:pStyle w:val="12"/>
              <w:spacing w:line="212" w:lineRule="exact"/>
              <w:jc w:val="center"/>
              <w:rPr>
                <w:rFonts w:eastAsia="宋体"/>
                <w:sz w:val="21"/>
                <w:szCs w:val="21"/>
              </w:rPr>
            </w:pPr>
            <w:r>
              <w:rPr>
                <w:rFonts w:eastAsia="宋体"/>
                <w:spacing w:val="-4"/>
                <w:sz w:val="21"/>
                <w:szCs w:val="21"/>
              </w:rPr>
              <w:t>0.25</w:t>
            </w:r>
          </w:p>
        </w:tc>
        <w:tc>
          <w:tcPr>
            <w:tcW w:w="1085" w:type="dxa"/>
            <w:tcBorders>
              <w:top w:val="nil"/>
              <w:bottom w:val="nil"/>
            </w:tcBorders>
            <w:vAlign w:val="center"/>
          </w:tcPr>
          <w:p>
            <w:pPr>
              <w:pStyle w:val="12"/>
              <w:spacing w:line="212" w:lineRule="exact"/>
              <w:jc w:val="center"/>
              <w:rPr>
                <w:rFonts w:eastAsia="宋体"/>
                <w:sz w:val="21"/>
                <w:szCs w:val="21"/>
              </w:rPr>
            </w:pPr>
            <w:r>
              <w:rPr>
                <w:rFonts w:eastAsia="宋体"/>
                <w:spacing w:val="-4"/>
                <w:sz w:val="21"/>
                <w:szCs w:val="21"/>
              </w:rPr>
              <w:t>0.25</w:t>
            </w:r>
          </w:p>
        </w:tc>
        <w:tc>
          <w:tcPr>
            <w:tcW w:w="1426" w:type="dxa"/>
            <w:tcBorders>
              <w:top w:val="nil"/>
              <w:bottom w:val="nil"/>
            </w:tcBorders>
            <w:vAlign w:val="center"/>
          </w:tcPr>
          <w:p>
            <w:pPr>
              <w:pStyle w:val="12"/>
              <w:spacing w:line="212" w:lineRule="exact"/>
              <w:jc w:val="center"/>
              <w:rPr>
                <w:rFonts w:eastAsia="宋体"/>
                <w:sz w:val="21"/>
                <w:szCs w:val="21"/>
              </w:rPr>
            </w:pPr>
            <w:r>
              <w:rPr>
                <w:rFonts w:eastAsia="宋体"/>
                <w:spacing w:val="-5"/>
                <w:sz w:val="21"/>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5929" w:type="dxa"/>
            <w:tcBorders>
              <w:top w:val="nil"/>
            </w:tcBorders>
            <w:vAlign w:val="center"/>
          </w:tcPr>
          <w:p>
            <w:pPr>
              <w:pStyle w:val="12"/>
              <w:tabs>
                <w:tab w:val="left" w:pos="467"/>
              </w:tabs>
              <w:spacing w:line="209" w:lineRule="exact"/>
              <w:jc w:val="both"/>
              <w:rPr>
                <w:rFonts w:eastAsia="宋体"/>
                <w:sz w:val="21"/>
                <w:szCs w:val="21"/>
              </w:rPr>
            </w:pPr>
            <w:r>
              <w:rPr>
                <w:rFonts w:eastAsia="宋体"/>
                <w:b/>
                <w:spacing w:val="-10"/>
                <w:sz w:val="21"/>
                <w:szCs w:val="21"/>
              </w:rPr>
              <w:t>-</w:t>
            </w:r>
            <w:r>
              <w:rPr>
                <w:rFonts w:eastAsia="宋体"/>
                <w:b/>
                <w:sz w:val="21"/>
                <w:szCs w:val="21"/>
              </w:rPr>
              <w:tab/>
            </w:r>
            <w:r>
              <w:rPr>
                <w:rFonts w:eastAsia="宋体"/>
                <w:sz w:val="21"/>
                <w:szCs w:val="21"/>
              </w:rPr>
              <w:t>一般服务条款(125f)</w:t>
            </w:r>
          </w:p>
        </w:tc>
        <w:tc>
          <w:tcPr>
            <w:tcW w:w="996" w:type="dxa"/>
            <w:tcBorders>
              <w:top w:val="nil"/>
            </w:tcBorders>
            <w:vAlign w:val="center"/>
          </w:tcPr>
          <w:p>
            <w:pPr>
              <w:pStyle w:val="12"/>
              <w:spacing w:line="209" w:lineRule="exact"/>
              <w:jc w:val="center"/>
              <w:rPr>
                <w:rFonts w:eastAsia="宋体"/>
                <w:sz w:val="21"/>
                <w:szCs w:val="21"/>
              </w:rPr>
            </w:pPr>
            <w:r>
              <w:rPr>
                <w:rFonts w:eastAsia="宋体"/>
                <w:spacing w:val="-4"/>
                <w:sz w:val="21"/>
                <w:szCs w:val="21"/>
              </w:rPr>
              <w:t>0.25</w:t>
            </w:r>
          </w:p>
        </w:tc>
        <w:tc>
          <w:tcPr>
            <w:tcW w:w="1085" w:type="dxa"/>
            <w:tcBorders>
              <w:top w:val="nil"/>
            </w:tcBorders>
            <w:vAlign w:val="center"/>
          </w:tcPr>
          <w:p>
            <w:pPr>
              <w:pStyle w:val="12"/>
              <w:spacing w:line="209" w:lineRule="exact"/>
              <w:jc w:val="center"/>
              <w:rPr>
                <w:rFonts w:eastAsia="宋体"/>
                <w:sz w:val="21"/>
                <w:szCs w:val="21"/>
              </w:rPr>
            </w:pPr>
            <w:r>
              <w:rPr>
                <w:rFonts w:eastAsia="宋体"/>
                <w:spacing w:val="-4"/>
                <w:sz w:val="21"/>
                <w:szCs w:val="21"/>
              </w:rPr>
              <w:t>0.25</w:t>
            </w:r>
          </w:p>
        </w:tc>
        <w:tc>
          <w:tcPr>
            <w:tcW w:w="1426" w:type="dxa"/>
            <w:tcBorders>
              <w:top w:val="nil"/>
            </w:tcBorders>
            <w:vAlign w:val="center"/>
          </w:tcPr>
          <w:p>
            <w:pPr>
              <w:pStyle w:val="12"/>
              <w:spacing w:line="209" w:lineRule="exact"/>
              <w:jc w:val="center"/>
              <w:rPr>
                <w:rFonts w:eastAsia="宋体"/>
                <w:sz w:val="21"/>
                <w:szCs w:val="21"/>
              </w:rPr>
            </w:pPr>
            <w:r>
              <w:rPr>
                <w:rFonts w:eastAsia="宋体"/>
                <w:spacing w:val="-5"/>
                <w:sz w:val="21"/>
                <w:szCs w:val="21"/>
              </w:rPr>
              <w:t>0.5</w:t>
            </w:r>
          </w:p>
        </w:tc>
      </w:tr>
    </w:tbl>
    <w:p>
      <w:pPr>
        <w:spacing w:line="209" w:lineRule="exact"/>
        <w:rPr>
          <w:rFonts w:eastAsia="宋体"/>
          <w:sz w:val="21"/>
          <w:szCs w:val="21"/>
        </w:rPr>
        <w:sectPr>
          <w:pgSz w:w="12240" w:h="15840"/>
          <w:pgMar w:top="1500" w:right="1240" w:bottom="1322" w:left="1240" w:header="720" w:footer="720" w:gutter="0"/>
          <w:cols w:space="720" w:num="1"/>
        </w:sectPr>
      </w:pPr>
    </w:p>
    <w:tbl>
      <w:tblPr>
        <w:tblStyle w:val="8"/>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29"/>
        <w:gridCol w:w="996"/>
        <w:gridCol w:w="1085"/>
        <w:gridCol w:w="14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29" w:type="dxa"/>
            <w:shd w:val="clear" w:color="auto" w:fill="FFC000"/>
          </w:tcPr>
          <w:p>
            <w:pPr>
              <w:pStyle w:val="12"/>
              <w:spacing w:before="26"/>
              <w:rPr>
                <w:rFonts w:eastAsia="宋体"/>
                <w:b/>
                <w:sz w:val="21"/>
                <w:szCs w:val="21"/>
              </w:rPr>
            </w:pPr>
            <w:r>
              <w:rPr>
                <w:rFonts w:eastAsia="宋体"/>
                <w:b/>
                <w:sz w:val="21"/>
                <w:szCs w:val="21"/>
                <w:lang w:eastAsia="zh-CN"/>
              </w:rPr>
              <w:t>总</w:t>
            </w:r>
            <w:r>
              <w:rPr>
                <w:rFonts w:hint="eastAsia" w:eastAsia="宋体"/>
                <w:b/>
                <w:sz w:val="21"/>
                <w:szCs w:val="21"/>
                <w:lang w:eastAsia="zh-CN"/>
              </w:rPr>
              <w:t>计</w:t>
            </w:r>
          </w:p>
        </w:tc>
        <w:tc>
          <w:tcPr>
            <w:tcW w:w="996" w:type="dxa"/>
            <w:shd w:val="clear" w:color="auto" w:fill="FFC000"/>
          </w:tcPr>
          <w:p>
            <w:pPr>
              <w:pStyle w:val="12"/>
              <w:spacing w:before="26"/>
              <w:jc w:val="center"/>
              <w:rPr>
                <w:rFonts w:eastAsia="宋体"/>
                <w:b/>
                <w:sz w:val="21"/>
                <w:szCs w:val="21"/>
              </w:rPr>
            </w:pPr>
            <w:r>
              <w:rPr>
                <w:rFonts w:eastAsia="宋体"/>
                <w:b/>
                <w:w w:val="99"/>
                <w:sz w:val="21"/>
                <w:szCs w:val="21"/>
              </w:rPr>
              <w:t>2</w:t>
            </w:r>
          </w:p>
        </w:tc>
        <w:tc>
          <w:tcPr>
            <w:tcW w:w="1085" w:type="dxa"/>
            <w:shd w:val="clear" w:color="auto" w:fill="FFC000"/>
          </w:tcPr>
          <w:p>
            <w:pPr>
              <w:pStyle w:val="12"/>
              <w:spacing w:before="26"/>
              <w:jc w:val="center"/>
              <w:rPr>
                <w:rFonts w:eastAsia="宋体"/>
                <w:b/>
                <w:sz w:val="21"/>
                <w:szCs w:val="21"/>
              </w:rPr>
            </w:pPr>
            <w:r>
              <w:rPr>
                <w:rFonts w:eastAsia="宋体"/>
                <w:b/>
                <w:w w:val="99"/>
                <w:sz w:val="21"/>
                <w:szCs w:val="21"/>
              </w:rPr>
              <w:t>2</w:t>
            </w:r>
          </w:p>
        </w:tc>
        <w:tc>
          <w:tcPr>
            <w:tcW w:w="1426" w:type="dxa"/>
            <w:shd w:val="clear" w:color="auto" w:fill="FFC000"/>
          </w:tcPr>
          <w:p>
            <w:pPr>
              <w:pStyle w:val="12"/>
              <w:spacing w:before="26"/>
              <w:jc w:val="center"/>
              <w:rPr>
                <w:rFonts w:eastAsia="宋体"/>
                <w:b/>
                <w:sz w:val="21"/>
                <w:szCs w:val="21"/>
              </w:rPr>
            </w:pPr>
            <w:r>
              <w:rPr>
                <w:rFonts w:eastAsia="宋体"/>
                <w:b/>
                <w:w w:val="99"/>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6" w:type="dxa"/>
            <w:gridSpan w:val="4"/>
            <w:shd w:val="clear" w:color="auto" w:fill="E7EBF5"/>
          </w:tcPr>
          <w:p>
            <w:pPr>
              <w:pStyle w:val="12"/>
              <w:spacing w:before="101"/>
              <w:ind w:left="467"/>
              <w:rPr>
                <w:rFonts w:eastAsia="宋体"/>
                <w:b/>
                <w:sz w:val="21"/>
                <w:szCs w:val="21"/>
                <w:lang w:eastAsia="zh-CN"/>
              </w:rPr>
            </w:pPr>
            <w:r>
              <w:rPr>
                <w:rFonts w:eastAsia="宋体"/>
                <w:b/>
                <w:sz w:val="21"/>
                <w:szCs w:val="21"/>
                <w:lang w:eastAsia="zh-CN"/>
              </w:rPr>
              <w:t>2.6.4是否有可靠的追索权和争端解决机制的可用性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29" w:type="dxa"/>
          </w:tcPr>
          <w:p>
            <w:pPr>
              <w:pStyle w:val="12"/>
              <w:spacing w:before="26"/>
              <w:rPr>
                <w:rFonts w:eastAsia="宋体"/>
                <w:b/>
                <w:sz w:val="21"/>
                <w:szCs w:val="21"/>
              </w:rPr>
            </w:pPr>
            <w:r>
              <w:rPr>
                <w:rFonts w:eastAsia="宋体"/>
                <w:b/>
                <w:spacing w:val="-2"/>
                <w:sz w:val="21"/>
                <w:szCs w:val="21"/>
              </w:rPr>
              <w:t>指标</w:t>
            </w:r>
          </w:p>
        </w:tc>
        <w:tc>
          <w:tcPr>
            <w:tcW w:w="996" w:type="dxa"/>
          </w:tcPr>
          <w:p>
            <w:pPr>
              <w:pStyle w:val="12"/>
              <w:spacing w:before="26"/>
              <w:jc w:val="center"/>
              <w:rPr>
                <w:rFonts w:eastAsia="宋体"/>
                <w:b/>
                <w:sz w:val="21"/>
                <w:szCs w:val="21"/>
              </w:rPr>
            </w:pPr>
            <w:r>
              <w:rPr>
                <w:rFonts w:eastAsia="宋体"/>
                <w:b/>
                <w:spacing w:val="-5"/>
                <w:sz w:val="21"/>
                <w:szCs w:val="21"/>
              </w:rPr>
              <w:t>FFP</w:t>
            </w:r>
          </w:p>
        </w:tc>
        <w:tc>
          <w:tcPr>
            <w:tcW w:w="1085" w:type="dxa"/>
          </w:tcPr>
          <w:p>
            <w:pPr>
              <w:pStyle w:val="12"/>
              <w:spacing w:before="26"/>
              <w:jc w:val="center"/>
              <w:rPr>
                <w:rFonts w:eastAsia="宋体"/>
                <w:b/>
                <w:sz w:val="21"/>
                <w:szCs w:val="21"/>
              </w:rPr>
            </w:pPr>
            <w:r>
              <w:rPr>
                <w:rFonts w:eastAsia="宋体"/>
                <w:b/>
                <w:spacing w:val="-5"/>
                <w:sz w:val="21"/>
                <w:szCs w:val="21"/>
              </w:rPr>
              <w:t>SBP</w:t>
            </w:r>
          </w:p>
        </w:tc>
        <w:tc>
          <w:tcPr>
            <w:tcW w:w="1426" w:type="dxa"/>
          </w:tcPr>
          <w:p>
            <w:pPr>
              <w:pStyle w:val="12"/>
              <w:spacing w:before="26"/>
              <w:jc w:val="center"/>
              <w:rPr>
                <w:rFonts w:eastAsia="宋体"/>
                <w:b/>
                <w:sz w:val="21"/>
                <w:szCs w:val="21"/>
              </w:rPr>
            </w:pP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1" w:hRule="atLeast"/>
        </w:trPr>
        <w:tc>
          <w:tcPr>
            <w:tcW w:w="5929" w:type="dxa"/>
            <w:vAlign w:val="center"/>
          </w:tcPr>
          <w:p>
            <w:pPr>
              <w:pStyle w:val="12"/>
              <w:spacing w:line="230" w:lineRule="exact"/>
              <w:jc w:val="both"/>
              <w:rPr>
                <w:rFonts w:eastAsia="宋体"/>
                <w:b/>
                <w:sz w:val="21"/>
                <w:szCs w:val="21"/>
              </w:rPr>
            </w:pPr>
            <w:r>
              <w:rPr>
                <w:rFonts w:eastAsia="宋体"/>
                <w:b/>
                <w:sz w:val="21"/>
                <w:szCs w:val="21"/>
                <w:lang w:eastAsia="zh-CN"/>
              </w:rPr>
              <w:t>对</w:t>
            </w:r>
            <w:r>
              <w:rPr>
                <w:rFonts w:eastAsia="宋体"/>
                <w:b/>
                <w:sz w:val="21"/>
                <w:szCs w:val="21"/>
              </w:rPr>
              <w:t>交易</w:t>
            </w:r>
            <w:r>
              <w:rPr>
                <w:rFonts w:eastAsia="宋体"/>
                <w:b/>
                <w:sz w:val="21"/>
                <w:szCs w:val="21"/>
                <w:lang w:eastAsia="zh-CN"/>
              </w:rPr>
              <w:t>提出</w:t>
            </w:r>
            <w:r>
              <w:rPr>
                <w:rFonts w:eastAsia="宋体"/>
                <w:b/>
                <w:sz w:val="21"/>
                <w:szCs w:val="21"/>
              </w:rPr>
              <w:t>争议</w:t>
            </w:r>
          </w:p>
          <w:p>
            <w:pPr>
              <w:pStyle w:val="12"/>
              <w:numPr>
                <w:ilvl w:val="0"/>
                <w:numId w:val="10"/>
              </w:numPr>
              <w:tabs>
                <w:tab w:val="left" w:pos="467"/>
                <w:tab w:val="left" w:pos="468"/>
              </w:tabs>
              <w:spacing w:line="239" w:lineRule="exact"/>
              <w:ind w:hanging="361"/>
              <w:jc w:val="both"/>
              <w:rPr>
                <w:rFonts w:eastAsia="宋体"/>
                <w:sz w:val="21"/>
                <w:szCs w:val="21"/>
                <w:lang w:eastAsia="zh-CN"/>
              </w:rPr>
            </w:pPr>
            <w:r>
              <w:rPr>
                <w:rFonts w:eastAsia="宋体"/>
                <w:sz w:val="21"/>
                <w:szCs w:val="21"/>
                <w:lang w:eastAsia="zh-CN"/>
              </w:rPr>
              <w:t>对付款提出争议的期限(128)</w:t>
            </w:r>
          </w:p>
          <w:p>
            <w:pPr>
              <w:pStyle w:val="12"/>
              <w:numPr>
                <w:ilvl w:val="0"/>
                <w:numId w:val="10"/>
              </w:numPr>
              <w:tabs>
                <w:tab w:val="left" w:pos="467"/>
                <w:tab w:val="left" w:pos="468"/>
              </w:tabs>
              <w:spacing w:line="234" w:lineRule="exact"/>
              <w:ind w:hanging="361"/>
              <w:jc w:val="both"/>
              <w:rPr>
                <w:rFonts w:eastAsia="宋体"/>
                <w:sz w:val="21"/>
                <w:szCs w:val="21"/>
                <w:lang w:eastAsia="zh-CN"/>
              </w:rPr>
            </w:pPr>
            <w:r>
              <w:rPr>
                <w:rFonts w:eastAsia="宋体"/>
                <w:sz w:val="21"/>
                <w:szCs w:val="21"/>
                <w:lang w:eastAsia="zh-CN"/>
              </w:rPr>
              <w:t>PSP确认收到争议通知(131)</w:t>
            </w:r>
          </w:p>
          <w:p>
            <w:pPr>
              <w:pStyle w:val="12"/>
              <w:numPr>
                <w:ilvl w:val="0"/>
                <w:numId w:val="10"/>
              </w:numPr>
              <w:tabs>
                <w:tab w:val="left" w:pos="467"/>
                <w:tab w:val="left" w:pos="468"/>
              </w:tabs>
              <w:spacing w:line="230" w:lineRule="exact"/>
              <w:ind w:right="260"/>
              <w:jc w:val="both"/>
              <w:rPr>
                <w:rFonts w:eastAsia="宋体"/>
                <w:sz w:val="21"/>
                <w:szCs w:val="21"/>
                <w:lang w:eastAsia="zh-CN"/>
              </w:rPr>
            </w:pPr>
            <w:r>
              <w:rPr>
                <w:rFonts w:eastAsia="宋体"/>
                <w:sz w:val="21"/>
                <w:szCs w:val="21"/>
                <w:lang w:eastAsia="zh-CN"/>
              </w:rPr>
              <w:t>在争议有待解决时，接收方继续收取无争议的费用(135)</w:t>
            </w:r>
          </w:p>
        </w:tc>
        <w:tc>
          <w:tcPr>
            <w:tcW w:w="996" w:type="dxa"/>
          </w:tcPr>
          <w:p>
            <w:pPr>
              <w:pStyle w:val="12"/>
              <w:spacing w:before="7" w:line="229" w:lineRule="exact"/>
              <w:jc w:val="center"/>
              <w:rPr>
                <w:rFonts w:eastAsia="宋体"/>
                <w:b/>
                <w:sz w:val="21"/>
                <w:szCs w:val="21"/>
              </w:rPr>
            </w:pPr>
            <w:r>
              <w:rPr>
                <w:rFonts w:eastAsia="宋体"/>
                <w:b/>
                <w:w w:val="99"/>
                <w:sz w:val="21"/>
                <w:szCs w:val="21"/>
              </w:rPr>
              <w:t>1</w:t>
            </w:r>
          </w:p>
          <w:p>
            <w:pPr>
              <w:pStyle w:val="12"/>
              <w:spacing w:line="229" w:lineRule="exact"/>
              <w:jc w:val="center"/>
              <w:rPr>
                <w:rFonts w:eastAsia="宋体"/>
                <w:sz w:val="21"/>
                <w:szCs w:val="21"/>
              </w:rPr>
            </w:pPr>
            <w:r>
              <w:rPr>
                <w:rFonts w:eastAsia="宋体"/>
                <w:spacing w:val="-4"/>
                <w:sz w:val="21"/>
                <w:szCs w:val="21"/>
              </w:rPr>
              <w:t>0.34</w:t>
            </w:r>
          </w:p>
          <w:p>
            <w:pPr>
              <w:pStyle w:val="12"/>
              <w:spacing w:before="1"/>
              <w:jc w:val="center"/>
              <w:rPr>
                <w:rFonts w:eastAsia="宋体"/>
                <w:sz w:val="21"/>
                <w:szCs w:val="21"/>
              </w:rPr>
            </w:pPr>
            <w:r>
              <w:rPr>
                <w:rFonts w:eastAsia="宋体"/>
                <w:spacing w:val="-4"/>
                <w:sz w:val="21"/>
                <w:szCs w:val="21"/>
              </w:rPr>
              <w:t>0.33</w:t>
            </w:r>
          </w:p>
          <w:p>
            <w:pPr>
              <w:pStyle w:val="12"/>
              <w:jc w:val="center"/>
              <w:rPr>
                <w:rFonts w:eastAsia="宋体"/>
                <w:sz w:val="21"/>
                <w:szCs w:val="21"/>
              </w:rPr>
            </w:pPr>
            <w:r>
              <w:rPr>
                <w:rFonts w:eastAsia="宋体"/>
                <w:spacing w:val="-4"/>
                <w:sz w:val="21"/>
                <w:szCs w:val="21"/>
              </w:rPr>
              <w:t>0.33</w:t>
            </w:r>
          </w:p>
        </w:tc>
        <w:tc>
          <w:tcPr>
            <w:tcW w:w="1085" w:type="dxa"/>
          </w:tcPr>
          <w:p>
            <w:pPr>
              <w:pStyle w:val="12"/>
              <w:spacing w:before="7" w:line="229" w:lineRule="exact"/>
              <w:jc w:val="center"/>
              <w:rPr>
                <w:rFonts w:eastAsia="宋体"/>
                <w:b/>
                <w:sz w:val="21"/>
                <w:szCs w:val="21"/>
              </w:rPr>
            </w:pPr>
            <w:r>
              <w:rPr>
                <w:rFonts w:eastAsia="宋体"/>
                <w:b/>
                <w:w w:val="99"/>
                <w:sz w:val="21"/>
                <w:szCs w:val="21"/>
              </w:rPr>
              <w:t>1</w:t>
            </w:r>
          </w:p>
          <w:p>
            <w:pPr>
              <w:pStyle w:val="12"/>
              <w:spacing w:line="229" w:lineRule="exact"/>
              <w:jc w:val="center"/>
              <w:rPr>
                <w:rFonts w:eastAsia="宋体"/>
                <w:sz w:val="21"/>
                <w:szCs w:val="21"/>
              </w:rPr>
            </w:pPr>
            <w:r>
              <w:rPr>
                <w:rFonts w:eastAsia="宋体"/>
                <w:spacing w:val="-4"/>
                <w:sz w:val="21"/>
                <w:szCs w:val="21"/>
              </w:rPr>
              <w:t>0.34</w:t>
            </w:r>
          </w:p>
          <w:p>
            <w:pPr>
              <w:pStyle w:val="12"/>
              <w:spacing w:before="1"/>
              <w:jc w:val="center"/>
              <w:rPr>
                <w:rFonts w:eastAsia="宋体"/>
                <w:sz w:val="21"/>
                <w:szCs w:val="21"/>
              </w:rPr>
            </w:pPr>
            <w:r>
              <w:rPr>
                <w:rFonts w:eastAsia="宋体"/>
                <w:spacing w:val="-4"/>
                <w:sz w:val="21"/>
                <w:szCs w:val="21"/>
              </w:rPr>
              <w:t>0.33</w:t>
            </w:r>
          </w:p>
          <w:p>
            <w:pPr>
              <w:pStyle w:val="12"/>
              <w:jc w:val="center"/>
              <w:rPr>
                <w:rFonts w:eastAsia="宋体"/>
                <w:sz w:val="21"/>
                <w:szCs w:val="21"/>
              </w:rPr>
            </w:pPr>
            <w:r>
              <w:rPr>
                <w:rFonts w:eastAsia="宋体"/>
                <w:spacing w:val="-4"/>
                <w:sz w:val="21"/>
                <w:szCs w:val="21"/>
              </w:rPr>
              <w:t>0.33</w:t>
            </w:r>
          </w:p>
        </w:tc>
        <w:tc>
          <w:tcPr>
            <w:tcW w:w="1426" w:type="dxa"/>
          </w:tcPr>
          <w:p>
            <w:pPr>
              <w:pStyle w:val="12"/>
              <w:spacing w:before="7" w:line="229" w:lineRule="exact"/>
              <w:jc w:val="center"/>
              <w:rPr>
                <w:rFonts w:eastAsia="宋体"/>
                <w:b/>
                <w:sz w:val="21"/>
                <w:szCs w:val="21"/>
              </w:rPr>
            </w:pPr>
            <w:r>
              <w:rPr>
                <w:rFonts w:eastAsia="宋体"/>
                <w:b/>
                <w:w w:val="99"/>
                <w:sz w:val="21"/>
                <w:szCs w:val="21"/>
              </w:rPr>
              <w:t>2</w:t>
            </w:r>
          </w:p>
          <w:p>
            <w:pPr>
              <w:pStyle w:val="12"/>
              <w:spacing w:line="229" w:lineRule="exact"/>
              <w:jc w:val="center"/>
              <w:rPr>
                <w:rFonts w:eastAsia="宋体"/>
                <w:sz w:val="21"/>
                <w:szCs w:val="21"/>
              </w:rPr>
            </w:pPr>
            <w:r>
              <w:rPr>
                <w:rFonts w:eastAsia="宋体"/>
                <w:spacing w:val="-4"/>
                <w:sz w:val="21"/>
                <w:szCs w:val="21"/>
              </w:rPr>
              <w:t>0.68</w:t>
            </w:r>
          </w:p>
          <w:p>
            <w:pPr>
              <w:pStyle w:val="12"/>
              <w:spacing w:before="1"/>
              <w:jc w:val="center"/>
              <w:rPr>
                <w:rFonts w:eastAsia="宋体"/>
                <w:sz w:val="21"/>
                <w:szCs w:val="21"/>
              </w:rPr>
            </w:pPr>
            <w:r>
              <w:rPr>
                <w:rFonts w:eastAsia="宋体"/>
                <w:spacing w:val="-4"/>
                <w:sz w:val="21"/>
                <w:szCs w:val="21"/>
              </w:rPr>
              <w:t>0.66</w:t>
            </w:r>
          </w:p>
          <w:p>
            <w:pPr>
              <w:pStyle w:val="12"/>
              <w:jc w:val="center"/>
              <w:rPr>
                <w:rFonts w:eastAsia="宋体"/>
                <w:sz w:val="21"/>
                <w:szCs w:val="21"/>
              </w:rPr>
            </w:pPr>
            <w:r>
              <w:rPr>
                <w:rFonts w:eastAsia="宋体"/>
                <w:spacing w:val="-4"/>
                <w:sz w:val="21"/>
                <w:szCs w:val="21"/>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5929" w:type="dxa"/>
            <w:vAlign w:val="center"/>
          </w:tcPr>
          <w:p>
            <w:pPr>
              <w:pStyle w:val="12"/>
              <w:spacing w:line="228" w:lineRule="exact"/>
              <w:jc w:val="both"/>
              <w:rPr>
                <w:rFonts w:eastAsia="宋体"/>
                <w:b/>
                <w:sz w:val="21"/>
                <w:szCs w:val="21"/>
              </w:rPr>
            </w:pPr>
            <w:r>
              <w:rPr>
                <w:rFonts w:eastAsia="宋体"/>
                <w:b/>
                <w:sz w:val="21"/>
                <w:szCs w:val="21"/>
              </w:rPr>
              <w:t>争</w:t>
            </w:r>
            <w:r>
              <w:rPr>
                <w:rFonts w:eastAsia="宋体"/>
                <w:b/>
                <w:sz w:val="21"/>
                <w:szCs w:val="21"/>
                <w:lang w:eastAsia="zh-CN"/>
              </w:rPr>
              <w:t>端</w:t>
            </w:r>
            <w:r>
              <w:rPr>
                <w:rFonts w:eastAsia="宋体"/>
                <w:b/>
                <w:sz w:val="21"/>
                <w:szCs w:val="21"/>
              </w:rPr>
              <w:t>机制的可用性</w:t>
            </w:r>
          </w:p>
          <w:p>
            <w:pPr>
              <w:pStyle w:val="12"/>
              <w:numPr>
                <w:ilvl w:val="0"/>
                <w:numId w:val="11"/>
              </w:numPr>
              <w:tabs>
                <w:tab w:val="left" w:pos="467"/>
                <w:tab w:val="left" w:pos="468"/>
              </w:tabs>
              <w:spacing w:line="239" w:lineRule="exact"/>
              <w:ind w:hanging="361"/>
              <w:jc w:val="both"/>
              <w:rPr>
                <w:rFonts w:eastAsia="宋体"/>
                <w:sz w:val="21"/>
                <w:szCs w:val="21"/>
                <w:lang w:eastAsia="zh-CN"/>
              </w:rPr>
            </w:pPr>
            <w:r>
              <w:rPr>
                <w:rFonts w:eastAsia="宋体"/>
                <w:sz w:val="21"/>
                <w:szCs w:val="21"/>
                <w:lang w:eastAsia="zh-CN"/>
              </w:rPr>
              <w:t>PSP有独立的部门负责争议解决(132)</w:t>
            </w:r>
          </w:p>
          <w:p>
            <w:pPr>
              <w:pStyle w:val="12"/>
              <w:numPr>
                <w:ilvl w:val="0"/>
                <w:numId w:val="11"/>
              </w:numPr>
              <w:tabs>
                <w:tab w:val="left" w:pos="467"/>
                <w:tab w:val="left" w:pos="468"/>
              </w:tabs>
              <w:spacing w:before="3" w:line="230" w:lineRule="auto"/>
              <w:ind w:right="100"/>
              <w:jc w:val="both"/>
              <w:rPr>
                <w:rFonts w:eastAsia="宋体"/>
                <w:sz w:val="21"/>
                <w:szCs w:val="21"/>
                <w:lang w:eastAsia="zh-CN"/>
              </w:rPr>
            </w:pPr>
            <w:r>
              <w:rPr>
                <w:rFonts w:eastAsia="宋体"/>
                <w:sz w:val="21"/>
                <w:szCs w:val="21"/>
                <w:lang w:eastAsia="zh-CN"/>
              </w:rPr>
              <w:t>要求建立可用的争端解决机制(126和127)</w:t>
            </w:r>
          </w:p>
          <w:p>
            <w:pPr>
              <w:pStyle w:val="12"/>
              <w:numPr>
                <w:ilvl w:val="0"/>
                <w:numId w:val="11"/>
              </w:numPr>
              <w:tabs>
                <w:tab w:val="left" w:pos="467"/>
                <w:tab w:val="left" w:pos="468"/>
              </w:tabs>
              <w:spacing w:line="230" w:lineRule="exact"/>
              <w:ind w:right="188"/>
              <w:jc w:val="both"/>
              <w:rPr>
                <w:rFonts w:eastAsia="宋体"/>
                <w:sz w:val="21"/>
                <w:szCs w:val="21"/>
                <w:lang w:eastAsia="zh-CN"/>
              </w:rPr>
            </w:pPr>
            <w:r>
              <w:rPr>
                <w:rFonts w:eastAsia="宋体"/>
                <w:sz w:val="21"/>
                <w:szCs w:val="21"/>
                <w:lang w:eastAsia="zh-CN"/>
              </w:rPr>
              <w:t>当内部未解决争端时，是否有独立的政府机构作为可供求助的选择(133)</w:t>
            </w:r>
          </w:p>
        </w:tc>
        <w:tc>
          <w:tcPr>
            <w:tcW w:w="996" w:type="dxa"/>
          </w:tcPr>
          <w:p>
            <w:pPr>
              <w:pStyle w:val="12"/>
              <w:spacing w:before="6" w:line="229" w:lineRule="exact"/>
              <w:jc w:val="center"/>
              <w:rPr>
                <w:rFonts w:eastAsia="宋体"/>
                <w:b/>
                <w:sz w:val="21"/>
                <w:szCs w:val="21"/>
              </w:rPr>
            </w:pPr>
            <w:r>
              <w:rPr>
                <w:rFonts w:eastAsia="宋体"/>
                <w:b/>
                <w:w w:val="99"/>
                <w:sz w:val="21"/>
                <w:szCs w:val="21"/>
              </w:rPr>
              <w:t>1</w:t>
            </w:r>
          </w:p>
          <w:p>
            <w:pPr>
              <w:pStyle w:val="12"/>
              <w:spacing w:line="229" w:lineRule="exact"/>
              <w:jc w:val="center"/>
              <w:rPr>
                <w:rFonts w:eastAsia="宋体"/>
                <w:sz w:val="21"/>
                <w:szCs w:val="21"/>
              </w:rPr>
            </w:pPr>
            <w:r>
              <w:rPr>
                <w:rFonts w:eastAsia="宋体"/>
                <w:spacing w:val="-4"/>
                <w:sz w:val="21"/>
                <w:szCs w:val="21"/>
              </w:rPr>
              <w:t>0.33</w:t>
            </w:r>
          </w:p>
          <w:p>
            <w:pPr>
              <w:pStyle w:val="12"/>
              <w:jc w:val="center"/>
              <w:rPr>
                <w:rFonts w:eastAsia="宋体"/>
                <w:sz w:val="21"/>
                <w:szCs w:val="21"/>
              </w:rPr>
            </w:pPr>
            <w:r>
              <w:rPr>
                <w:rFonts w:eastAsia="宋体"/>
                <w:spacing w:val="-4"/>
                <w:sz w:val="21"/>
                <w:szCs w:val="21"/>
              </w:rPr>
              <w:t>0.34</w:t>
            </w:r>
          </w:p>
          <w:p>
            <w:pPr>
              <w:pStyle w:val="12"/>
              <w:jc w:val="center"/>
              <w:rPr>
                <w:rFonts w:eastAsia="宋体"/>
                <w:sz w:val="21"/>
                <w:szCs w:val="21"/>
              </w:rPr>
            </w:pPr>
            <w:r>
              <w:rPr>
                <w:rFonts w:eastAsia="宋体"/>
                <w:spacing w:val="-4"/>
                <w:sz w:val="21"/>
                <w:szCs w:val="21"/>
              </w:rPr>
              <w:t>0.33</w:t>
            </w:r>
          </w:p>
        </w:tc>
        <w:tc>
          <w:tcPr>
            <w:tcW w:w="1085" w:type="dxa"/>
          </w:tcPr>
          <w:p>
            <w:pPr>
              <w:pStyle w:val="12"/>
              <w:spacing w:before="6" w:line="229" w:lineRule="exact"/>
              <w:jc w:val="center"/>
              <w:rPr>
                <w:rFonts w:eastAsia="宋体"/>
                <w:b/>
                <w:sz w:val="21"/>
                <w:szCs w:val="21"/>
              </w:rPr>
            </w:pPr>
            <w:r>
              <w:rPr>
                <w:rFonts w:eastAsia="宋体"/>
                <w:b/>
                <w:w w:val="99"/>
                <w:sz w:val="21"/>
                <w:szCs w:val="21"/>
              </w:rPr>
              <w:t>1</w:t>
            </w:r>
          </w:p>
          <w:p>
            <w:pPr>
              <w:pStyle w:val="12"/>
              <w:spacing w:line="229" w:lineRule="exact"/>
              <w:jc w:val="center"/>
              <w:rPr>
                <w:rFonts w:eastAsia="宋体"/>
                <w:sz w:val="21"/>
                <w:szCs w:val="21"/>
              </w:rPr>
            </w:pPr>
            <w:r>
              <w:rPr>
                <w:rFonts w:eastAsia="宋体"/>
                <w:spacing w:val="-4"/>
                <w:sz w:val="21"/>
                <w:szCs w:val="21"/>
              </w:rPr>
              <w:t>0.33</w:t>
            </w:r>
          </w:p>
          <w:p>
            <w:pPr>
              <w:pStyle w:val="12"/>
              <w:jc w:val="center"/>
              <w:rPr>
                <w:rFonts w:eastAsia="宋体"/>
                <w:sz w:val="21"/>
                <w:szCs w:val="21"/>
              </w:rPr>
            </w:pPr>
            <w:r>
              <w:rPr>
                <w:rFonts w:eastAsia="宋体"/>
                <w:spacing w:val="-4"/>
                <w:sz w:val="21"/>
                <w:szCs w:val="21"/>
              </w:rPr>
              <w:t>0.34</w:t>
            </w:r>
          </w:p>
          <w:p>
            <w:pPr>
              <w:pStyle w:val="12"/>
              <w:jc w:val="center"/>
              <w:rPr>
                <w:rFonts w:eastAsia="宋体"/>
                <w:sz w:val="21"/>
                <w:szCs w:val="21"/>
              </w:rPr>
            </w:pPr>
            <w:r>
              <w:rPr>
                <w:rFonts w:eastAsia="宋体"/>
                <w:spacing w:val="-4"/>
                <w:sz w:val="21"/>
                <w:szCs w:val="21"/>
              </w:rPr>
              <w:t>0.33</w:t>
            </w:r>
          </w:p>
        </w:tc>
        <w:tc>
          <w:tcPr>
            <w:tcW w:w="1426" w:type="dxa"/>
          </w:tcPr>
          <w:p>
            <w:pPr>
              <w:pStyle w:val="12"/>
              <w:spacing w:before="6" w:line="229" w:lineRule="exact"/>
              <w:jc w:val="center"/>
              <w:rPr>
                <w:rFonts w:eastAsia="宋体"/>
                <w:b/>
                <w:sz w:val="21"/>
                <w:szCs w:val="21"/>
              </w:rPr>
            </w:pPr>
            <w:r>
              <w:rPr>
                <w:rFonts w:eastAsia="宋体"/>
                <w:b/>
                <w:w w:val="99"/>
                <w:sz w:val="21"/>
                <w:szCs w:val="21"/>
              </w:rPr>
              <w:t>2</w:t>
            </w:r>
          </w:p>
          <w:p>
            <w:pPr>
              <w:pStyle w:val="12"/>
              <w:spacing w:line="229" w:lineRule="exact"/>
              <w:jc w:val="center"/>
              <w:rPr>
                <w:rFonts w:eastAsia="宋体"/>
                <w:sz w:val="21"/>
                <w:szCs w:val="21"/>
              </w:rPr>
            </w:pPr>
            <w:r>
              <w:rPr>
                <w:rFonts w:eastAsia="宋体"/>
                <w:spacing w:val="-4"/>
                <w:sz w:val="21"/>
                <w:szCs w:val="21"/>
              </w:rPr>
              <w:t>0.66</w:t>
            </w:r>
          </w:p>
          <w:p>
            <w:pPr>
              <w:pStyle w:val="12"/>
              <w:jc w:val="center"/>
              <w:rPr>
                <w:rFonts w:eastAsia="宋体"/>
                <w:sz w:val="21"/>
                <w:szCs w:val="21"/>
              </w:rPr>
            </w:pPr>
            <w:r>
              <w:rPr>
                <w:rFonts w:eastAsia="宋体"/>
                <w:spacing w:val="-4"/>
                <w:sz w:val="21"/>
                <w:szCs w:val="21"/>
              </w:rPr>
              <w:t>0.68</w:t>
            </w:r>
          </w:p>
          <w:p>
            <w:pPr>
              <w:pStyle w:val="12"/>
              <w:jc w:val="center"/>
              <w:rPr>
                <w:rFonts w:eastAsia="宋体"/>
                <w:sz w:val="21"/>
                <w:szCs w:val="21"/>
              </w:rPr>
            </w:pPr>
            <w:r>
              <w:rPr>
                <w:rFonts w:eastAsia="宋体"/>
                <w:spacing w:val="-4"/>
                <w:sz w:val="21"/>
                <w:szCs w:val="21"/>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29" w:type="dxa"/>
            <w:shd w:val="clear" w:color="auto" w:fill="FFC000"/>
          </w:tcPr>
          <w:p>
            <w:pPr>
              <w:pStyle w:val="12"/>
              <w:spacing w:before="26"/>
              <w:rPr>
                <w:rFonts w:eastAsia="宋体"/>
                <w:b/>
                <w:sz w:val="21"/>
                <w:szCs w:val="21"/>
              </w:rPr>
            </w:pPr>
            <w:r>
              <w:rPr>
                <w:rFonts w:eastAsia="宋体"/>
                <w:b/>
                <w:sz w:val="21"/>
                <w:szCs w:val="21"/>
              </w:rPr>
              <w:t>分</w:t>
            </w:r>
          </w:p>
        </w:tc>
        <w:tc>
          <w:tcPr>
            <w:tcW w:w="996" w:type="dxa"/>
            <w:shd w:val="clear" w:color="auto" w:fill="FFC000"/>
          </w:tcPr>
          <w:p>
            <w:pPr>
              <w:pStyle w:val="12"/>
              <w:spacing w:before="26"/>
              <w:jc w:val="center"/>
              <w:rPr>
                <w:rFonts w:eastAsia="宋体"/>
                <w:b/>
                <w:sz w:val="21"/>
                <w:szCs w:val="21"/>
              </w:rPr>
            </w:pPr>
            <w:r>
              <w:rPr>
                <w:rFonts w:eastAsia="宋体"/>
                <w:b/>
                <w:w w:val="99"/>
                <w:sz w:val="21"/>
                <w:szCs w:val="21"/>
              </w:rPr>
              <w:t>2</w:t>
            </w:r>
          </w:p>
        </w:tc>
        <w:tc>
          <w:tcPr>
            <w:tcW w:w="1085" w:type="dxa"/>
            <w:shd w:val="clear" w:color="auto" w:fill="FFC000"/>
          </w:tcPr>
          <w:p>
            <w:pPr>
              <w:pStyle w:val="12"/>
              <w:spacing w:before="26"/>
              <w:jc w:val="center"/>
              <w:rPr>
                <w:rFonts w:eastAsia="宋体"/>
                <w:b/>
                <w:sz w:val="21"/>
                <w:szCs w:val="21"/>
              </w:rPr>
            </w:pPr>
            <w:r>
              <w:rPr>
                <w:rFonts w:eastAsia="宋体"/>
                <w:b/>
                <w:w w:val="99"/>
                <w:sz w:val="21"/>
                <w:szCs w:val="21"/>
              </w:rPr>
              <w:t>2</w:t>
            </w:r>
          </w:p>
        </w:tc>
        <w:tc>
          <w:tcPr>
            <w:tcW w:w="1426" w:type="dxa"/>
            <w:shd w:val="clear" w:color="auto" w:fill="FFC000"/>
          </w:tcPr>
          <w:p>
            <w:pPr>
              <w:pStyle w:val="12"/>
              <w:spacing w:before="26"/>
              <w:jc w:val="center"/>
              <w:rPr>
                <w:rFonts w:eastAsia="宋体"/>
                <w:b/>
                <w:sz w:val="21"/>
                <w:szCs w:val="21"/>
              </w:rPr>
            </w:pPr>
            <w:r>
              <w:rPr>
                <w:rFonts w:eastAsia="宋体"/>
                <w:b/>
                <w:w w:val="99"/>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6" w:type="dxa"/>
            <w:gridSpan w:val="4"/>
            <w:shd w:val="clear" w:color="auto" w:fill="E7EBF5"/>
          </w:tcPr>
          <w:p>
            <w:pPr>
              <w:pStyle w:val="12"/>
              <w:spacing w:before="101"/>
              <w:ind w:left="467"/>
              <w:rPr>
                <w:rFonts w:eastAsia="宋体"/>
                <w:b/>
                <w:sz w:val="21"/>
                <w:szCs w:val="21"/>
              </w:rPr>
            </w:pPr>
            <w:r>
              <w:rPr>
                <w:rFonts w:eastAsia="宋体"/>
                <w:b/>
                <w:sz w:val="21"/>
                <w:szCs w:val="21"/>
              </w:rPr>
              <w:t>2.6.5互操作性和促进竞争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29" w:type="dxa"/>
            <w:vAlign w:val="center"/>
          </w:tcPr>
          <w:p>
            <w:pPr>
              <w:pStyle w:val="12"/>
              <w:spacing w:before="26"/>
              <w:jc w:val="both"/>
              <w:rPr>
                <w:rFonts w:eastAsia="宋体"/>
                <w:b/>
                <w:sz w:val="21"/>
                <w:szCs w:val="21"/>
              </w:rPr>
            </w:pPr>
            <w:r>
              <w:rPr>
                <w:rFonts w:eastAsia="宋体"/>
                <w:b/>
                <w:spacing w:val="-2"/>
                <w:sz w:val="21"/>
                <w:szCs w:val="21"/>
              </w:rPr>
              <w:t>指标</w:t>
            </w:r>
          </w:p>
        </w:tc>
        <w:tc>
          <w:tcPr>
            <w:tcW w:w="996" w:type="dxa"/>
          </w:tcPr>
          <w:p>
            <w:pPr>
              <w:pStyle w:val="12"/>
              <w:spacing w:before="26"/>
              <w:jc w:val="center"/>
              <w:rPr>
                <w:rFonts w:eastAsia="宋体"/>
                <w:b/>
                <w:sz w:val="21"/>
                <w:szCs w:val="21"/>
              </w:rPr>
            </w:pPr>
            <w:r>
              <w:rPr>
                <w:rFonts w:eastAsia="宋体"/>
                <w:b/>
                <w:spacing w:val="-5"/>
                <w:sz w:val="21"/>
                <w:szCs w:val="21"/>
              </w:rPr>
              <w:t>FFP</w:t>
            </w:r>
          </w:p>
        </w:tc>
        <w:tc>
          <w:tcPr>
            <w:tcW w:w="1085" w:type="dxa"/>
          </w:tcPr>
          <w:p>
            <w:pPr>
              <w:pStyle w:val="12"/>
              <w:spacing w:before="26"/>
              <w:jc w:val="center"/>
              <w:rPr>
                <w:rFonts w:eastAsia="宋体"/>
                <w:b/>
                <w:sz w:val="21"/>
                <w:szCs w:val="21"/>
              </w:rPr>
            </w:pPr>
            <w:r>
              <w:rPr>
                <w:rFonts w:eastAsia="宋体"/>
                <w:b/>
                <w:spacing w:val="-5"/>
                <w:sz w:val="21"/>
                <w:szCs w:val="21"/>
              </w:rPr>
              <w:t>SBP</w:t>
            </w:r>
          </w:p>
        </w:tc>
        <w:tc>
          <w:tcPr>
            <w:tcW w:w="1426" w:type="dxa"/>
          </w:tcPr>
          <w:p>
            <w:pPr>
              <w:pStyle w:val="12"/>
              <w:spacing w:before="26"/>
              <w:jc w:val="center"/>
              <w:rPr>
                <w:rFonts w:eastAsia="宋体"/>
                <w:b/>
                <w:sz w:val="21"/>
                <w:szCs w:val="21"/>
              </w:rPr>
            </w:pP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929" w:type="dxa"/>
            <w:vAlign w:val="center"/>
          </w:tcPr>
          <w:p>
            <w:pPr>
              <w:pStyle w:val="12"/>
              <w:spacing w:line="230" w:lineRule="exact"/>
              <w:jc w:val="both"/>
              <w:rPr>
                <w:rFonts w:eastAsia="宋体"/>
                <w:b/>
                <w:sz w:val="21"/>
                <w:szCs w:val="21"/>
                <w:lang w:eastAsia="zh-CN"/>
              </w:rPr>
            </w:pPr>
            <w:r>
              <w:rPr>
                <w:rFonts w:eastAsia="宋体"/>
                <w:b/>
                <w:sz w:val="21"/>
                <w:szCs w:val="21"/>
                <w:lang w:eastAsia="zh-CN"/>
              </w:rPr>
              <w:t>支付系统的互操作性</w:t>
            </w:r>
          </w:p>
          <w:p>
            <w:pPr>
              <w:pStyle w:val="12"/>
              <w:tabs>
                <w:tab w:val="left" w:pos="467"/>
              </w:tabs>
              <w:spacing w:line="232" w:lineRule="exact"/>
              <w:ind w:left="467" w:right="1005" w:hanging="360"/>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管辖范围内互操作性的水平和范围(136)</w:t>
            </w:r>
          </w:p>
        </w:tc>
        <w:tc>
          <w:tcPr>
            <w:tcW w:w="996" w:type="dxa"/>
          </w:tcPr>
          <w:p>
            <w:pPr>
              <w:pStyle w:val="12"/>
              <w:spacing w:before="2"/>
              <w:jc w:val="center"/>
              <w:rPr>
                <w:rFonts w:eastAsia="宋体"/>
                <w:b/>
                <w:sz w:val="21"/>
                <w:szCs w:val="21"/>
              </w:rPr>
            </w:pPr>
            <w:r>
              <w:rPr>
                <w:rFonts w:eastAsia="宋体"/>
                <w:b/>
                <w:w w:val="99"/>
                <w:sz w:val="21"/>
                <w:szCs w:val="21"/>
              </w:rPr>
              <w:t>1</w:t>
            </w:r>
          </w:p>
          <w:p>
            <w:pPr>
              <w:pStyle w:val="12"/>
              <w:spacing w:before="1"/>
              <w:jc w:val="center"/>
              <w:rPr>
                <w:rFonts w:eastAsia="宋体"/>
                <w:sz w:val="21"/>
                <w:szCs w:val="21"/>
              </w:rPr>
            </w:pPr>
            <w:r>
              <w:rPr>
                <w:rFonts w:eastAsia="宋体"/>
                <w:w w:val="99"/>
                <w:sz w:val="21"/>
                <w:szCs w:val="21"/>
              </w:rPr>
              <w:t>1</w:t>
            </w:r>
          </w:p>
        </w:tc>
        <w:tc>
          <w:tcPr>
            <w:tcW w:w="1085" w:type="dxa"/>
          </w:tcPr>
          <w:p>
            <w:pPr>
              <w:pStyle w:val="12"/>
              <w:spacing w:before="2"/>
              <w:jc w:val="center"/>
              <w:rPr>
                <w:rFonts w:eastAsia="宋体"/>
                <w:b/>
                <w:sz w:val="21"/>
                <w:szCs w:val="21"/>
              </w:rPr>
            </w:pPr>
            <w:r>
              <w:rPr>
                <w:rFonts w:eastAsia="宋体"/>
                <w:b/>
                <w:w w:val="99"/>
                <w:sz w:val="21"/>
                <w:szCs w:val="21"/>
              </w:rPr>
              <w:t>1</w:t>
            </w:r>
          </w:p>
          <w:p>
            <w:pPr>
              <w:pStyle w:val="12"/>
              <w:spacing w:before="1"/>
              <w:jc w:val="center"/>
              <w:rPr>
                <w:rFonts w:eastAsia="宋体"/>
                <w:sz w:val="21"/>
                <w:szCs w:val="21"/>
              </w:rPr>
            </w:pPr>
            <w:r>
              <w:rPr>
                <w:rFonts w:eastAsia="宋体"/>
                <w:w w:val="99"/>
                <w:sz w:val="21"/>
                <w:szCs w:val="21"/>
              </w:rPr>
              <w:t>1</w:t>
            </w:r>
          </w:p>
        </w:tc>
        <w:tc>
          <w:tcPr>
            <w:tcW w:w="1426" w:type="dxa"/>
          </w:tcPr>
          <w:p>
            <w:pPr>
              <w:pStyle w:val="12"/>
              <w:spacing w:before="2"/>
              <w:jc w:val="center"/>
              <w:rPr>
                <w:rFonts w:eastAsia="宋体"/>
                <w:b/>
                <w:sz w:val="21"/>
                <w:szCs w:val="21"/>
              </w:rPr>
            </w:pPr>
            <w:r>
              <w:rPr>
                <w:rFonts w:eastAsia="宋体"/>
                <w:b/>
                <w:w w:val="99"/>
                <w:sz w:val="21"/>
                <w:szCs w:val="21"/>
              </w:rPr>
              <w:t>2</w:t>
            </w:r>
          </w:p>
          <w:p>
            <w:pPr>
              <w:pStyle w:val="12"/>
              <w:spacing w:before="1"/>
              <w:jc w:val="center"/>
              <w:rPr>
                <w:rFonts w:eastAsia="宋体"/>
                <w:sz w:val="21"/>
                <w:szCs w:val="21"/>
              </w:rPr>
            </w:pPr>
            <w:r>
              <w:rPr>
                <w:rFonts w:eastAsia="宋体"/>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6" w:hRule="atLeast"/>
        </w:trPr>
        <w:tc>
          <w:tcPr>
            <w:tcW w:w="5929" w:type="dxa"/>
            <w:vAlign w:val="center"/>
          </w:tcPr>
          <w:p>
            <w:pPr>
              <w:pStyle w:val="12"/>
              <w:spacing w:line="230" w:lineRule="exact"/>
              <w:jc w:val="both"/>
              <w:rPr>
                <w:rFonts w:eastAsia="宋体"/>
                <w:b/>
                <w:sz w:val="21"/>
                <w:szCs w:val="21"/>
              </w:rPr>
            </w:pPr>
            <w:r>
              <w:rPr>
                <w:rFonts w:eastAsia="宋体"/>
                <w:b/>
                <w:sz w:val="21"/>
                <w:szCs w:val="21"/>
              </w:rPr>
              <w:t>公平竞争</w:t>
            </w:r>
          </w:p>
          <w:p>
            <w:pPr>
              <w:pStyle w:val="12"/>
              <w:numPr>
                <w:ilvl w:val="0"/>
                <w:numId w:val="12"/>
              </w:numPr>
              <w:tabs>
                <w:tab w:val="left" w:pos="467"/>
                <w:tab w:val="left" w:pos="468"/>
              </w:tabs>
              <w:spacing w:line="238" w:lineRule="exact"/>
              <w:ind w:hanging="361"/>
              <w:jc w:val="both"/>
              <w:rPr>
                <w:rFonts w:eastAsia="宋体"/>
                <w:sz w:val="21"/>
                <w:szCs w:val="21"/>
              </w:rPr>
            </w:pPr>
            <w:r>
              <w:rPr>
                <w:rFonts w:eastAsia="宋体"/>
                <w:sz w:val="21"/>
                <w:szCs w:val="21"/>
              </w:rPr>
              <w:t>公平竞争条款(140)</w:t>
            </w:r>
          </w:p>
          <w:p>
            <w:pPr>
              <w:pStyle w:val="12"/>
              <w:numPr>
                <w:ilvl w:val="0"/>
                <w:numId w:val="12"/>
              </w:numPr>
              <w:tabs>
                <w:tab w:val="left" w:pos="467"/>
                <w:tab w:val="left" w:pos="468"/>
              </w:tabs>
              <w:spacing w:line="230" w:lineRule="exact"/>
              <w:ind w:right="194"/>
              <w:jc w:val="both"/>
              <w:rPr>
                <w:rFonts w:eastAsia="宋体"/>
                <w:sz w:val="21"/>
                <w:szCs w:val="21"/>
                <w:lang w:eastAsia="zh-CN"/>
              </w:rPr>
            </w:pPr>
            <w:r>
              <w:rPr>
                <w:rFonts w:eastAsia="宋体"/>
                <w:sz w:val="21"/>
                <w:szCs w:val="21"/>
                <w:lang w:eastAsia="zh-CN"/>
              </w:rPr>
              <w:t>适用于所有新支付服务提供商的注册规则及程序(142)</w:t>
            </w:r>
          </w:p>
        </w:tc>
        <w:tc>
          <w:tcPr>
            <w:tcW w:w="996" w:type="dxa"/>
          </w:tcPr>
          <w:p>
            <w:pPr>
              <w:pStyle w:val="12"/>
              <w:spacing w:before="2"/>
              <w:jc w:val="center"/>
              <w:rPr>
                <w:rFonts w:eastAsia="宋体"/>
                <w:b/>
                <w:sz w:val="21"/>
                <w:szCs w:val="21"/>
              </w:rPr>
            </w:pPr>
            <w:r>
              <w:rPr>
                <w:rFonts w:eastAsia="宋体"/>
                <w:b/>
                <w:w w:val="99"/>
                <w:sz w:val="21"/>
                <w:szCs w:val="21"/>
              </w:rPr>
              <w:t>1</w:t>
            </w:r>
          </w:p>
          <w:p>
            <w:pPr>
              <w:pStyle w:val="12"/>
              <w:spacing w:before="1"/>
              <w:jc w:val="center"/>
              <w:rPr>
                <w:rFonts w:eastAsia="宋体"/>
                <w:sz w:val="21"/>
                <w:szCs w:val="21"/>
              </w:rPr>
            </w:pPr>
            <w:r>
              <w:rPr>
                <w:rFonts w:eastAsia="宋体"/>
                <w:spacing w:val="-5"/>
                <w:sz w:val="21"/>
                <w:szCs w:val="21"/>
              </w:rPr>
              <w:t>0.5</w:t>
            </w:r>
          </w:p>
          <w:p>
            <w:pPr>
              <w:pStyle w:val="12"/>
              <w:jc w:val="center"/>
              <w:rPr>
                <w:rFonts w:eastAsia="宋体"/>
                <w:sz w:val="21"/>
                <w:szCs w:val="21"/>
              </w:rPr>
            </w:pPr>
            <w:r>
              <w:rPr>
                <w:rFonts w:eastAsia="宋体"/>
                <w:spacing w:val="-5"/>
                <w:sz w:val="21"/>
                <w:szCs w:val="21"/>
              </w:rPr>
              <w:t>0.5</w:t>
            </w:r>
          </w:p>
        </w:tc>
        <w:tc>
          <w:tcPr>
            <w:tcW w:w="1085" w:type="dxa"/>
          </w:tcPr>
          <w:p>
            <w:pPr>
              <w:pStyle w:val="12"/>
              <w:spacing w:before="2"/>
              <w:jc w:val="center"/>
              <w:rPr>
                <w:rFonts w:eastAsia="宋体"/>
                <w:b/>
                <w:sz w:val="21"/>
                <w:szCs w:val="21"/>
              </w:rPr>
            </w:pPr>
            <w:r>
              <w:rPr>
                <w:rFonts w:eastAsia="宋体"/>
                <w:b/>
                <w:w w:val="99"/>
                <w:sz w:val="21"/>
                <w:szCs w:val="21"/>
              </w:rPr>
              <w:t>1</w:t>
            </w:r>
          </w:p>
          <w:p>
            <w:pPr>
              <w:pStyle w:val="12"/>
              <w:spacing w:before="1"/>
              <w:jc w:val="center"/>
              <w:rPr>
                <w:rFonts w:eastAsia="宋体"/>
                <w:sz w:val="21"/>
                <w:szCs w:val="21"/>
              </w:rPr>
            </w:pPr>
            <w:r>
              <w:rPr>
                <w:rFonts w:eastAsia="宋体"/>
                <w:spacing w:val="-5"/>
                <w:sz w:val="21"/>
                <w:szCs w:val="21"/>
              </w:rPr>
              <w:t>0.5</w:t>
            </w:r>
          </w:p>
          <w:p>
            <w:pPr>
              <w:pStyle w:val="12"/>
              <w:jc w:val="center"/>
              <w:rPr>
                <w:rFonts w:eastAsia="宋体"/>
                <w:sz w:val="21"/>
                <w:szCs w:val="21"/>
              </w:rPr>
            </w:pPr>
            <w:r>
              <w:rPr>
                <w:rFonts w:eastAsia="宋体"/>
                <w:spacing w:val="-5"/>
                <w:sz w:val="21"/>
                <w:szCs w:val="21"/>
              </w:rPr>
              <w:t>0.5</w:t>
            </w:r>
          </w:p>
        </w:tc>
        <w:tc>
          <w:tcPr>
            <w:tcW w:w="1426" w:type="dxa"/>
          </w:tcPr>
          <w:p>
            <w:pPr>
              <w:pStyle w:val="12"/>
              <w:spacing w:before="2"/>
              <w:jc w:val="center"/>
              <w:rPr>
                <w:rFonts w:eastAsia="宋体"/>
                <w:b/>
                <w:sz w:val="21"/>
                <w:szCs w:val="21"/>
              </w:rPr>
            </w:pPr>
            <w:r>
              <w:rPr>
                <w:rFonts w:eastAsia="宋体"/>
                <w:b/>
                <w:w w:val="99"/>
                <w:sz w:val="21"/>
                <w:szCs w:val="21"/>
              </w:rPr>
              <w:t>2</w:t>
            </w:r>
          </w:p>
          <w:p>
            <w:pPr>
              <w:pStyle w:val="12"/>
              <w:spacing w:before="1"/>
              <w:jc w:val="center"/>
              <w:rPr>
                <w:rFonts w:eastAsia="宋体"/>
                <w:sz w:val="21"/>
                <w:szCs w:val="21"/>
              </w:rPr>
            </w:pPr>
            <w:r>
              <w:rPr>
                <w:rFonts w:eastAsia="宋体"/>
                <w:w w:val="99"/>
                <w:sz w:val="21"/>
                <w:szCs w:val="21"/>
              </w:rPr>
              <w:t>1</w:t>
            </w:r>
          </w:p>
          <w:p>
            <w:pPr>
              <w:pStyle w:val="12"/>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5929" w:type="dxa"/>
            <w:tcBorders>
              <w:bottom w:val="nil"/>
            </w:tcBorders>
            <w:vAlign w:val="center"/>
          </w:tcPr>
          <w:p>
            <w:pPr>
              <w:pStyle w:val="12"/>
              <w:spacing w:line="217" w:lineRule="exact"/>
              <w:jc w:val="both"/>
              <w:rPr>
                <w:rFonts w:eastAsia="宋体"/>
                <w:b/>
                <w:sz w:val="21"/>
                <w:szCs w:val="21"/>
              </w:rPr>
            </w:pPr>
            <w:r>
              <w:rPr>
                <w:rFonts w:eastAsia="宋体"/>
                <w:b/>
                <w:sz w:val="21"/>
                <w:szCs w:val="21"/>
              </w:rPr>
              <w:t>不同</w:t>
            </w:r>
            <w:r>
              <w:rPr>
                <w:rFonts w:eastAsia="宋体"/>
                <w:b/>
                <w:sz w:val="21"/>
                <w:szCs w:val="21"/>
                <w:lang w:eastAsia="zh-CN"/>
              </w:rPr>
              <w:t>PSP</w:t>
            </w:r>
            <w:r>
              <w:rPr>
                <w:rFonts w:eastAsia="宋体"/>
                <w:b/>
                <w:sz w:val="21"/>
                <w:szCs w:val="21"/>
              </w:rPr>
              <w:t>的平等</w:t>
            </w:r>
            <w:r>
              <w:rPr>
                <w:rFonts w:eastAsia="宋体"/>
                <w:b/>
                <w:sz w:val="21"/>
                <w:szCs w:val="21"/>
                <w:lang w:eastAsia="zh-CN"/>
              </w:rPr>
              <w:t>准入</w:t>
            </w:r>
            <w:r>
              <w:rPr>
                <w:rFonts w:eastAsia="宋体"/>
                <w:b/>
                <w:sz w:val="21"/>
                <w:szCs w:val="21"/>
              </w:rPr>
              <w:t>和待遇</w:t>
            </w:r>
          </w:p>
        </w:tc>
        <w:tc>
          <w:tcPr>
            <w:tcW w:w="996" w:type="dxa"/>
            <w:tcBorders>
              <w:bottom w:val="nil"/>
            </w:tcBorders>
          </w:tcPr>
          <w:p>
            <w:pPr>
              <w:pStyle w:val="12"/>
              <w:spacing w:before="4" w:line="214" w:lineRule="exact"/>
              <w:jc w:val="center"/>
              <w:rPr>
                <w:rFonts w:eastAsia="宋体"/>
                <w:b/>
                <w:sz w:val="21"/>
                <w:szCs w:val="21"/>
              </w:rPr>
            </w:pPr>
            <w:r>
              <w:rPr>
                <w:rFonts w:eastAsia="宋体"/>
                <w:b/>
                <w:w w:val="99"/>
                <w:sz w:val="21"/>
                <w:szCs w:val="21"/>
              </w:rPr>
              <w:t>1</w:t>
            </w:r>
          </w:p>
        </w:tc>
        <w:tc>
          <w:tcPr>
            <w:tcW w:w="1085" w:type="dxa"/>
            <w:tcBorders>
              <w:bottom w:val="nil"/>
            </w:tcBorders>
          </w:tcPr>
          <w:p>
            <w:pPr>
              <w:pStyle w:val="12"/>
              <w:spacing w:before="4" w:line="214" w:lineRule="exact"/>
              <w:jc w:val="center"/>
              <w:rPr>
                <w:rFonts w:eastAsia="宋体"/>
                <w:b/>
                <w:sz w:val="21"/>
                <w:szCs w:val="21"/>
              </w:rPr>
            </w:pPr>
            <w:r>
              <w:rPr>
                <w:rFonts w:eastAsia="宋体"/>
                <w:b/>
                <w:w w:val="99"/>
                <w:sz w:val="21"/>
                <w:szCs w:val="21"/>
              </w:rPr>
              <w:t>1</w:t>
            </w:r>
          </w:p>
        </w:tc>
        <w:tc>
          <w:tcPr>
            <w:tcW w:w="1426" w:type="dxa"/>
            <w:tcBorders>
              <w:bottom w:val="nil"/>
            </w:tcBorders>
          </w:tcPr>
          <w:p>
            <w:pPr>
              <w:pStyle w:val="12"/>
              <w:spacing w:before="4" w:line="214" w:lineRule="exact"/>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5929" w:type="dxa"/>
            <w:tcBorders>
              <w:top w:val="nil"/>
              <w:bottom w:val="nil"/>
            </w:tcBorders>
            <w:vAlign w:val="center"/>
          </w:tcPr>
          <w:p>
            <w:pPr>
              <w:pStyle w:val="12"/>
              <w:tabs>
                <w:tab w:val="left" w:pos="467"/>
              </w:tabs>
              <w:spacing w:line="213"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为新的PSP提供与现有参与者同等的市场准入(141)</w:t>
            </w:r>
          </w:p>
        </w:tc>
        <w:tc>
          <w:tcPr>
            <w:tcW w:w="996" w:type="dxa"/>
            <w:tcBorders>
              <w:top w:val="nil"/>
              <w:bottom w:val="nil"/>
            </w:tcBorders>
          </w:tcPr>
          <w:p>
            <w:pPr>
              <w:pStyle w:val="12"/>
              <w:spacing w:line="213" w:lineRule="exact"/>
              <w:jc w:val="center"/>
              <w:rPr>
                <w:rFonts w:eastAsia="宋体"/>
                <w:sz w:val="21"/>
                <w:szCs w:val="21"/>
              </w:rPr>
            </w:pPr>
            <w:r>
              <w:rPr>
                <w:rFonts w:eastAsia="宋体"/>
                <w:spacing w:val="-5"/>
                <w:sz w:val="21"/>
                <w:szCs w:val="21"/>
              </w:rPr>
              <w:t>0.5</w:t>
            </w:r>
          </w:p>
        </w:tc>
        <w:tc>
          <w:tcPr>
            <w:tcW w:w="1085" w:type="dxa"/>
            <w:tcBorders>
              <w:top w:val="nil"/>
              <w:bottom w:val="nil"/>
            </w:tcBorders>
          </w:tcPr>
          <w:p>
            <w:pPr>
              <w:pStyle w:val="12"/>
              <w:spacing w:line="213" w:lineRule="exact"/>
              <w:jc w:val="center"/>
              <w:rPr>
                <w:rFonts w:eastAsia="宋体"/>
                <w:sz w:val="21"/>
                <w:szCs w:val="21"/>
              </w:rPr>
            </w:pPr>
            <w:r>
              <w:rPr>
                <w:rFonts w:eastAsia="宋体"/>
                <w:spacing w:val="-5"/>
                <w:sz w:val="21"/>
                <w:szCs w:val="21"/>
              </w:rPr>
              <w:t>0.5</w:t>
            </w:r>
          </w:p>
        </w:tc>
        <w:tc>
          <w:tcPr>
            <w:tcW w:w="1426" w:type="dxa"/>
            <w:tcBorders>
              <w:top w:val="nil"/>
              <w:bottom w:val="nil"/>
            </w:tcBorders>
          </w:tcPr>
          <w:p>
            <w:pPr>
              <w:pStyle w:val="12"/>
              <w:spacing w:line="213" w:lineRule="exact"/>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929" w:type="dxa"/>
            <w:tcBorders>
              <w:top w:val="nil"/>
            </w:tcBorders>
            <w:vAlign w:val="center"/>
          </w:tcPr>
          <w:p>
            <w:pPr>
              <w:pStyle w:val="12"/>
              <w:tabs>
                <w:tab w:val="left" w:pos="467"/>
              </w:tabs>
              <w:spacing w:line="210" w:lineRule="exact"/>
              <w:jc w:val="both"/>
              <w:rPr>
                <w:rFonts w:eastAsia="宋体"/>
                <w:sz w:val="21"/>
                <w:szCs w:val="21"/>
              </w:rPr>
            </w:pPr>
            <w:r>
              <w:rPr>
                <w:rFonts w:eastAsia="宋体"/>
                <w:b/>
                <w:spacing w:val="-10"/>
                <w:sz w:val="21"/>
                <w:szCs w:val="21"/>
              </w:rPr>
              <w:t>-</w:t>
            </w:r>
            <w:r>
              <w:rPr>
                <w:rFonts w:eastAsia="宋体"/>
                <w:b/>
                <w:sz w:val="21"/>
                <w:szCs w:val="21"/>
              </w:rPr>
              <w:tab/>
            </w:r>
            <w:r>
              <w:rPr>
                <w:rFonts w:eastAsia="宋体"/>
                <w:sz w:val="21"/>
                <w:szCs w:val="21"/>
              </w:rPr>
              <w:t xml:space="preserve"> </w:t>
            </w:r>
            <w:r>
              <w:rPr>
                <w:rFonts w:eastAsia="宋体"/>
                <w:sz w:val="21"/>
                <w:szCs w:val="21"/>
                <w:lang w:eastAsia="zh-CN"/>
              </w:rPr>
              <w:t>PSP</w:t>
            </w:r>
            <w:r>
              <w:rPr>
                <w:rFonts w:eastAsia="宋体"/>
                <w:sz w:val="21"/>
                <w:szCs w:val="21"/>
              </w:rPr>
              <w:t>的功能要求(143和144)</w:t>
            </w:r>
          </w:p>
        </w:tc>
        <w:tc>
          <w:tcPr>
            <w:tcW w:w="996" w:type="dxa"/>
            <w:tcBorders>
              <w:top w:val="nil"/>
            </w:tcBorders>
          </w:tcPr>
          <w:p>
            <w:pPr>
              <w:pStyle w:val="12"/>
              <w:spacing w:line="210" w:lineRule="exact"/>
              <w:jc w:val="center"/>
              <w:rPr>
                <w:rFonts w:eastAsia="宋体"/>
                <w:sz w:val="21"/>
                <w:szCs w:val="21"/>
              </w:rPr>
            </w:pPr>
            <w:r>
              <w:rPr>
                <w:rFonts w:eastAsia="宋体"/>
                <w:spacing w:val="-5"/>
                <w:sz w:val="21"/>
                <w:szCs w:val="21"/>
              </w:rPr>
              <w:t>0.5</w:t>
            </w:r>
          </w:p>
        </w:tc>
        <w:tc>
          <w:tcPr>
            <w:tcW w:w="1085" w:type="dxa"/>
            <w:tcBorders>
              <w:top w:val="nil"/>
            </w:tcBorders>
          </w:tcPr>
          <w:p>
            <w:pPr>
              <w:pStyle w:val="12"/>
              <w:spacing w:line="210" w:lineRule="exact"/>
              <w:jc w:val="center"/>
              <w:rPr>
                <w:rFonts w:eastAsia="宋体"/>
                <w:sz w:val="21"/>
                <w:szCs w:val="21"/>
              </w:rPr>
            </w:pPr>
            <w:r>
              <w:rPr>
                <w:rFonts w:eastAsia="宋体"/>
                <w:spacing w:val="-5"/>
                <w:sz w:val="21"/>
                <w:szCs w:val="21"/>
              </w:rPr>
              <w:t>0.5</w:t>
            </w:r>
          </w:p>
        </w:tc>
        <w:tc>
          <w:tcPr>
            <w:tcW w:w="1426" w:type="dxa"/>
            <w:tcBorders>
              <w:top w:val="nil"/>
            </w:tcBorders>
          </w:tcPr>
          <w:p>
            <w:pPr>
              <w:pStyle w:val="12"/>
              <w:spacing w:line="210" w:lineRule="exact"/>
              <w:jc w:val="center"/>
              <w:rPr>
                <w:rFonts w:eastAsia="宋体"/>
                <w:sz w:val="21"/>
                <w:szCs w:val="21"/>
              </w:rPr>
            </w:pPr>
            <w:r>
              <w:rPr>
                <w:rFonts w:eastAsia="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29" w:type="dxa"/>
            <w:shd w:val="clear" w:color="auto" w:fill="FFC000"/>
          </w:tcPr>
          <w:p>
            <w:pPr>
              <w:pStyle w:val="12"/>
              <w:spacing w:before="26"/>
              <w:rPr>
                <w:rFonts w:eastAsia="宋体"/>
                <w:b/>
                <w:sz w:val="21"/>
                <w:szCs w:val="21"/>
              </w:rPr>
            </w:pPr>
            <w:r>
              <w:rPr>
                <w:rFonts w:eastAsia="宋体"/>
                <w:b/>
                <w:sz w:val="21"/>
                <w:szCs w:val="21"/>
                <w:lang w:eastAsia="zh-CN"/>
              </w:rPr>
              <w:t>总</w:t>
            </w:r>
            <w:r>
              <w:rPr>
                <w:rFonts w:eastAsia="宋体"/>
                <w:b/>
                <w:sz w:val="21"/>
                <w:szCs w:val="21"/>
              </w:rPr>
              <w:t>分</w:t>
            </w:r>
          </w:p>
        </w:tc>
        <w:tc>
          <w:tcPr>
            <w:tcW w:w="996" w:type="dxa"/>
            <w:shd w:val="clear" w:color="auto" w:fill="FFC000"/>
          </w:tcPr>
          <w:p>
            <w:pPr>
              <w:pStyle w:val="12"/>
              <w:spacing w:before="26"/>
              <w:jc w:val="center"/>
              <w:rPr>
                <w:rFonts w:eastAsia="宋体"/>
                <w:b/>
                <w:sz w:val="21"/>
                <w:szCs w:val="21"/>
              </w:rPr>
            </w:pPr>
            <w:r>
              <w:rPr>
                <w:rFonts w:eastAsia="宋体"/>
                <w:b/>
                <w:w w:val="99"/>
                <w:sz w:val="21"/>
                <w:szCs w:val="21"/>
              </w:rPr>
              <w:t>3.</w:t>
            </w:r>
          </w:p>
        </w:tc>
        <w:tc>
          <w:tcPr>
            <w:tcW w:w="1085" w:type="dxa"/>
            <w:shd w:val="clear" w:color="auto" w:fill="FFC000"/>
          </w:tcPr>
          <w:p>
            <w:pPr>
              <w:pStyle w:val="12"/>
              <w:spacing w:before="26"/>
              <w:jc w:val="center"/>
              <w:rPr>
                <w:rFonts w:eastAsia="宋体"/>
                <w:b/>
                <w:sz w:val="21"/>
                <w:szCs w:val="21"/>
              </w:rPr>
            </w:pPr>
            <w:r>
              <w:rPr>
                <w:rFonts w:eastAsia="宋体"/>
                <w:b/>
                <w:w w:val="99"/>
                <w:sz w:val="21"/>
                <w:szCs w:val="21"/>
              </w:rPr>
              <w:t>3.</w:t>
            </w:r>
          </w:p>
        </w:tc>
        <w:tc>
          <w:tcPr>
            <w:tcW w:w="1426" w:type="dxa"/>
            <w:shd w:val="clear" w:color="auto" w:fill="FFC000"/>
          </w:tcPr>
          <w:p>
            <w:pPr>
              <w:pStyle w:val="12"/>
              <w:spacing w:before="26"/>
              <w:jc w:val="center"/>
              <w:rPr>
                <w:rFonts w:eastAsia="宋体"/>
                <w:b/>
                <w:sz w:val="21"/>
                <w:szCs w:val="21"/>
              </w:rPr>
            </w:pPr>
            <w:r>
              <w:rPr>
                <w:rFonts w:eastAsia="宋体"/>
                <w:b/>
                <w:w w:val="99"/>
                <w:sz w:val="21"/>
                <w:szCs w:val="21"/>
              </w:rPr>
              <w:t>6</w:t>
            </w:r>
          </w:p>
        </w:tc>
      </w:tr>
    </w:tbl>
    <w:p>
      <w:pPr>
        <w:spacing w:before="8"/>
        <w:ind w:left="200"/>
        <w:rPr>
          <w:sz w:val="20"/>
          <w:lang w:eastAsia="zh-CN"/>
        </w:rPr>
      </w:pPr>
      <w:r>
        <w:rPr>
          <w:rFonts w:eastAsia="宋体"/>
          <w:i/>
          <w:sz w:val="20"/>
          <w:lang w:eastAsia="zh-CN"/>
        </w:rPr>
        <w:t>注</w:t>
      </w:r>
      <w:r>
        <w:rPr>
          <w:rFonts w:hint="eastAsia" w:eastAsia="宋体"/>
          <w:i/>
          <w:sz w:val="20"/>
          <w:lang w:eastAsia="zh-CN"/>
        </w:rPr>
        <w:t>：</w:t>
      </w:r>
      <w:r>
        <w:rPr>
          <w:rFonts w:eastAsia="宋体"/>
          <w:sz w:val="20"/>
          <w:lang w:eastAsia="zh-CN"/>
        </w:rPr>
        <w:t>FFP =企业灵活度得分</w:t>
      </w:r>
      <w:r>
        <w:rPr>
          <w:rFonts w:hint="eastAsia" w:eastAsia="宋体"/>
          <w:sz w:val="20"/>
          <w:lang w:eastAsia="zh-CN"/>
        </w:rPr>
        <w:t>；</w:t>
      </w:r>
      <w:r>
        <w:rPr>
          <w:rFonts w:eastAsia="宋体"/>
          <w:sz w:val="20"/>
          <w:lang w:eastAsia="zh-CN"/>
        </w:rPr>
        <w:t>SBP =社会效益得分。</w:t>
      </w:r>
    </w:p>
    <w:p>
      <w:pPr>
        <w:rPr>
          <w:sz w:val="20"/>
          <w:lang w:eastAsia="zh-CN"/>
        </w:rPr>
        <w:sectPr>
          <w:type w:val="continuous"/>
          <w:pgSz w:w="12240" w:h="15840"/>
          <w:pgMar w:top="1440" w:right="1240" w:bottom="280" w:left="1240" w:header="720" w:footer="720" w:gutter="0"/>
          <w:cols w:space="720" w:num="1"/>
        </w:sectPr>
      </w:pPr>
    </w:p>
    <w:p>
      <w:pPr>
        <w:pStyle w:val="5"/>
        <w:spacing w:line="400" w:lineRule="exact"/>
        <w:jc w:val="center"/>
        <w:rPr>
          <w:rFonts w:eastAsia="宋体"/>
          <w:b/>
          <w:bCs/>
          <w:sz w:val="28"/>
          <w:szCs w:val="28"/>
          <w:lang w:eastAsia="zh-CN"/>
        </w:rPr>
      </w:pPr>
      <w:r>
        <w:rPr>
          <w:rFonts w:eastAsia="宋体"/>
          <w:b/>
          <w:color w:val="4F81BD" w:themeColor="accent1"/>
          <w:sz w:val="28"/>
          <w:szCs w:val="28"/>
          <w:lang w:eastAsia="zh-CN"/>
          <w14:textFill>
            <w14:solidFill>
              <w14:schemeClr w14:val="accent1"/>
            </w14:solidFill>
          </w14:textFill>
        </w:rPr>
        <w:t>绿色金融法规质量</w:t>
      </w:r>
    </w:p>
    <w:p>
      <w:pPr>
        <w:pStyle w:val="5"/>
        <w:spacing w:line="400" w:lineRule="exact"/>
        <w:ind w:firstLine="560" w:firstLineChars="200"/>
        <w:rPr>
          <w:rFonts w:eastAsia="宋体"/>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下面的表格列出了每个维度下的所有指标(包括其组成部分，如果适用的话)，并在括号中注明了相应的问题编号。为了便于参考，每个表格前都列出了这些问题。</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对于Y/N题，Y回答占分数，并被认为是良好的做法，除非另有标记</w:t>
      </w:r>
      <w:r>
        <w:rPr>
          <w:rFonts w:hint="eastAsia" w:eastAsia="宋体"/>
          <w:i/>
          <w:sz w:val="28"/>
          <w:szCs w:val="28"/>
          <w:lang w:eastAsia="zh-CN"/>
        </w:rPr>
        <w:t>“</w:t>
      </w:r>
      <w:r>
        <w:rPr>
          <w:rFonts w:eastAsia="宋体"/>
          <w:i/>
          <w:sz w:val="28"/>
          <w:szCs w:val="28"/>
          <w:lang w:eastAsia="zh-CN"/>
        </w:rPr>
        <w:t>Y/N</w:t>
      </w:r>
      <w:r>
        <w:rPr>
          <w:rFonts w:hint="eastAsia" w:eastAsia="宋体"/>
          <w:i/>
          <w:sz w:val="28"/>
          <w:szCs w:val="28"/>
          <w:lang w:eastAsia="zh-CN"/>
        </w:rPr>
        <w:t>；</w:t>
      </w:r>
      <w:r>
        <w:rPr>
          <w:rFonts w:eastAsia="宋体"/>
          <w:i/>
          <w:sz w:val="28"/>
          <w:szCs w:val="28"/>
          <w:lang w:eastAsia="zh-CN"/>
        </w:rPr>
        <w:t>N - 良好做法（实践）</w:t>
      </w:r>
      <w:r>
        <w:rPr>
          <w:rFonts w:hint="eastAsia" w:eastAsia="宋体"/>
          <w:i/>
          <w:sz w:val="28"/>
          <w:szCs w:val="28"/>
          <w:lang w:eastAsia="zh-CN"/>
        </w:rPr>
        <w:t>”</w:t>
      </w:r>
      <w:r>
        <w:rPr>
          <w:rFonts w:eastAsia="宋体"/>
          <w:i/>
          <w:sz w:val="28"/>
          <w:szCs w:val="28"/>
          <w:lang w:eastAsia="zh-CN"/>
        </w:rPr>
        <w:t>。</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在下面的表格中，</w:t>
      </w:r>
      <w:r>
        <w:rPr>
          <w:rFonts w:hint="eastAsia" w:eastAsia="宋体"/>
          <w:i/>
          <w:sz w:val="28"/>
          <w:szCs w:val="28"/>
          <w:lang w:eastAsia="zh-CN"/>
        </w:rPr>
        <w:t>“</w:t>
      </w:r>
      <w:r>
        <w:rPr>
          <w:rFonts w:eastAsia="宋体"/>
          <w:i/>
          <w:sz w:val="28"/>
          <w:szCs w:val="28"/>
          <w:lang w:eastAsia="zh-CN"/>
        </w:rPr>
        <w:t>和AND</w:t>
      </w:r>
      <w:r>
        <w:rPr>
          <w:rFonts w:hint="eastAsia" w:eastAsia="宋体"/>
          <w:i/>
          <w:sz w:val="28"/>
          <w:szCs w:val="28"/>
          <w:lang w:eastAsia="zh-CN"/>
        </w:rPr>
        <w:t>”</w:t>
      </w:r>
      <w:r>
        <w:rPr>
          <w:rFonts w:eastAsia="宋体"/>
          <w:i/>
          <w:sz w:val="28"/>
          <w:szCs w:val="28"/>
          <w:lang w:eastAsia="zh-CN"/>
        </w:rPr>
        <w:t>表示所有参考问题都必须有一个良好的实践回答，才能在指标上获得分数。</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在下面的表格中，</w:t>
      </w:r>
      <w:r>
        <w:rPr>
          <w:rFonts w:hint="eastAsia" w:eastAsia="宋体"/>
          <w:i/>
          <w:sz w:val="28"/>
          <w:szCs w:val="28"/>
          <w:lang w:eastAsia="zh-CN"/>
        </w:rPr>
        <w:t>“</w:t>
      </w:r>
      <w:r>
        <w:rPr>
          <w:rFonts w:eastAsia="宋体"/>
          <w:i/>
          <w:sz w:val="28"/>
          <w:szCs w:val="28"/>
          <w:lang w:eastAsia="zh-CN"/>
        </w:rPr>
        <w:t>或OR</w:t>
      </w:r>
      <w:r>
        <w:rPr>
          <w:rFonts w:hint="eastAsia" w:eastAsia="宋体"/>
          <w:i/>
          <w:sz w:val="28"/>
          <w:szCs w:val="28"/>
          <w:lang w:eastAsia="zh-CN"/>
        </w:rPr>
        <w:t>”</w:t>
      </w:r>
      <w:r>
        <w:rPr>
          <w:rFonts w:eastAsia="宋体"/>
          <w:i/>
          <w:sz w:val="28"/>
          <w:szCs w:val="28"/>
          <w:lang w:eastAsia="zh-CN"/>
        </w:rPr>
        <w:t>表示一个或多个参考问题必须具有良好的实践回答才能在指标上获得分数。</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i/>
          <w:sz w:val="28"/>
          <w:szCs w:val="28"/>
          <w:lang w:eastAsia="zh-CN"/>
        </w:rPr>
      </w:pPr>
      <w:r>
        <w:rPr>
          <w:rFonts w:eastAsia="宋体"/>
          <w:i/>
          <w:sz w:val="28"/>
          <w:szCs w:val="28"/>
          <w:lang w:eastAsia="zh-CN"/>
        </w:rPr>
        <w:t>某些问题被标记为</w:t>
      </w:r>
      <w:r>
        <w:rPr>
          <w:rFonts w:hint="eastAsia" w:eastAsia="宋体"/>
          <w:i/>
          <w:sz w:val="28"/>
          <w:szCs w:val="28"/>
          <w:lang w:eastAsia="zh-CN"/>
        </w:rPr>
        <w:t>“不计分”</w:t>
      </w:r>
      <w:r>
        <w:rPr>
          <w:rFonts w:eastAsia="宋体"/>
          <w:i/>
          <w:sz w:val="28"/>
          <w:szCs w:val="28"/>
          <w:lang w:eastAsia="zh-CN"/>
        </w:rPr>
        <w:t>，这表明它们不会以任何方式影响分数。这些问题的目的是根据需要进一步告知和完善试点后续年份的问题设计，并为得分问题提供进一步的信息。</w:t>
      </w:r>
    </w:p>
    <w:p>
      <w:pPr>
        <w:pStyle w:val="5"/>
        <w:spacing w:line="400" w:lineRule="exact"/>
        <w:ind w:firstLine="440" w:firstLineChars="200"/>
        <w:rPr>
          <w:i/>
          <w:sz w:val="20"/>
          <w:lang w:eastAsia="zh-CN"/>
        </w:rPr>
      </w:pPr>
      <w:r>
        <mc:AlternateContent>
          <mc:Choice Requires="wps">
            <w:drawing>
              <wp:anchor distT="0" distB="0" distL="114300" distR="114300" simplePos="0" relativeHeight="251663360" behindDoc="1" locked="0" layoutInCell="1" allowOverlap="1">
                <wp:simplePos x="0" y="0"/>
                <wp:positionH relativeFrom="page">
                  <wp:posOffset>856615</wp:posOffset>
                </wp:positionH>
                <wp:positionV relativeFrom="paragraph">
                  <wp:posOffset>164465</wp:posOffset>
                </wp:positionV>
                <wp:extent cx="6060440" cy="372110"/>
                <wp:effectExtent l="4445" t="4445" r="5715" b="17145"/>
                <wp:wrapTopAndBottom/>
                <wp:docPr id="13" name="文本框 13"/>
                <wp:cNvGraphicFramePr/>
                <a:graphic xmlns:a="http://schemas.openxmlformats.org/drawingml/2006/main">
                  <a:graphicData uri="http://schemas.microsoft.com/office/word/2010/wordprocessingShape">
                    <wps:wsp>
                      <wps:cNvSpPr txBox="1"/>
                      <wps:spPr>
                        <a:xfrm>
                          <a:off x="0" y="0"/>
                          <a:ext cx="6060440" cy="372110"/>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173"/>
                              <w:ind w:left="103"/>
                              <w:rPr>
                                <w:rFonts w:eastAsia="宋体"/>
                                <w:b/>
                                <w:color w:val="000000"/>
                                <w:sz w:val="28"/>
                                <w:szCs w:val="28"/>
                                <w:lang w:eastAsia="zh-CN"/>
                              </w:rPr>
                            </w:pPr>
                            <w:r>
                              <w:rPr>
                                <w:rFonts w:eastAsia="宋体"/>
                                <w:b/>
                                <w:color w:val="FFFFFF"/>
                                <w:sz w:val="28"/>
                                <w:szCs w:val="28"/>
                                <w:lang w:eastAsia="zh-CN"/>
                              </w:rPr>
                              <w:t>维度 I</w:t>
                            </w:r>
                            <w:r>
                              <w:rPr>
                                <w:rFonts w:hint="eastAsia" w:eastAsia="宋体"/>
                                <w:b/>
                                <w:color w:val="FFFFFF"/>
                                <w:sz w:val="28"/>
                                <w:szCs w:val="28"/>
                                <w:lang w:eastAsia="zh-CN"/>
                              </w:rPr>
                              <w:t>：</w:t>
                            </w:r>
                            <w:r>
                              <w:rPr>
                                <w:rFonts w:eastAsia="宋体"/>
                                <w:b/>
                                <w:color w:val="FFFFFF"/>
                                <w:sz w:val="28"/>
                                <w:szCs w:val="28"/>
                                <w:lang w:eastAsia="zh-CN"/>
                              </w:rPr>
                              <w:t>监管框架</w:t>
                            </w:r>
                            <w:r>
                              <w:rPr>
                                <w:rFonts w:hint="eastAsia" w:eastAsia="宋体"/>
                                <w:b/>
                                <w:color w:val="FFFFFF"/>
                                <w:sz w:val="28"/>
                                <w:szCs w:val="28"/>
                                <w:lang w:eastAsia="zh-CN"/>
                              </w:rPr>
                              <w:t>：</w:t>
                            </w:r>
                            <w:r>
                              <w:rPr>
                                <w:rFonts w:eastAsia="宋体"/>
                                <w:b/>
                                <w:color w:val="FFFFFF"/>
                                <w:sz w:val="28"/>
                                <w:szCs w:val="28"/>
                                <w:lang w:eastAsia="zh-CN"/>
                              </w:rPr>
                              <w:t>绿色融资监管质量</w:t>
                            </w:r>
                          </w:p>
                        </w:txbxContent>
                      </wps:txbx>
                      <wps:bodyPr lIns="0" tIns="0" rIns="0" bIns="0" upright="1"/>
                    </wps:wsp>
                  </a:graphicData>
                </a:graphic>
              </wp:anchor>
            </w:drawing>
          </mc:Choice>
          <mc:Fallback>
            <w:pict>
              <v:shape id="_x0000_s1026" o:spid="_x0000_s1026" o:spt="202" type="#_x0000_t202" style="position:absolute;left:0pt;margin-left:67.45pt;margin-top:12.95pt;height:29.3pt;width:477.2pt;mso-position-horizontal-relative:page;mso-wrap-distance-bottom:0pt;mso-wrap-distance-top:0pt;z-index:-251653120;mso-width-relative:page;mso-height-relative:page;" fillcolor="#0F6EC5" filled="t" stroked="t" coordsize="21600,21600" o:gfxdata="UEsDBAoAAAAAAIdO4kAAAAAAAAAAAAAAAAAEAAAAZHJzL1BLAwQUAAAACACHTuJANRrKU9gAAAAK&#10;AQAADwAAAGRycy9kb3ducmV2LnhtbE2PwU6DQBCG7ya+w2ZMvNml0CpFlh40RuOlEZueB3YElJ1F&#10;dqH17d2e9DT5M1/++SbfnkwvZhpdZ1nBchGBIK6t7rhRsH9/uklBOI+ssbdMCn7Iwba4vMgx0/bI&#10;bzSXvhGhhF2GClrvh0xKV7dk0C3sQBx2H3Y06EMcG6lHPIZy08s4im6lwY7DhRYHemip/iono2Cq&#10;YvyOn1+Sw6ubyzum3ePuc1bq+moZ3YPwdPJ/MJz1gzoUwamyE2sn+pCT1SagCuJ1mGcgSjcJiEpB&#10;ulqDLHL5/4XiF1BLAwQUAAAACACHTuJA2A1e6x4CAABcBAAADgAAAGRycy9lMm9Eb2MueG1srVTN&#10;jtMwEL4j8Q6W7zRpdykQNV2J7RYhIUBaeADXdhJL/pPHbdIXgDfgxIX7Plefg7H7s3Th0AM5JJ/H&#10;429mvhlndjMYTTYygHK2puNRSYm03All25p+/bJ88ZoSiMwKpp2VNd1KoDfz589mva/kxHVOCxkI&#10;klioel/TLkZfFQXwThoGI+elxc3GBcMiLkNbiMB6ZDe6mJTltOhdED44LgHQuthv0gNjuITQNY3i&#10;cuH42kgb96xBahaxJOiUBzrP2TaN5PFT04CMRNcUK435jUEQr9K7mM9Y1QbmO8UPKbBLUnhSk2HK&#10;YtAT1YJFRtZB/UVlFA8OXBNH3JliX0hWBKsYl0+0ue+Yl7kWlBr8SXT4f7T84+ZzIErgJFxRYpnB&#10;ju9+fN/9fNj9+kbQhgL1Hir0u/foGYe3bkDnox3QmOoemmDSFysiuI/ybk/yyiESjsZpOS2vr3GL&#10;497Vq8l4nPUvHk/7APGddIYkUNOA7cuqss0HiJgJuh5dUjBwWoml0jovQru61YFsWGr1cnp3+zIl&#10;iUfO3LQlfUrlzRTzYDi/Dc4NQuNRA7Btjnd2As6Iy/T8izgltmDQ7RPIDMmNVUZFGTLqJBN3VpC4&#10;9SizxetFUzJGCkq0xNuYUPaMTOlLPLE6bbHI1KJ9KxKKw2pAmgRXTmyxbfq9xaFJF+AIwhGsjmDt&#10;g2o7lD03N1Pi0GUFDxckTfWf6xz48acw/w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1GspT2AAA&#10;AAoBAAAPAAAAAAAAAAEAIAAAACIAAABkcnMvZG93bnJldi54bWxQSwECFAAUAAAACACHTuJA2A1e&#10;6x4CAABcBAAADgAAAAAAAAABACAAAAAnAQAAZHJzL2Uyb0RvYy54bWxQSwUGAAAAAAYABgBZAQAA&#10;twUAAAAA&#10;">
                <v:fill on="t" focussize="0,0"/>
                <v:stroke weight="0.48pt" color="#000000" joinstyle="miter"/>
                <v:imagedata o:title=""/>
                <o:lock v:ext="edit" aspectratio="f"/>
                <v:textbox inset="0mm,0mm,0mm,0mm">
                  <w:txbxContent>
                    <w:p>
                      <w:pPr>
                        <w:spacing w:before="173"/>
                        <w:ind w:left="103"/>
                        <w:rPr>
                          <w:rFonts w:eastAsia="宋体"/>
                          <w:b/>
                          <w:color w:val="000000"/>
                          <w:sz w:val="28"/>
                          <w:szCs w:val="28"/>
                          <w:lang w:eastAsia="zh-CN"/>
                        </w:rPr>
                      </w:pPr>
                      <w:r>
                        <w:rPr>
                          <w:rFonts w:eastAsia="宋体"/>
                          <w:b/>
                          <w:color w:val="FFFFFF"/>
                          <w:sz w:val="28"/>
                          <w:szCs w:val="28"/>
                          <w:lang w:eastAsia="zh-CN"/>
                        </w:rPr>
                        <w:t>维度 I</w:t>
                      </w:r>
                      <w:r>
                        <w:rPr>
                          <w:rFonts w:hint="eastAsia" w:eastAsia="宋体"/>
                          <w:b/>
                          <w:color w:val="FFFFFF"/>
                          <w:sz w:val="28"/>
                          <w:szCs w:val="28"/>
                          <w:lang w:eastAsia="zh-CN"/>
                        </w:rPr>
                        <w:t>：</w:t>
                      </w:r>
                      <w:r>
                        <w:rPr>
                          <w:rFonts w:eastAsia="宋体"/>
                          <w:b/>
                          <w:color w:val="FFFFFF"/>
                          <w:sz w:val="28"/>
                          <w:szCs w:val="28"/>
                          <w:lang w:eastAsia="zh-CN"/>
                        </w:rPr>
                        <w:t>监管框架</w:t>
                      </w:r>
                      <w:r>
                        <w:rPr>
                          <w:rFonts w:hint="eastAsia" w:eastAsia="宋体"/>
                          <w:b/>
                          <w:color w:val="FFFFFF"/>
                          <w:sz w:val="28"/>
                          <w:szCs w:val="28"/>
                          <w:lang w:eastAsia="zh-CN"/>
                        </w:rPr>
                        <w:t>：</w:t>
                      </w:r>
                      <w:r>
                        <w:rPr>
                          <w:rFonts w:eastAsia="宋体"/>
                          <w:b/>
                          <w:color w:val="FFFFFF"/>
                          <w:sz w:val="28"/>
                          <w:szCs w:val="28"/>
                          <w:lang w:eastAsia="zh-CN"/>
                        </w:rPr>
                        <w:t>绿色融资监管质量</w:t>
                      </w:r>
                    </w:p>
                  </w:txbxContent>
                </v:textbox>
                <w10:wrap type="topAndBottom"/>
              </v:shape>
            </w:pict>
          </mc:Fallback>
        </mc:AlternateContent>
      </w:r>
    </w:p>
    <w:p>
      <w:pPr>
        <w:pStyle w:val="5"/>
        <w:spacing w:before="5"/>
        <w:rPr>
          <w:i/>
          <w:sz w:val="14"/>
          <w:lang w:eastAsia="zh-CN"/>
        </w:rPr>
      </w:pPr>
    </w:p>
    <w:p>
      <w:pPr>
        <w:pStyle w:val="11"/>
        <w:tabs>
          <w:tab w:val="left" w:pos="652"/>
        </w:tabs>
        <w:spacing w:line="400" w:lineRule="exact"/>
        <w:ind w:left="0" w:firstLine="562" w:firstLineChars="200"/>
        <w:jc w:val="left"/>
        <w:rPr>
          <w:rFonts w:eastAsia="宋体"/>
          <w:i/>
          <w:sz w:val="28"/>
          <w:szCs w:val="28"/>
          <w:lang w:eastAsia="zh-CN"/>
        </w:rPr>
      </w:pPr>
      <w:r>
        <w:rPr>
          <w:rFonts w:eastAsia="宋体"/>
          <w:b/>
          <w:bCs/>
          <w:sz w:val="28"/>
          <w:szCs w:val="28"/>
          <w:lang w:eastAsia="zh-CN"/>
        </w:rPr>
        <w:t>145.</w:t>
      </w:r>
      <w:r>
        <w:rPr>
          <w:rFonts w:eastAsia="宋体"/>
          <w:b/>
          <w:sz w:val="28"/>
          <w:szCs w:val="28"/>
          <w:lang w:eastAsia="zh-CN"/>
        </w:rPr>
        <w:t>贵国的公共当局是否制定了绿色金融的路线图/战略?</w:t>
      </w:r>
      <w:r>
        <w:rPr>
          <w:rFonts w:eastAsia="宋体"/>
          <w:sz w:val="28"/>
          <w:szCs w:val="28"/>
          <w:lang w:eastAsia="zh-CN"/>
        </w:rPr>
        <w:t>(Y/N)</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rPr>
          <w:rFonts w:eastAsia="宋体"/>
          <w:i/>
          <w:sz w:val="28"/>
          <w:szCs w:val="28"/>
          <w:lang w:eastAsia="zh-CN"/>
        </w:rPr>
      </w:pPr>
    </w:p>
    <w:p>
      <w:pPr>
        <w:pStyle w:val="11"/>
        <w:tabs>
          <w:tab w:val="left" w:pos="652"/>
        </w:tabs>
        <w:spacing w:line="400" w:lineRule="exact"/>
        <w:ind w:left="0" w:firstLine="562" w:firstLineChars="200"/>
        <w:jc w:val="left"/>
        <w:rPr>
          <w:rFonts w:eastAsia="宋体"/>
          <w:i/>
          <w:sz w:val="28"/>
          <w:szCs w:val="28"/>
          <w:lang w:eastAsia="zh-CN"/>
        </w:rPr>
      </w:pPr>
      <w:r>
        <w:rPr>
          <w:rFonts w:eastAsia="宋体"/>
          <w:b/>
          <w:bCs/>
          <w:sz w:val="28"/>
          <w:szCs w:val="28"/>
          <w:lang w:eastAsia="zh-CN"/>
        </w:rPr>
        <w:t>146.</w:t>
      </w:r>
      <w:r>
        <w:rPr>
          <w:rFonts w:eastAsia="宋体"/>
          <w:b/>
          <w:sz w:val="28"/>
          <w:szCs w:val="28"/>
          <w:lang w:eastAsia="zh-CN"/>
        </w:rPr>
        <w:t>公共当局是否制定了国家绿色分类/绿色活动定义/活动目录或采用了现有的国际分类?</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146a.制定了国家分类学</w:t>
      </w:r>
    </w:p>
    <w:p>
      <w:pPr>
        <w:pStyle w:val="5"/>
        <w:spacing w:line="400" w:lineRule="exact"/>
        <w:ind w:firstLine="560" w:firstLineChars="200"/>
        <w:rPr>
          <w:rFonts w:eastAsia="宋体"/>
          <w:sz w:val="28"/>
          <w:szCs w:val="28"/>
          <w:lang w:eastAsia="zh-CN"/>
        </w:rPr>
      </w:pPr>
      <w:r>
        <w:rPr>
          <w:rFonts w:eastAsia="宋体"/>
          <w:sz w:val="28"/>
          <w:szCs w:val="28"/>
          <w:lang w:eastAsia="zh-CN"/>
        </w:rPr>
        <w:t>146b.采用了现有的国际分类学</w:t>
      </w:r>
    </w:p>
    <w:p>
      <w:pPr>
        <w:pStyle w:val="5"/>
        <w:spacing w:line="400" w:lineRule="exact"/>
        <w:ind w:firstLine="560" w:firstLineChars="200"/>
        <w:rPr>
          <w:rFonts w:eastAsia="宋体"/>
          <w:sz w:val="28"/>
          <w:szCs w:val="28"/>
          <w:lang w:eastAsia="zh-CN"/>
        </w:rPr>
      </w:pPr>
      <w:r>
        <w:rPr>
          <w:rFonts w:eastAsia="宋体"/>
          <w:sz w:val="28"/>
          <w:szCs w:val="28"/>
          <w:lang w:eastAsia="zh-CN"/>
        </w:rPr>
        <w:t>146c.在制定或采用分类法的过程中。</w:t>
      </w:r>
    </w:p>
    <w:p>
      <w:pPr>
        <w:pStyle w:val="5"/>
        <w:spacing w:line="400" w:lineRule="exact"/>
        <w:ind w:firstLine="560" w:firstLineChars="200"/>
        <w:rPr>
          <w:rFonts w:eastAsia="宋体"/>
          <w:sz w:val="28"/>
          <w:szCs w:val="28"/>
          <w:lang w:eastAsia="zh-CN"/>
        </w:rPr>
      </w:pPr>
      <w:r>
        <w:rPr>
          <w:rFonts w:eastAsia="宋体"/>
          <w:sz w:val="28"/>
          <w:szCs w:val="28"/>
          <w:lang w:eastAsia="zh-CN"/>
        </w:rPr>
        <w:t>146d.没有</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jc w:val="left"/>
        <w:rPr>
          <w:rFonts w:eastAsia="宋体"/>
          <w:i/>
          <w:sz w:val="28"/>
          <w:szCs w:val="28"/>
          <w:lang w:eastAsia="zh-CN"/>
        </w:rPr>
      </w:pPr>
      <w:r>
        <w:rPr>
          <w:rFonts w:eastAsia="宋体"/>
          <w:b/>
          <w:bCs/>
          <w:sz w:val="28"/>
          <w:szCs w:val="28"/>
          <w:lang w:eastAsia="zh-CN"/>
        </w:rPr>
        <w:t>147.</w:t>
      </w:r>
      <w:r>
        <w:rPr>
          <w:rFonts w:eastAsia="宋体"/>
          <w:b/>
          <w:sz w:val="28"/>
          <w:szCs w:val="28"/>
          <w:lang w:eastAsia="zh-CN"/>
        </w:rPr>
        <w:t>贵国经济中绿色金融的定义涵盖了以下哪一项(请选择所有适用的)</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147a.减缓气候变化</w:t>
      </w:r>
    </w:p>
    <w:p>
      <w:pPr>
        <w:pStyle w:val="5"/>
        <w:spacing w:line="400" w:lineRule="exact"/>
        <w:ind w:firstLine="560" w:firstLineChars="200"/>
        <w:rPr>
          <w:rFonts w:eastAsia="宋体"/>
          <w:sz w:val="28"/>
          <w:szCs w:val="28"/>
          <w:lang w:eastAsia="zh-CN"/>
        </w:rPr>
      </w:pPr>
      <w:r>
        <w:rPr>
          <w:rFonts w:eastAsia="宋体"/>
          <w:sz w:val="28"/>
          <w:szCs w:val="28"/>
          <w:lang w:eastAsia="zh-CN"/>
        </w:rPr>
        <w:t>147b.气候适应和复原力</w:t>
      </w:r>
    </w:p>
    <w:p>
      <w:pPr>
        <w:pStyle w:val="5"/>
        <w:spacing w:line="400" w:lineRule="exact"/>
        <w:ind w:firstLine="560" w:firstLineChars="200"/>
        <w:rPr>
          <w:rFonts w:eastAsia="宋体"/>
          <w:sz w:val="28"/>
          <w:szCs w:val="28"/>
          <w:lang w:eastAsia="zh-CN"/>
        </w:rPr>
      </w:pPr>
      <w:r>
        <w:rPr>
          <w:rFonts w:eastAsia="宋体"/>
          <w:sz w:val="28"/>
          <w:szCs w:val="28"/>
          <w:lang w:eastAsia="zh-CN"/>
        </w:rPr>
        <w:t>147c.其他环境目标(包括生物多样性)</w:t>
      </w:r>
    </w:p>
    <w:p>
      <w:pPr>
        <w:pStyle w:val="11"/>
        <w:tabs>
          <w:tab w:val="left" w:pos="652"/>
        </w:tabs>
        <w:spacing w:line="400" w:lineRule="exact"/>
        <w:ind w:left="0" w:firstLine="562" w:firstLineChars="200"/>
        <w:jc w:val="left"/>
        <w:rPr>
          <w:rFonts w:eastAsia="宋体"/>
          <w:b/>
          <w:bCs/>
          <w:sz w:val="28"/>
          <w:szCs w:val="28"/>
          <w:lang w:eastAsia="zh-CN"/>
        </w:rPr>
      </w:pPr>
    </w:p>
    <w:p>
      <w:pPr>
        <w:pStyle w:val="11"/>
        <w:tabs>
          <w:tab w:val="left" w:pos="652"/>
        </w:tabs>
        <w:spacing w:line="400" w:lineRule="exact"/>
        <w:ind w:left="0" w:firstLine="562" w:firstLineChars="200"/>
        <w:jc w:val="left"/>
        <w:rPr>
          <w:rFonts w:eastAsia="宋体"/>
          <w:b/>
          <w:sz w:val="28"/>
          <w:szCs w:val="28"/>
          <w:lang w:eastAsia="zh-CN"/>
        </w:rPr>
      </w:pPr>
      <w:r>
        <w:rPr>
          <w:rFonts w:eastAsia="宋体"/>
          <w:b/>
          <w:bCs/>
          <w:sz w:val="28"/>
          <w:szCs w:val="28"/>
          <w:lang w:eastAsia="zh-CN"/>
        </w:rPr>
        <w:t>148.</w:t>
      </w:r>
      <w:r>
        <w:rPr>
          <w:rFonts w:eastAsia="宋体"/>
          <w:b/>
          <w:sz w:val="28"/>
          <w:szCs w:val="28"/>
          <w:lang w:eastAsia="zh-CN"/>
        </w:rPr>
        <w:t>银行是否有指导方针或法律要求将气候/环境风险纳入其风险管理框架？</w:t>
      </w:r>
    </w:p>
    <w:p>
      <w:pPr>
        <w:spacing w:line="400" w:lineRule="exact"/>
        <w:ind w:firstLine="560" w:firstLineChars="200"/>
        <w:rPr>
          <w:rFonts w:eastAsia="宋体"/>
          <w:b/>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即关于气候/环境风险的治理、战略和风险管理)</w:t>
      </w:r>
      <w:r>
        <w:rPr>
          <w:rFonts w:eastAsia="宋体"/>
          <w:b/>
          <w:spacing w:val="-2"/>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148a.有指导方针</w:t>
      </w:r>
    </w:p>
    <w:p>
      <w:pPr>
        <w:pStyle w:val="5"/>
        <w:spacing w:line="400" w:lineRule="exact"/>
        <w:ind w:firstLine="560" w:firstLineChars="200"/>
        <w:rPr>
          <w:rFonts w:eastAsia="宋体"/>
          <w:sz w:val="28"/>
          <w:szCs w:val="28"/>
          <w:lang w:eastAsia="zh-CN"/>
        </w:rPr>
      </w:pPr>
      <w:r>
        <w:rPr>
          <w:rFonts w:eastAsia="宋体"/>
          <w:sz w:val="28"/>
          <w:szCs w:val="28"/>
          <w:lang w:eastAsia="zh-CN"/>
        </w:rPr>
        <w:t>148b.有法律要求</w:t>
      </w:r>
    </w:p>
    <w:p>
      <w:pPr>
        <w:pStyle w:val="5"/>
        <w:spacing w:line="400" w:lineRule="exact"/>
        <w:ind w:firstLine="560" w:firstLineChars="200"/>
        <w:rPr>
          <w:rFonts w:eastAsia="宋体"/>
          <w:sz w:val="28"/>
          <w:szCs w:val="28"/>
          <w:lang w:eastAsia="zh-CN"/>
        </w:rPr>
      </w:pPr>
      <w:r>
        <w:rPr>
          <w:rFonts w:eastAsia="宋体"/>
          <w:sz w:val="28"/>
          <w:szCs w:val="28"/>
          <w:lang w:eastAsia="zh-CN"/>
        </w:rPr>
        <w:t>148c.正在制定准则或法律要求。</w:t>
      </w:r>
    </w:p>
    <w:p>
      <w:pPr>
        <w:pStyle w:val="5"/>
        <w:spacing w:line="400" w:lineRule="exact"/>
        <w:ind w:firstLine="560" w:firstLineChars="200"/>
        <w:rPr>
          <w:rFonts w:eastAsia="宋体"/>
          <w:sz w:val="28"/>
          <w:szCs w:val="28"/>
          <w:lang w:eastAsia="zh-CN"/>
        </w:rPr>
      </w:pPr>
      <w:r>
        <w:rPr>
          <w:rFonts w:eastAsia="宋体"/>
          <w:sz w:val="28"/>
          <w:szCs w:val="28"/>
          <w:lang w:eastAsia="zh-CN"/>
        </w:rPr>
        <w:t>148d.没有</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rPr>
          <w:rFonts w:eastAsia="宋体"/>
          <w:b/>
          <w:sz w:val="28"/>
          <w:szCs w:val="28"/>
          <w:lang w:eastAsia="zh-CN"/>
        </w:rPr>
      </w:pPr>
      <w:r>
        <w:rPr>
          <w:rFonts w:eastAsia="宋体"/>
          <w:b/>
          <w:bCs/>
          <w:sz w:val="28"/>
          <w:szCs w:val="28"/>
          <w:lang w:eastAsia="zh-CN"/>
        </w:rPr>
        <w:t>149.</w:t>
      </w:r>
      <w:r>
        <w:rPr>
          <w:rFonts w:eastAsia="宋体"/>
          <w:b/>
          <w:sz w:val="28"/>
          <w:szCs w:val="28"/>
          <w:lang w:eastAsia="zh-CN"/>
        </w:rPr>
        <w:t>公共当局是否有指导方针或法律要求来定义与气候相关的财务披露，企业在寻求绿色融资时必须向银行</w:t>
      </w:r>
      <w:r>
        <w:rPr>
          <w:rFonts w:eastAsia="宋体"/>
          <w:sz w:val="28"/>
          <w:szCs w:val="28"/>
          <w:lang w:eastAsia="zh-CN"/>
        </w:rPr>
        <w:t>(贷款</w:t>
      </w:r>
      <w:r>
        <w:rPr>
          <w:rFonts w:eastAsia="宋体"/>
          <w:spacing w:val="-3"/>
          <w:sz w:val="28"/>
          <w:szCs w:val="28"/>
          <w:lang w:eastAsia="zh-CN"/>
        </w:rPr>
        <w:t>机构)</w:t>
      </w:r>
      <w:r>
        <w:rPr>
          <w:rFonts w:eastAsia="宋体"/>
          <w:b/>
          <w:spacing w:val="-2"/>
          <w:sz w:val="28"/>
          <w:szCs w:val="28"/>
          <w:lang w:eastAsia="zh-CN"/>
        </w:rPr>
        <w:t>提交哪些信息?</w:t>
      </w:r>
    </w:p>
    <w:p>
      <w:pPr>
        <w:pStyle w:val="5"/>
        <w:spacing w:line="400" w:lineRule="exact"/>
        <w:ind w:firstLine="560" w:firstLineChars="200"/>
        <w:rPr>
          <w:rFonts w:eastAsia="宋体"/>
          <w:sz w:val="28"/>
          <w:szCs w:val="28"/>
          <w:lang w:eastAsia="zh-CN"/>
        </w:rPr>
      </w:pPr>
      <w:r>
        <w:rPr>
          <w:rFonts w:eastAsia="宋体"/>
          <w:sz w:val="28"/>
          <w:szCs w:val="28"/>
          <w:lang w:eastAsia="zh-CN"/>
        </w:rPr>
        <w:t>149a.有指导方针</w:t>
      </w:r>
    </w:p>
    <w:p>
      <w:pPr>
        <w:pStyle w:val="5"/>
        <w:spacing w:line="400" w:lineRule="exact"/>
        <w:ind w:firstLine="560" w:firstLineChars="200"/>
        <w:rPr>
          <w:rFonts w:eastAsia="宋体"/>
          <w:sz w:val="28"/>
          <w:szCs w:val="28"/>
          <w:lang w:eastAsia="zh-CN"/>
        </w:rPr>
      </w:pPr>
      <w:r>
        <w:rPr>
          <w:rFonts w:eastAsia="宋体"/>
          <w:sz w:val="28"/>
          <w:szCs w:val="28"/>
          <w:lang w:eastAsia="zh-CN"/>
        </w:rPr>
        <w:t>149b.有法律要求</w:t>
      </w:r>
    </w:p>
    <w:p>
      <w:pPr>
        <w:pStyle w:val="5"/>
        <w:spacing w:line="400" w:lineRule="exact"/>
        <w:ind w:firstLine="560" w:firstLineChars="200"/>
        <w:rPr>
          <w:rFonts w:eastAsia="宋体"/>
          <w:sz w:val="28"/>
          <w:szCs w:val="28"/>
          <w:lang w:eastAsia="zh-CN"/>
        </w:rPr>
      </w:pPr>
      <w:r>
        <w:rPr>
          <w:rFonts w:eastAsia="宋体"/>
          <w:sz w:val="28"/>
          <w:szCs w:val="28"/>
          <w:lang w:eastAsia="zh-CN"/>
        </w:rPr>
        <w:t>149c.正在制定准则或法律要求.</w:t>
      </w:r>
    </w:p>
    <w:p>
      <w:pPr>
        <w:pStyle w:val="5"/>
        <w:spacing w:line="400" w:lineRule="exact"/>
        <w:ind w:firstLine="560" w:firstLineChars="200"/>
        <w:rPr>
          <w:rFonts w:eastAsia="宋体"/>
          <w:sz w:val="28"/>
          <w:szCs w:val="28"/>
          <w:lang w:eastAsia="zh-CN"/>
        </w:rPr>
      </w:pPr>
      <w:r>
        <w:rPr>
          <w:rFonts w:eastAsia="宋体"/>
          <w:sz w:val="28"/>
          <w:szCs w:val="28"/>
          <w:lang w:eastAsia="zh-CN"/>
        </w:rPr>
        <w:t>149d.没有</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rPr>
          <w:rFonts w:eastAsia="宋体"/>
          <w:b/>
          <w:sz w:val="28"/>
          <w:szCs w:val="28"/>
          <w:lang w:eastAsia="zh-CN"/>
        </w:rPr>
      </w:pPr>
      <w:r>
        <w:rPr>
          <w:rFonts w:eastAsia="宋体"/>
          <w:b/>
          <w:bCs/>
          <w:sz w:val="28"/>
          <w:szCs w:val="28"/>
          <w:lang w:eastAsia="zh-CN"/>
        </w:rPr>
        <w:t>150.</w:t>
      </w:r>
      <w:r>
        <w:rPr>
          <w:rFonts w:eastAsia="宋体"/>
          <w:b/>
          <w:sz w:val="28"/>
          <w:szCs w:val="28"/>
          <w:lang w:eastAsia="zh-CN"/>
        </w:rPr>
        <w:t>是否根据任何国际商定的原则/标准（例如，绿色贷款原则）或国家商定的原则或标准，制定或正在制定绿色贷款发放框架?</w:t>
      </w:r>
    </w:p>
    <w:p>
      <w:pPr>
        <w:pStyle w:val="5"/>
        <w:spacing w:line="400" w:lineRule="exact"/>
        <w:ind w:firstLine="560" w:firstLineChars="200"/>
        <w:rPr>
          <w:rFonts w:eastAsia="宋体"/>
          <w:sz w:val="28"/>
          <w:szCs w:val="28"/>
          <w:lang w:eastAsia="zh-CN"/>
        </w:rPr>
      </w:pPr>
      <w:r>
        <w:rPr>
          <w:rFonts w:eastAsia="宋体"/>
          <w:sz w:val="28"/>
          <w:szCs w:val="28"/>
          <w:lang w:eastAsia="zh-CN"/>
        </w:rPr>
        <w:t>150a.遵循或与国际/地区商定的原则/标准，保持一致</w:t>
      </w:r>
    </w:p>
    <w:p>
      <w:pPr>
        <w:pStyle w:val="5"/>
        <w:spacing w:line="400" w:lineRule="exact"/>
        <w:ind w:firstLine="560" w:firstLineChars="200"/>
        <w:rPr>
          <w:rFonts w:eastAsia="宋体"/>
          <w:sz w:val="28"/>
          <w:szCs w:val="28"/>
          <w:lang w:eastAsia="zh-CN"/>
        </w:rPr>
      </w:pPr>
      <w:r>
        <w:rPr>
          <w:rFonts w:eastAsia="宋体"/>
          <w:sz w:val="28"/>
          <w:szCs w:val="28"/>
          <w:lang w:eastAsia="zh-CN"/>
        </w:rPr>
        <w:t>150b.根据国家商定的原则/标准制定的</w:t>
      </w:r>
    </w:p>
    <w:p>
      <w:pPr>
        <w:pStyle w:val="5"/>
        <w:spacing w:line="400" w:lineRule="exact"/>
        <w:ind w:firstLine="560" w:firstLineChars="200"/>
        <w:rPr>
          <w:rFonts w:eastAsia="宋体"/>
          <w:sz w:val="28"/>
          <w:szCs w:val="28"/>
          <w:lang w:eastAsia="zh-CN"/>
        </w:rPr>
      </w:pPr>
      <w:r>
        <w:rPr>
          <w:rFonts w:eastAsia="宋体"/>
          <w:sz w:val="28"/>
          <w:szCs w:val="28"/>
          <w:lang w:eastAsia="zh-CN"/>
        </w:rPr>
        <w:t>150c.框架正在开发</w:t>
      </w:r>
    </w:p>
    <w:p>
      <w:pPr>
        <w:pStyle w:val="5"/>
        <w:spacing w:line="400" w:lineRule="exact"/>
        <w:ind w:firstLine="560" w:firstLineChars="200"/>
        <w:rPr>
          <w:rFonts w:eastAsia="宋体"/>
          <w:sz w:val="28"/>
          <w:szCs w:val="28"/>
          <w:lang w:eastAsia="zh-CN"/>
        </w:rPr>
      </w:pPr>
      <w:r>
        <w:rPr>
          <w:rFonts w:eastAsia="宋体"/>
          <w:sz w:val="28"/>
          <w:szCs w:val="28"/>
          <w:lang w:eastAsia="zh-CN"/>
        </w:rPr>
        <w:t>150d.没有开发框架</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jc w:val="left"/>
        <w:rPr>
          <w:rFonts w:eastAsia="宋体"/>
          <w:b/>
          <w:sz w:val="28"/>
          <w:szCs w:val="28"/>
          <w:lang w:eastAsia="zh-CN"/>
        </w:rPr>
      </w:pPr>
      <w:r>
        <w:rPr>
          <w:rFonts w:eastAsia="宋体"/>
          <w:b/>
          <w:bCs/>
          <w:sz w:val="28"/>
          <w:szCs w:val="28"/>
          <w:lang w:eastAsia="zh-CN"/>
        </w:rPr>
        <w:t>151.</w:t>
      </w:r>
      <w:r>
        <w:rPr>
          <w:rFonts w:eastAsia="宋体"/>
          <w:b/>
          <w:sz w:val="28"/>
          <w:szCs w:val="28"/>
          <w:lang w:eastAsia="zh-CN"/>
        </w:rPr>
        <w:t>当局是否有任何指导方针或法律要求，要求提供以下任何一项以获得绿色贷款?(</w:t>
      </w:r>
      <w:r>
        <w:rPr>
          <w:rFonts w:hint="eastAsia" w:eastAsia="宋体"/>
          <w:b/>
          <w:sz w:val="28"/>
          <w:szCs w:val="28"/>
          <w:lang w:eastAsia="zh-CN"/>
        </w:rPr>
        <w:t>Y/N</w:t>
      </w:r>
      <w:r>
        <w:rPr>
          <w:rFonts w:eastAsia="宋体"/>
          <w:b/>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151a.顾问评审</w:t>
      </w:r>
    </w:p>
    <w:p>
      <w:pPr>
        <w:pStyle w:val="5"/>
        <w:spacing w:line="400" w:lineRule="exact"/>
        <w:ind w:firstLine="560" w:firstLineChars="200"/>
        <w:rPr>
          <w:rFonts w:eastAsia="宋体"/>
          <w:sz w:val="28"/>
          <w:szCs w:val="28"/>
          <w:lang w:eastAsia="zh-CN"/>
        </w:rPr>
      </w:pPr>
      <w:r>
        <w:rPr>
          <w:rFonts w:eastAsia="宋体"/>
          <w:sz w:val="28"/>
          <w:szCs w:val="28"/>
          <w:lang w:eastAsia="zh-CN"/>
        </w:rPr>
        <w:t>151b.验证</w:t>
      </w:r>
    </w:p>
    <w:p>
      <w:pPr>
        <w:pStyle w:val="5"/>
        <w:spacing w:line="400" w:lineRule="exact"/>
        <w:ind w:firstLine="560" w:firstLineChars="200"/>
        <w:rPr>
          <w:rFonts w:eastAsia="宋体"/>
          <w:sz w:val="28"/>
          <w:szCs w:val="28"/>
          <w:lang w:eastAsia="zh-CN"/>
        </w:rPr>
      </w:pPr>
      <w:r>
        <w:rPr>
          <w:rFonts w:eastAsia="宋体"/>
          <w:sz w:val="28"/>
          <w:szCs w:val="28"/>
          <w:lang w:eastAsia="zh-CN"/>
        </w:rPr>
        <w:t>151c.认证</w:t>
      </w:r>
    </w:p>
    <w:p>
      <w:pPr>
        <w:pStyle w:val="5"/>
        <w:spacing w:line="400" w:lineRule="exact"/>
        <w:ind w:firstLine="560" w:firstLineChars="200"/>
        <w:rPr>
          <w:rFonts w:eastAsia="宋体"/>
          <w:sz w:val="28"/>
          <w:szCs w:val="28"/>
          <w:lang w:eastAsia="zh-CN"/>
        </w:rPr>
      </w:pPr>
      <w:r>
        <w:rPr>
          <w:rFonts w:eastAsia="宋体"/>
          <w:sz w:val="28"/>
          <w:szCs w:val="28"/>
          <w:lang w:eastAsia="zh-CN"/>
        </w:rPr>
        <w:t>151d.评级</w:t>
      </w:r>
    </w:p>
    <w:p>
      <w:pPr>
        <w:pStyle w:val="5"/>
        <w:spacing w:line="400" w:lineRule="exact"/>
        <w:ind w:firstLine="560" w:firstLineChars="200"/>
        <w:rPr>
          <w:rFonts w:eastAsia="宋体"/>
          <w:sz w:val="28"/>
          <w:szCs w:val="28"/>
          <w:lang w:eastAsia="zh-CN"/>
        </w:rPr>
      </w:pPr>
      <w:r>
        <w:rPr>
          <w:rFonts w:eastAsia="宋体"/>
          <w:sz w:val="28"/>
          <w:szCs w:val="28"/>
          <w:lang w:eastAsia="zh-CN"/>
        </w:rPr>
        <w:t>151e.其他</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rPr>
          <w:rFonts w:eastAsia="宋体"/>
          <w:i/>
          <w:sz w:val="28"/>
          <w:szCs w:val="28"/>
          <w:lang w:eastAsia="zh-CN"/>
        </w:rPr>
      </w:pPr>
      <w:r>
        <w:rPr>
          <w:rFonts w:eastAsia="宋体"/>
          <w:b/>
          <w:bCs/>
          <w:sz w:val="28"/>
          <w:szCs w:val="28"/>
          <w:lang w:eastAsia="zh-CN"/>
        </w:rPr>
        <w:t>152.</w:t>
      </w:r>
      <w:r>
        <w:rPr>
          <w:rFonts w:eastAsia="宋体"/>
          <w:b/>
          <w:sz w:val="28"/>
          <w:szCs w:val="28"/>
          <w:lang w:eastAsia="zh-CN"/>
        </w:rPr>
        <w:t>是否根据任何国际商定的原则/标准（例如，绿色债券原则）或国家商定的原则或标准，制定或正在制定绿色债券发放框架</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152a.遵循或与国际/地区商定的原则/标准，保持一致.</w:t>
      </w:r>
    </w:p>
    <w:p>
      <w:pPr>
        <w:pStyle w:val="5"/>
        <w:spacing w:line="400" w:lineRule="exact"/>
        <w:ind w:firstLine="560" w:firstLineChars="200"/>
        <w:rPr>
          <w:rFonts w:eastAsia="宋体"/>
          <w:sz w:val="28"/>
          <w:szCs w:val="28"/>
          <w:lang w:eastAsia="zh-CN"/>
        </w:rPr>
      </w:pPr>
      <w:r>
        <w:rPr>
          <w:rFonts w:eastAsia="宋体"/>
          <w:sz w:val="28"/>
          <w:szCs w:val="28"/>
          <w:lang w:eastAsia="zh-CN"/>
        </w:rPr>
        <w:t>152b.根据国家商定的原则/标准制定的</w:t>
      </w:r>
    </w:p>
    <w:p>
      <w:pPr>
        <w:pStyle w:val="5"/>
        <w:spacing w:line="400" w:lineRule="exact"/>
        <w:ind w:firstLine="560" w:firstLineChars="200"/>
        <w:rPr>
          <w:rFonts w:eastAsia="宋体"/>
          <w:sz w:val="28"/>
          <w:szCs w:val="28"/>
          <w:lang w:eastAsia="zh-CN"/>
        </w:rPr>
      </w:pPr>
      <w:r>
        <w:rPr>
          <w:rFonts w:eastAsia="宋体"/>
          <w:sz w:val="28"/>
          <w:szCs w:val="28"/>
          <w:lang w:eastAsia="zh-CN"/>
        </w:rPr>
        <w:t>152c.框架正在开发中.</w:t>
      </w:r>
    </w:p>
    <w:p>
      <w:pPr>
        <w:pStyle w:val="5"/>
        <w:spacing w:line="400" w:lineRule="exact"/>
        <w:ind w:firstLine="560" w:firstLineChars="200"/>
        <w:rPr>
          <w:rFonts w:eastAsia="宋体"/>
          <w:sz w:val="28"/>
          <w:szCs w:val="28"/>
          <w:lang w:eastAsia="zh-CN"/>
        </w:rPr>
      </w:pPr>
      <w:r>
        <w:rPr>
          <w:rFonts w:eastAsia="宋体"/>
          <w:sz w:val="28"/>
          <w:szCs w:val="28"/>
          <w:lang w:eastAsia="zh-CN"/>
        </w:rPr>
        <w:t>152d.没有开发框架</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jc w:val="left"/>
        <w:rPr>
          <w:rFonts w:eastAsia="宋体"/>
          <w:i/>
          <w:sz w:val="28"/>
          <w:szCs w:val="28"/>
          <w:lang w:eastAsia="zh-CN"/>
        </w:rPr>
      </w:pPr>
      <w:r>
        <w:rPr>
          <w:rFonts w:eastAsia="宋体"/>
          <w:b/>
          <w:bCs/>
          <w:sz w:val="28"/>
          <w:szCs w:val="28"/>
          <w:lang w:eastAsia="zh-CN"/>
        </w:rPr>
        <w:t>153.</w:t>
      </w:r>
      <w:r>
        <w:rPr>
          <w:rFonts w:eastAsia="宋体"/>
          <w:b/>
          <w:sz w:val="28"/>
          <w:szCs w:val="28"/>
          <w:lang w:eastAsia="zh-CN"/>
        </w:rPr>
        <w:t>一般来说，对于公司在发行债券的招股说明书中披露关键信息，是否有任何指引或法律要求?</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153a.有指导方针</w:t>
      </w:r>
    </w:p>
    <w:p>
      <w:pPr>
        <w:pStyle w:val="5"/>
        <w:spacing w:line="400" w:lineRule="exact"/>
        <w:ind w:firstLine="560" w:firstLineChars="200"/>
        <w:rPr>
          <w:rFonts w:eastAsia="宋体"/>
          <w:sz w:val="28"/>
          <w:szCs w:val="28"/>
          <w:lang w:eastAsia="zh-CN"/>
        </w:rPr>
      </w:pPr>
      <w:r>
        <w:rPr>
          <w:rFonts w:eastAsia="宋体"/>
          <w:sz w:val="28"/>
          <w:szCs w:val="28"/>
          <w:lang w:eastAsia="zh-CN"/>
        </w:rPr>
        <w:t>153b.有法律要求</w:t>
      </w:r>
    </w:p>
    <w:p>
      <w:pPr>
        <w:pStyle w:val="5"/>
        <w:spacing w:line="400" w:lineRule="exact"/>
        <w:ind w:firstLine="560" w:firstLineChars="200"/>
        <w:rPr>
          <w:rFonts w:eastAsia="宋体"/>
          <w:sz w:val="28"/>
          <w:szCs w:val="28"/>
          <w:lang w:eastAsia="zh-CN"/>
        </w:rPr>
      </w:pPr>
      <w:r>
        <w:rPr>
          <w:rFonts w:eastAsia="宋体"/>
          <w:sz w:val="28"/>
          <w:szCs w:val="28"/>
          <w:lang w:eastAsia="zh-CN"/>
        </w:rPr>
        <w:t>153c.正在制定准则或法律要求.</w:t>
      </w:r>
    </w:p>
    <w:p>
      <w:pPr>
        <w:pStyle w:val="5"/>
        <w:spacing w:line="400" w:lineRule="exact"/>
        <w:ind w:firstLine="560" w:firstLineChars="200"/>
        <w:rPr>
          <w:rFonts w:eastAsia="宋体"/>
          <w:sz w:val="28"/>
          <w:szCs w:val="28"/>
          <w:lang w:eastAsia="zh-CN"/>
        </w:rPr>
      </w:pPr>
      <w:r>
        <w:rPr>
          <w:rFonts w:eastAsia="宋体"/>
          <w:sz w:val="28"/>
          <w:szCs w:val="28"/>
          <w:lang w:eastAsia="zh-CN"/>
        </w:rPr>
        <w:t>153d.没有</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jc w:val="left"/>
        <w:rPr>
          <w:rFonts w:eastAsia="宋体"/>
          <w:i/>
          <w:sz w:val="28"/>
          <w:szCs w:val="28"/>
          <w:lang w:eastAsia="zh-CN"/>
        </w:rPr>
      </w:pPr>
      <w:r>
        <w:rPr>
          <w:rFonts w:eastAsia="宋体"/>
          <w:b/>
          <w:bCs/>
          <w:sz w:val="28"/>
          <w:szCs w:val="28"/>
          <w:lang w:eastAsia="zh-CN"/>
        </w:rPr>
        <w:t>154.</w:t>
      </w:r>
      <w:r>
        <w:rPr>
          <w:rFonts w:eastAsia="宋体"/>
          <w:b/>
          <w:sz w:val="28"/>
          <w:szCs w:val="28"/>
          <w:lang w:eastAsia="zh-CN"/>
        </w:rPr>
        <w:t>对于公司在绿色债券的招股说明书中披露关键信息，是否有任何指引或法律要求?</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154a.有指导方针</w:t>
      </w:r>
    </w:p>
    <w:p>
      <w:pPr>
        <w:pStyle w:val="5"/>
        <w:spacing w:line="400" w:lineRule="exact"/>
        <w:ind w:firstLine="560" w:firstLineChars="200"/>
        <w:rPr>
          <w:rFonts w:eastAsia="宋体"/>
          <w:sz w:val="28"/>
          <w:szCs w:val="28"/>
          <w:lang w:eastAsia="zh-CN"/>
        </w:rPr>
      </w:pPr>
      <w:r>
        <w:rPr>
          <w:rFonts w:eastAsia="宋体"/>
          <w:sz w:val="28"/>
          <w:szCs w:val="28"/>
          <w:lang w:eastAsia="zh-CN"/>
        </w:rPr>
        <w:t>154b.有法律要求</w:t>
      </w:r>
    </w:p>
    <w:p>
      <w:pPr>
        <w:pStyle w:val="5"/>
        <w:spacing w:line="400" w:lineRule="exact"/>
        <w:ind w:firstLine="560" w:firstLineChars="200"/>
        <w:rPr>
          <w:rFonts w:eastAsia="宋体"/>
          <w:sz w:val="28"/>
          <w:szCs w:val="28"/>
          <w:lang w:eastAsia="zh-CN"/>
        </w:rPr>
      </w:pPr>
      <w:r>
        <w:rPr>
          <w:rFonts w:eastAsia="宋体"/>
          <w:sz w:val="28"/>
          <w:szCs w:val="28"/>
          <w:lang w:eastAsia="zh-CN"/>
        </w:rPr>
        <w:t>154c.正在制定指导方针或法律要求.</w:t>
      </w:r>
    </w:p>
    <w:p>
      <w:pPr>
        <w:pStyle w:val="5"/>
        <w:spacing w:line="400" w:lineRule="exact"/>
        <w:ind w:firstLine="560" w:firstLineChars="200"/>
        <w:rPr>
          <w:rFonts w:eastAsia="宋体"/>
          <w:sz w:val="28"/>
          <w:szCs w:val="28"/>
          <w:lang w:eastAsia="zh-CN"/>
        </w:rPr>
      </w:pPr>
      <w:r>
        <w:rPr>
          <w:rFonts w:eastAsia="宋体"/>
          <w:sz w:val="28"/>
          <w:szCs w:val="28"/>
          <w:lang w:eastAsia="zh-CN"/>
        </w:rPr>
        <w:t>154d.没有</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rPr>
          <w:rFonts w:eastAsia="宋体"/>
          <w:b/>
          <w:sz w:val="28"/>
          <w:szCs w:val="28"/>
          <w:lang w:eastAsia="zh-CN"/>
        </w:rPr>
      </w:pPr>
      <w:r>
        <w:rPr>
          <w:rFonts w:eastAsia="宋体"/>
          <w:b/>
          <w:bCs/>
          <w:sz w:val="28"/>
          <w:szCs w:val="28"/>
          <w:lang w:eastAsia="zh-CN"/>
        </w:rPr>
        <w:t>155.</w:t>
      </w:r>
      <w:r>
        <w:rPr>
          <w:rFonts w:eastAsia="宋体"/>
          <w:b/>
          <w:spacing w:val="-2"/>
          <w:sz w:val="28"/>
          <w:szCs w:val="28"/>
          <w:lang w:eastAsia="zh-CN"/>
        </w:rPr>
        <w:t>对于公司的影响报告，是否有任何指导方针或法律要求</w:t>
      </w:r>
      <w:r>
        <w:rPr>
          <w:rFonts w:eastAsia="宋体"/>
          <w:i/>
          <w:spacing w:val="-2"/>
          <w:sz w:val="28"/>
          <w:szCs w:val="28"/>
          <w:lang w:eastAsia="zh-CN"/>
        </w:rPr>
        <w:t>(</w:t>
      </w:r>
      <w:r>
        <w:rPr>
          <w:rFonts w:eastAsia="宋体"/>
          <w:i/>
          <w:spacing w:val="-7"/>
          <w:sz w:val="28"/>
          <w:szCs w:val="28"/>
          <w:lang w:eastAsia="zh-CN"/>
        </w:rPr>
        <w:t>即</w:t>
      </w:r>
      <w:r>
        <w:rPr>
          <w:rFonts w:eastAsia="宋体"/>
          <w:b/>
          <w:spacing w:val="-5"/>
          <w:sz w:val="28"/>
          <w:szCs w:val="28"/>
          <w:lang w:eastAsia="zh-CN"/>
        </w:rPr>
        <w:t>，</w:t>
      </w:r>
      <w:r>
        <w:rPr>
          <w:rFonts w:eastAsia="宋体"/>
          <w:i/>
          <w:spacing w:val="-2"/>
          <w:sz w:val="28"/>
          <w:szCs w:val="28"/>
          <w:lang w:eastAsia="zh-CN"/>
        </w:rPr>
        <w:t>由于绿色贷款/债券收益已分配的项目而可能产生的</w:t>
      </w:r>
      <w:r>
        <w:rPr>
          <w:rFonts w:eastAsia="宋体"/>
          <w:i/>
          <w:spacing w:val="-6"/>
          <w:sz w:val="28"/>
          <w:szCs w:val="28"/>
          <w:lang w:eastAsia="zh-CN"/>
        </w:rPr>
        <w:t>预期</w:t>
      </w:r>
      <w:r>
        <w:rPr>
          <w:rFonts w:eastAsia="宋体"/>
          <w:bCs/>
          <w:i/>
          <w:iCs/>
          <w:spacing w:val="-2"/>
          <w:sz w:val="28"/>
          <w:szCs w:val="28"/>
          <w:lang w:eastAsia="zh-CN"/>
        </w:rPr>
        <w:t>环境影响</w:t>
      </w:r>
      <w:r>
        <w:rPr>
          <w:rFonts w:eastAsia="宋体"/>
          <w:bCs/>
          <w:spacing w:val="-2"/>
          <w:sz w:val="28"/>
          <w:szCs w:val="28"/>
          <w:lang w:eastAsia="zh-CN"/>
        </w:rPr>
        <w:t>)</w:t>
      </w:r>
      <w:r>
        <w:rPr>
          <w:rFonts w:eastAsia="宋体"/>
          <w:b/>
          <w:spacing w:val="-5"/>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155a.有指导方针</w:t>
      </w:r>
    </w:p>
    <w:p>
      <w:pPr>
        <w:pStyle w:val="5"/>
        <w:spacing w:line="400" w:lineRule="exact"/>
        <w:ind w:firstLine="560" w:firstLineChars="200"/>
        <w:rPr>
          <w:rFonts w:eastAsia="宋体"/>
          <w:sz w:val="28"/>
          <w:szCs w:val="28"/>
          <w:lang w:eastAsia="zh-CN"/>
        </w:rPr>
      </w:pPr>
      <w:r>
        <w:rPr>
          <w:rFonts w:eastAsia="宋体"/>
          <w:sz w:val="28"/>
          <w:szCs w:val="28"/>
          <w:lang w:eastAsia="zh-CN"/>
        </w:rPr>
        <w:t>155b.有法律要求</w:t>
      </w:r>
    </w:p>
    <w:p>
      <w:pPr>
        <w:pStyle w:val="5"/>
        <w:spacing w:line="400" w:lineRule="exact"/>
        <w:ind w:firstLine="560" w:firstLineChars="200"/>
        <w:rPr>
          <w:rFonts w:eastAsia="宋体"/>
          <w:sz w:val="28"/>
          <w:szCs w:val="28"/>
          <w:lang w:eastAsia="zh-CN"/>
        </w:rPr>
      </w:pPr>
      <w:r>
        <w:rPr>
          <w:rFonts w:eastAsia="宋体"/>
          <w:sz w:val="28"/>
          <w:szCs w:val="28"/>
          <w:lang w:eastAsia="zh-CN"/>
        </w:rPr>
        <w:t>155c.正在制定指导方针或法律要求.</w:t>
      </w:r>
    </w:p>
    <w:p>
      <w:pPr>
        <w:pStyle w:val="5"/>
        <w:spacing w:line="400" w:lineRule="exact"/>
        <w:ind w:firstLine="560" w:firstLineChars="200"/>
        <w:rPr>
          <w:rFonts w:eastAsia="宋体"/>
          <w:sz w:val="28"/>
          <w:szCs w:val="28"/>
        </w:rPr>
      </w:pPr>
      <w:r>
        <w:rPr>
          <w:rFonts w:eastAsia="宋体"/>
          <w:sz w:val="28"/>
          <w:szCs w:val="28"/>
        </w:rPr>
        <w:t>155</w:t>
      </w:r>
      <w:r>
        <w:rPr>
          <w:rFonts w:eastAsia="宋体"/>
          <w:sz w:val="28"/>
          <w:szCs w:val="28"/>
          <w:lang w:eastAsia="zh-CN"/>
        </w:rPr>
        <w:t>d.</w:t>
      </w:r>
      <w:r>
        <w:rPr>
          <w:rFonts w:eastAsia="宋体"/>
          <w:sz w:val="28"/>
          <w:szCs w:val="28"/>
        </w:rPr>
        <w:t>没有</w:t>
      </w:r>
    </w:p>
    <w:p>
      <w:pPr>
        <w:sectPr>
          <w:pgSz w:w="12240" w:h="15840"/>
          <w:pgMar w:top="1440" w:right="1800" w:bottom="1440" w:left="1800" w:header="720" w:footer="720" w:gutter="0"/>
          <w:cols w:space="720" w:num="1"/>
        </w:sectPr>
      </w:pPr>
    </w:p>
    <w:tbl>
      <w:tblPr>
        <w:tblStyle w:val="8"/>
        <w:tblW w:w="8792"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13"/>
        <w:gridCol w:w="1181"/>
        <w:gridCol w:w="875"/>
        <w:gridCol w:w="10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8792" w:type="dxa"/>
            <w:gridSpan w:val="4"/>
            <w:shd w:val="clear" w:color="auto" w:fill="CCD4EA"/>
            <w:vAlign w:val="center"/>
          </w:tcPr>
          <w:p>
            <w:pPr>
              <w:pStyle w:val="12"/>
              <w:ind w:left="0"/>
              <w:jc w:val="both"/>
              <w:rPr>
                <w:rFonts w:eastAsia="宋体"/>
                <w:b/>
                <w:sz w:val="24"/>
                <w:szCs w:val="24"/>
                <w:lang w:eastAsia="zh-CN"/>
              </w:rPr>
            </w:pPr>
            <w:r>
              <w:rPr>
                <w:rFonts w:eastAsia="宋体"/>
                <w:b/>
                <w:color w:val="4471C4"/>
                <w:sz w:val="21"/>
                <w:szCs w:val="21"/>
                <w:lang w:eastAsia="zh-CN"/>
              </w:rPr>
              <w:t>2.7绿色金融的良好监管实践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8792" w:type="dxa"/>
            <w:gridSpan w:val="4"/>
            <w:shd w:val="clear" w:color="auto" w:fill="E7EBF5"/>
            <w:vAlign w:val="center"/>
          </w:tcPr>
          <w:p>
            <w:pPr>
              <w:pStyle w:val="12"/>
              <w:ind w:left="0"/>
              <w:jc w:val="both"/>
              <w:rPr>
                <w:rFonts w:eastAsia="宋体"/>
                <w:b/>
                <w:sz w:val="24"/>
                <w:szCs w:val="24"/>
              </w:rPr>
            </w:pPr>
            <w:r>
              <w:rPr>
                <w:rFonts w:eastAsia="宋体"/>
                <w:b/>
                <w:sz w:val="21"/>
                <w:szCs w:val="21"/>
              </w:rPr>
              <w:t>2.7.1</w:t>
            </w:r>
            <w:r>
              <w:rPr>
                <w:rFonts w:hint="eastAsia" w:eastAsia="宋体"/>
                <w:b/>
                <w:sz w:val="21"/>
                <w:szCs w:val="21"/>
                <w:lang w:eastAsia="zh-CN"/>
              </w:rPr>
              <w:t xml:space="preserve"> </w:t>
            </w:r>
            <w:r>
              <w:rPr>
                <w:rFonts w:eastAsia="宋体"/>
                <w:b/>
                <w:sz w:val="21"/>
                <w:szCs w:val="21"/>
              </w:rPr>
              <w:t>风险管理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13" w:type="dxa"/>
            <w:vAlign w:val="center"/>
          </w:tcPr>
          <w:p>
            <w:pPr>
              <w:pStyle w:val="12"/>
              <w:spacing w:before="36"/>
              <w:rPr>
                <w:rFonts w:eastAsia="宋体"/>
                <w:b/>
                <w:sz w:val="21"/>
                <w:szCs w:val="21"/>
              </w:rPr>
            </w:pPr>
            <w:r>
              <w:rPr>
                <w:rFonts w:eastAsia="宋体"/>
                <w:b/>
                <w:sz w:val="21"/>
                <w:szCs w:val="21"/>
              </w:rPr>
              <w:t>指标</w:t>
            </w:r>
          </w:p>
        </w:tc>
        <w:tc>
          <w:tcPr>
            <w:tcW w:w="1181" w:type="dxa"/>
            <w:vAlign w:val="center"/>
          </w:tcPr>
          <w:p>
            <w:pPr>
              <w:pStyle w:val="12"/>
              <w:ind w:left="0"/>
              <w:jc w:val="center"/>
              <w:rPr>
                <w:rFonts w:eastAsia="宋体"/>
                <w:b/>
                <w:sz w:val="21"/>
                <w:szCs w:val="21"/>
              </w:rPr>
            </w:pPr>
            <w:r>
              <w:rPr>
                <w:rFonts w:eastAsia="宋体"/>
                <w:b/>
                <w:spacing w:val="-5"/>
                <w:sz w:val="21"/>
                <w:szCs w:val="21"/>
              </w:rPr>
              <w:t>FFP</w:t>
            </w:r>
          </w:p>
        </w:tc>
        <w:tc>
          <w:tcPr>
            <w:tcW w:w="875" w:type="dxa"/>
            <w:vAlign w:val="center"/>
          </w:tcPr>
          <w:p>
            <w:pPr>
              <w:pStyle w:val="12"/>
              <w:ind w:left="0"/>
              <w:jc w:val="center"/>
              <w:rPr>
                <w:rFonts w:eastAsia="宋体"/>
                <w:b/>
                <w:sz w:val="21"/>
                <w:szCs w:val="21"/>
              </w:rPr>
            </w:pPr>
            <w:r>
              <w:rPr>
                <w:rFonts w:eastAsia="宋体"/>
                <w:b/>
                <w:spacing w:val="-5"/>
                <w:sz w:val="21"/>
                <w:szCs w:val="21"/>
              </w:rPr>
              <w:t>SBP</w:t>
            </w:r>
          </w:p>
        </w:tc>
        <w:tc>
          <w:tcPr>
            <w:tcW w:w="1023" w:type="dxa"/>
            <w:vAlign w:val="center"/>
          </w:tcPr>
          <w:p>
            <w:pPr>
              <w:pStyle w:val="12"/>
              <w:ind w:left="0"/>
              <w:jc w:val="center"/>
              <w:rPr>
                <w:rFonts w:eastAsia="宋体"/>
                <w:b/>
                <w:sz w:val="21"/>
                <w:szCs w:val="21"/>
              </w:rPr>
            </w:pPr>
            <w:r>
              <w:rPr>
                <w:rFonts w:hint="eastAsia" w:eastAsia="宋体"/>
                <w:b/>
                <w:sz w:val="21"/>
                <w:szCs w:val="21"/>
                <w:lang w:eastAsia="zh-CN"/>
              </w:rPr>
              <w:t>总</w:t>
            </w: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713" w:type="dxa"/>
            <w:vAlign w:val="center"/>
          </w:tcPr>
          <w:p>
            <w:pPr>
              <w:pStyle w:val="12"/>
              <w:spacing w:before="36"/>
              <w:rPr>
                <w:rFonts w:eastAsia="宋体"/>
                <w:b/>
                <w:sz w:val="21"/>
                <w:szCs w:val="21"/>
                <w:lang w:eastAsia="zh-CN"/>
              </w:rPr>
            </w:pPr>
            <w:r>
              <w:rPr>
                <w:rFonts w:eastAsia="宋体"/>
                <w:b/>
                <w:sz w:val="21"/>
                <w:szCs w:val="21"/>
                <w:lang w:eastAsia="zh-CN"/>
              </w:rPr>
              <w:t>将气候/环境风险纳入风险管理框架的要求</w:t>
            </w:r>
            <w:r>
              <w:rPr>
                <w:rFonts w:eastAsia="宋体"/>
                <w:bCs/>
                <w:sz w:val="21"/>
                <w:szCs w:val="21"/>
                <w:lang w:eastAsia="zh-CN"/>
              </w:rPr>
              <w:t>(148)</w:t>
            </w:r>
          </w:p>
        </w:tc>
        <w:tc>
          <w:tcPr>
            <w:tcW w:w="1181" w:type="dxa"/>
            <w:vAlign w:val="center"/>
          </w:tcPr>
          <w:p>
            <w:pPr>
              <w:pStyle w:val="12"/>
              <w:ind w:left="0"/>
              <w:jc w:val="center"/>
              <w:rPr>
                <w:rFonts w:eastAsia="宋体"/>
                <w:b/>
                <w:sz w:val="21"/>
                <w:szCs w:val="21"/>
                <w:lang w:eastAsia="zh-CN"/>
              </w:rPr>
            </w:pPr>
            <w:r>
              <w:rPr>
                <w:rFonts w:eastAsia="宋体"/>
                <w:b/>
                <w:spacing w:val="-4"/>
                <w:sz w:val="21"/>
                <w:szCs w:val="21"/>
                <w:lang w:eastAsia="zh-CN"/>
              </w:rPr>
              <w:t>不适用</w:t>
            </w:r>
          </w:p>
        </w:tc>
        <w:tc>
          <w:tcPr>
            <w:tcW w:w="875" w:type="dxa"/>
            <w:vAlign w:val="center"/>
          </w:tcPr>
          <w:p>
            <w:pPr>
              <w:pStyle w:val="12"/>
              <w:ind w:left="0"/>
              <w:jc w:val="center"/>
              <w:rPr>
                <w:rFonts w:eastAsia="宋体"/>
                <w:b/>
                <w:sz w:val="21"/>
                <w:szCs w:val="21"/>
              </w:rPr>
            </w:pPr>
            <w:r>
              <w:rPr>
                <w:rFonts w:eastAsia="宋体"/>
                <w:b/>
                <w:w w:val="99"/>
                <w:sz w:val="21"/>
                <w:szCs w:val="21"/>
              </w:rPr>
              <w:t>1</w:t>
            </w:r>
          </w:p>
        </w:tc>
        <w:tc>
          <w:tcPr>
            <w:tcW w:w="1023" w:type="dxa"/>
            <w:vAlign w:val="center"/>
          </w:tcPr>
          <w:p>
            <w:pPr>
              <w:pStyle w:val="12"/>
              <w:ind w:left="0"/>
              <w:jc w:val="center"/>
              <w:rPr>
                <w:rFonts w:eastAsia="宋体"/>
                <w:b/>
                <w:sz w:val="21"/>
                <w:szCs w:val="21"/>
              </w:rPr>
            </w:pPr>
            <w:r>
              <w:rPr>
                <w:rFonts w:eastAsia="宋体"/>
                <w:b/>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13" w:type="dxa"/>
            <w:shd w:val="clear" w:color="auto" w:fill="FFC000"/>
            <w:vAlign w:val="center"/>
          </w:tcPr>
          <w:p>
            <w:pPr>
              <w:pStyle w:val="12"/>
              <w:spacing w:before="36"/>
              <w:rPr>
                <w:rFonts w:eastAsia="宋体"/>
                <w:b/>
                <w:sz w:val="21"/>
                <w:szCs w:val="21"/>
                <w:lang w:eastAsia="zh-CN"/>
              </w:rPr>
            </w:pPr>
            <w:r>
              <w:rPr>
                <w:rFonts w:hint="eastAsia" w:eastAsia="宋体"/>
                <w:b/>
                <w:sz w:val="21"/>
                <w:szCs w:val="21"/>
                <w:lang w:eastAsia="zh-CN"/>
              </w:rPr>
              <w:t>总计</w:t>
            </w:r>
          </w:p>
        </w:tc>
        <w:tc>
          <w:tcPr>
            <w:tcW w:w="1181" w:type="dxa"/>
            <w:shd w:val="clear" w:color="auto" w:fill="FFC000"/>
            <w:vAlign w:val="center"/>
          </w:tcPr>
          <w:p>
            <w:pPr>
              <w:pStyle w:val="12"/>
              <w:ind w:left="0"/>
              <w:jc w:val="center"/>
              <w:rPr>
                <w:rFonts w:eastAsia="宋体"/>
                <w:b/>
                <w:sz w:val="21"/>
                <w:szCs w:val="21"/>
                <w:lang w:eastAsia="zh-CN"/>
              </w:rPr>
            </w:pPr>
            <w:r>
              <w:rPr>
                <w:rFonts w:eastAsia="宋体"/>
                <w:b/>
                <w:spacing w:val="-4"/>
                <w:sz w:val="21"/>
                <w:szCs w:val="21"/>
                <w:lang w:eastAsia="zh-CN"/>
              </w:rPr>
              <w:t>不适用</w:t>
            </w:r>
          </w:p>
        </w:tc>
        <w:tc>
          <w:tcPr>
            <w:tcW w:w="875" w:type="dxa"/>
            <w:shd w:val="clear" w:color="auto" w:fill="FFC000"/>
            <w:vAlign w:val="center"/>
          </w:tcPr>
          <w:p>
            <w:pPr>
              <w:pStyle w:val="12"/>
              <w:ind w:left="0"/>
              <w:jc w:val="center"/>
              <w:rPr>
                <w:rFonts w:eastAsia="宋体"/>
                <w:b/>
                <w:sz w:val="21"/>
                <w:szCs w:val="21"/>
              </w:rPr>
            </w:pPr>
            <w:r>
              <w:rPr>
                <w:rFonts w:eastAsia="宋体"/>
                <w:b/>
                <w:w w:val="99"/>
                <w:sz w:val="21"/>
                <w:szCs w:val="21"/>
              </w:rPr>
              <w:t>1</w:t>
            </w:r>
          </w:p>
        </w:tc>
        <w:tc>
          <w:tcPr>
            <w:tcW w:w="1023" w:type="dxa"/>
            <w:shd w:val="clear" w:color="auto" w:fill="FFC000"/>
            <w:vAlign w:val="center"/>
          </w:tcPr>
          <w:p>
            <w:pPr>
              <w:pStyle w:val="12"/>
              <w:ind w:left="0"/>
              <w:jc w:val="center"/>
              <w:rPr>
                <w:rFonts w:eastAsia="宋体"/>
                <w:b/>
                <w:sz w:val="21"/>
                <w:szCs w:val="21"/>
              </w:rPr>
            </w:pPr>
            <w:r>
              <w:rPr>
                <w:rFonts w:eastAsia="宋体"/>
                <w:b/>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8792" w:type="dxa"/>
            <w:gridSpan w:val="4"/>
            <w:shd w:val="clear" w:color="auto" w:fill="E7EBF5"/>
            <w:vAlign w:val="center"/>
          </w:tcPr>
          <w:p>
            <w:pPr>
              <w:pStyle w:val="12"/>
              <w:spacing w:before="36"/>
              <w:rPr>
                <w:rFonts w:eastAsia="宋体"/>
                <w:b/>
                <w:sz w:val="21"/>
                <w:szCs w:val="21"/>
              </w:rPr>
            </w:pPr>
            <w:r>
              <w:rPr>
                <w:rFonts w:eastAsia="宋体"/>
                <w:b/>
                <w:sz w:val="21"/>
                <w:szCs w:val="21"/>
              </w:rPr>
              <w:t>2.7.2 披露要求和影响报告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13" w:type="dxa"/>
            <w:vAlign w:val="center"/>
          </w:tcPr>
          <w:p>
            <w:pPr>
              <w:pStyle w:val="12"/>
              <w:spacing w:before="36"/>
              <w:rPr>
                <w:rFonts w:eastAsia="宋体"/>
                <w:b/>
                <w:sz w:val="21"/>
                <w:szCs w:val="21"/>
              </w:rPr>
            </w:pPr>
            <w:r>
              <w:rPr>
                <w:rFonts w:eastAsia="宋体"/>
                <w:b/>
                <w:sz w:val="21"/>
                <w:szCs w:val="21"/>
              </w:rPr>
              <w:t>指标</w:t>
            </w:r>
          </w:p>
        </w:tc>
        <w:tc>
          <w:tcPr>
            <w:tcW w:w="1181" w:type="dxa"/>
            <w:vAlign w:val="center"/>
          </w:tcPr>
          <w:p>
            <w:pPr>
              <w:pStyle w:val="12"/>
              <w:ind w:left="0"/>
              <w:jc w:val="center"/>
              <w:rPr>
                <w:rFonts w:eastAsia="宋体"/>
                <w:b/>
                <w:sz w:val="21"/>
                <w:szCs w:val="21"/>
              </w:rPr>
            </w:pPr>
            <w:r>
              <w:rPr>
                <w:rFonts w:eastAsia="宋体"/>
                <w:b/>
                <w:spacing w:val="-5"/>
                <w:sz w:val="21"/>
                <w:szCs w:val="21"/>
              </w:rPr>
              <w:t>FFP</w:t>
            </w:r>
          </w:p>
        </w:tc>
        <w:tc>
          <w:tcPr>
            <w:tcW w:w="875" w:type="dxa"/>
            <w:vAlign w:val="center"/>
          </w:tcPr>
          <w:p>
            <w:pPr>
              <w:pStyle w:val="12"/>
              <w:ind w:left="0"/>
              <w:jc w:val="center"/>
              <w:rPr>
                <w:rFonts w:eastAsia="宋体"/>
                <w:b/>
                <w:sz w:val="21"/>
                <w:szCs w:val="21"/>
              </w:rPr>
            </w:pPr>
            <w:r>
              <w:rPr>
                <w:rFonts w:eastAsia="宋体"/>
                <w:b/>
                <w:spacing w:val="-5"/>
                <w:sz w:val="21"/>
                <w:szCs w:val="21"/>
              </w:rPr>
              <w:t>SBP</w:t>
            </w:r>
          </w:p>
        </w:tc>
        <w:tc>
          <w:tcPr>
            <w:tcW w:w="1023" w:type="dxa"/>
            <w:vAlign w:val="center"/>
          </w:tcPr>
          <w:p>
            <w:pPr>
              <w:pStyle w:val="12"/>
              <w:ind w:left="0"/>
              <w:jc w:val="center"/>
              <w:rPr>
                <w:rFonts w:eastAsia="宋体"/>
                <w:b/>
                <w:sz w:val="21"/>
                <w:szCs w:val="21"/>
              </w:rPr>
            </w:pPr>
            <w:r>
              <w:rPr>
                <w:rFonts w:hint="eastAsia" w:eastAsia="宋体"/>
                <w:b/>
                <w:sz w:val="21"/>
                <w:szCs w:val="21"/>
                <w:lang w:eastAsia="zh-CN"/>
              </w:rPr>
              <w:t>总</w:t>
            </w: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5713" w:type="dxa"/>
            <w:vAlign w:val="center"/>
          </w:tcPr>
          <w:p>
            <w:pPr>
              <w:pStyle w:val="12"/>
              <w:spacing w:before="36"/>
              <w:rPr>
                <w:rFonts w:eastAsia="宋体"/>
                <w:b/>
                <w:sz w:val="21"/>
                <w:szCs w:val="21"/>
                <w:lang w:eastAsia="zh-CN"/>
              </w:rPr>
            </w:pPr>
            <w:r>
              <w:rPr>
                <w:rFonts w:eastAsia="宋体"/>
                <w:b/>
                <w:sz w:val="21"/>
                <w:szCs w:val="21"/>
                <w:lang w:eastAsia="zh-CN"/>
              </w:rPr>
              <w:t>与气候相关财务披露要求</w:t>
            </w:r>
            <w:r>
              <w:rPr>
                <w:rFonts w:eastAsia="宋体"/>
                <w:bCs/>
                <w:sz w:val="21"/>
                <w:szCs w:val="21"/>
                <w:lang w:eastAsia="zh-CN"/>
              </w:rPr>
              <w:t>(149分)</w:t>
            </w:r>
          </w:p>
        </w:tc>
        <w:tc>
          <w:tcPr>
            <w:tcW w:w="1181" w:type="dxa"/>
            <w:vAlign w:val="center"/>
          </w:tcPr>
          <w:p>
            <w:pPr>
              <w:pStyle w:val="12"/>
              <w:ind w:left="0"/>
              <w:jc w:val="center"/>
              <w:rPr>
                <w:rFonts w:eastAsia="宋体"/>
                <w:b/>
                <w:sz w:val="21"/>
                <w:szCs w:val="21"/>
                <w:lang w:eastAsia="zh-CN"/>
              </w:rPr>
            </w:pPr>
            <w:r>
              <w:rPr>
                <w:rFonts w:eastAsia="宋体"/>
                <w:b/>
                <w:spacing w:val="-4"/>
                <w:sz w:val="21"/>
                <w:szCs w:val="21"/>
                <w:lang w:eastAsia="zh-CN"/>
              </w:rPr>
              <w:t>不适用</w:t>
            </w:r>
          </w:p>
        </w:tc>
        <w:tc>
          <w:tcPr>
            <w:tcW w:w="875" w:type="dxa"/>
            <w:vAlign w:val="center"/>
          </w:tcPr>
          <w:p>
            <w:pPr>
              <w:pStyle w:val="12"/>
              <w:ind w:left="0"/>
              <w:jc w:val="center"/>
              <w:rPr>
                <w:rFonts w:eastAsia="宋体"/>
                <w:b/>
                <w:sz w:val="21"/>
                <w:szCs w:val="21"/>
              </w:rPr>
            </w:pPr>
            <w:r>
              <w:rPr>
                <w:rFonts w:eastAsia="宋体"/>
                <w:b/>
                <w:w w:val="99"/>
                <w:sz w:val="21"/>
                <w:szCs w:val="21"/>
              </w:rPr>
              <w:t>1</w:t>
            </w:r>
          </w:p>
        </w:tc>
        <w:tc>
          <w:tcPr>
            <w:tcW w:w="1023" w:type="dxa"/>
            <w:vAlign w:val="center"/>
          </w:tcPr>
          <w:p>
            <w:pPr>
              <w:pStyle w:val="12"/>
              <w:ind w:left="0"/>
              <w:jc w:val="center"/>
              <w:rPr>
                <w:rFonts w:eastAsia="宋体"/>
                <w:b/>
                <w:sz w:val="21"/>
                <w:szCs w:val="21"/>
              </w:rPr>
            </w:pPr>
            <w:r>
              <w:rPr>
                <w:rFonts w:eastAsia="宋体"/>
                <w:b/>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713" w:type="dxa"/>
            <w:vAlign w:val="center"/>
          </w:tcPr>
          <w:p>
            <w:pPr>
              <w:pStyle w:val="12"/>
              <w:spacing w:before="36"/>
              <w:rPr>
                <w:rFonts w:eastAsia="宋体"/>
                <w:b/>
                <w:sz w:val="21"/>
                <w:szCs w:val="21"/>
                <w:lang w:eastAsia="zh-CN"/>
              </w:rPr>
            </w:pPr>
            <w:r>
              <w:rPr>
                <w:rFonts w:eastAsia="宋体"/>
                <w:b/>
                <w:sz w:val="21"/>
                <w:szCs w:val="21"/>
                <w:lang w:eastAsia="zh-CN"/>
              </w:rPr>
              <w:t>披露投资对环境影响的要求</w:t>
            </w:r>
          </w:p>
          <w:p>
            <w:pPr>
              <w:pStyle w:val="12"/>
              <w:spacing w:before="36"/>
              <w:rPr>
                <w:rFonts w:eastAsia="宋体"/>
                <w:b/>
                <w:sz w:val="21"/>
                <w:szCs w:val="21"/>
              </w:rPr>
            </w:pPr>
            <w:r>
              <w:rPr>
                <w:rFonts w:eastAsia="宋体"/>
                <w:bCs/>
                <w:sz w:val="21"/>
                <w:szCs w:val="21"/>
              </w:rPr>
              <w:t>(155)</w:t>
            </w:r>
          </w:p>
        </w:tc>
        <w:tc>
          <w:tcPr>
            <w:tcW w:w="1181" w:type="dxa"/>
            <w:vAlign w:val="center"/>
          </w:tcPr>
          <w:p>
            <w:pPr>
              <w:pStyle w:val="12"/>
              <w:ind w:left="0"/>
              <w:jc w:val="center"/>
              <w:rPr>
                <w:rFonts w:eastAsia="宋体"/>
                <w:b/>
                <w:sz w:val="21"/>
                <w:szCs w:val="21"/>
                <w:lang w:eastAsia="zh-CN"/>
              </w:rPr>
            </w:pPr>
            <w:r>
              <w:rPr>
                <w:rFonts w:eastAsia="宋体"/>
                <w:b/>
                <w:spacing w:val="-4"/>
                <w:sz w:val="21"/>
                <w:szCs w:val="21"/>
                <w:lang w:eastAsia="zh-CN"/>
              </w:rPr>
              <w:t>不适用</w:t>
            </w:r>
          </w:p>
        </w:tc>
        <w:tc>
          <w:tcPr>
            <w:tcW w:w="875" w:type="dxa"/>
            <w:vAlign w:val="center"/>
          </w:tcPr>
          <w:p>
            <w:pPr>
              <w:pStyle w:val="12"/>
              <w:ind w:left="0"/>
              <w:jc w:val="center"/>
              <w:rPr>
                <w:rFonts w:eastAsia="宋体"/>
                <w:b/>
                <w:sz w:val="21"/>
                <w:szCs w:val="21"/>
              </w:rPr>
            </w:pPr>
            <w:r>
              <w:rPr>
                <w:rFonts w:eastAsia="宋体"/>
                <w:b/>
                <w:w w:val="99"/>
                <w:sz w:val="21"/>
                <w:szCs w:val="21"/>
              </w:rPr>
              <w:t>1</w:t>
            </w:r>
          </w:p>
        </w:tc>
        <w:tc>
          <w:tcPr>
            <w:tcW w:w="1023" w:type="dxa"/>
            <w:vAlign w:val="center"/>
          </w:tcPr>
          <w:p>
            <w:pPr>
              <w:pStyle w:val="12"/>
              <w:ind w:left="0"/>
              <w:jc w:val="center"/>
              <w:rPr>
                <w:rFonts w:eastAsia="宋体"/>
                <w:b/>
                <w:sz w:val="21"/>
                <w:szCs w:val="21"/>
              </w:rPr>
            </w:pPr>
            <w:r>
              <w:rPr>
                <w:rFonts w:eastAsia="宋体"/>
                <w:b/>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13" w:type="dxa"/>
            <w:shd w:val="clear" w:color="auto" w:fill="FFC000"/>
            <w:vAlign w:val="center"/>
          </w:tcPr>
          <w:p>
            <w:pPr>
              <w:pStyle w:val="12"/>
              <w:spacing w:before="36"/>
              <w:rPr>
                <w:rFonts w:eastAsia="宋体"/>
                <w:b/>
                <w:sz w:val="21"/>
                <w:szCs w:val="21"/>
                <w:lang w:eastAsia="zh-CN"/>
              </w:rPr>
            </w:pPr>
            <w:r>
              <w:rPr>
                <w:rFonts w:hint="eastAsia" w:eastAsia="宋体"/>
                <w:b/>
                <w:sz w:val="21"/>
                <w:szCs w:val="21"/>
                <w:lang w:eastAsia="zh-CN"/>
              </w:rPr>
              <w:t>总计</w:t>
            </w:r>
          </w:p>
        </w:tc>
        <w:tc>
          <w:tcPr>
            <w:tcW w:w="1181" w:type="dxa"/>
            <w:shd w:val="clear" w:color="auto" w:fill="FFC000"/>
            <w:vAlign w:val="center"/>
          </w:tcPr>
          <w:p>
            <w:pPr>
              <w:pStyle w:val="12"/>
              <w:ind w:left="0"/>
              <w:jc w:val="center"/>
              <w:rPr>
                <w:rFonts w:eastAsia="宋体"/>
                <w:b/>
                <w:sz w:val="21"/>
                <w:szCs w:val="21"/>
                <w:lang w:eastAsia="zh-CN"/>
              </w:rPr>
            </w:pPr>
            <w:r>
              <w:rPr>
                <w:rFonts w:eastAsia="宋体"/>
                <w:b/>
                <w:spacing w:val="-4"/>
                <w:sz w:val="21"/>
                <w:szCs w:val="21"/>
                <w:lang w:eastAsia="zh-CN"/>
              </w:rPr>
              <w:t>不适用</w:t>
            </w:r>
          </w:p>
        </w:tc>
        <w:tc>
          <w:tcPr>
            <w:tcW w:w="875" w:type="dxa"/>
            <w:shd w:val="clear" w:color="auto" w:fill="FFC000"/>
            <w:vAlign w:val="center"/>
          </w:tcPr>
          <w:p>
            <w:pPr>
              <w:pStyle w:val="12"/>
              <w:ind w:left="0"/>
              <w:jc w:val="center"/>
              <w:rPr>
                <w:rFonts w:eastAsia="宋体"/>
                <w:b/>
                <w:sz w:val="21"/>
                <w:szCs w:val="21"/>
              </w:rPr>
            </w:pPr>
            <w:r>
              <w:rPr>
                <w:rFonts w:eastAsia="宋体"/>
                <w:b/>
                <w:w w:val="99"/>
                <w:sz w:val="21"/>
                <w:szCs w:val="21"/>
              </w:rPr>
              <w:t>2</w:t>
            </w:r>
          </w:p>
        </w:tc>
        <w:tc>
          <w:tcPr>
            <w:tcW w:w="1023" w:type="dxa"/>
            <w:shd w:val="clear" w:color="auto" w:fill="FFC000"/>
            <w:vAlign w:val="center"/>
          </w:tcPr>
          <w:p>
            <w:pPr>
              <w:pStyle w:val="12"/>
              <w:ind w:left="0"/>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8792" w:type="dxa"/>
            <w:gridSpan w:val="4"/>
            <w:shd w:val="clear" w:color="auto" w:fill="E7EBF5"/>
            <w:vAlign w:val="center"/>
          </w:tcPr>
          <w:p>
            <w:pPr>
              <w:pStyle w:val="12"/>
              <w:spacing w:before="36"/>
              <w:rPr>
                <w:rFonts w:eastAsia="宋体"/>
                <w:b/>
                <w:sz w:val="21"/>
                <w:szCs w:val="21"/>
                <w:lang w:eastAsia="zh-CN"/>
              </w:rPr>
            </w:pPr>
            <w:r>
              <w:rPr>
                <w:rFonts w:eastAsia="宋体"/>
                <w:b/>
                <w:sz w:val="21"/>
                <w:szCs w:val="21"/>
                <w:lang w:eastAsia="zh-CN"/>
              </w:rPr>
              <w:t>2.7.3 绿色融资的可获得性和绿色原则的采用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5713" w:type="dxa"/>
            <w:vAlign w:val="center"/>
          </w:tcPr>
          <w:p>
            <w:pPr>
              <w:pStyle w:val="12"/>
              <w:spacing w:before="36"/>
              <w:rPr>
                <w:rFonts w:eastAsia="宋体"/>
                <w:b/>
                <w:sz w:val="21"/>
                <w:szCs w:val="21"/>
              </w:rPr>
            </w:pPr>
            <w:r>
              <w:rPr>
                <w:rFonts w:eastAsia="宋体"/>
                <w:b/>
                <w:sz w:val="21"/>
                <w:szCs w:val="21"/>
              </w:rPr>
              <w:t>指标</w:t>
            </w:r>
          </w:p>
        </w:tc>
        <w:tc>
          <w:tcPr>
            <w:tcW w:w="1181" w:type="dxa"/>
            <w:vAlign w:val="center"/>
          </w:tcPr>
          <w:p>
            <w:pPr>
              <w:pStyle w:val="12"/>
              <w:ind w:left="0"/>
              <w:jc w:val="center"/>
              <w:rPr>
                <w:rFonts w:eastAsia="宋体"/>
                <w:b/>
                <w:sz w:val="21"/>
                <w:szCs w:val="21"/>
              </w:rPr>
            </w:pPr>
            <w:r>
              <w:rPr>
                <w:rFonts w:eastAsia="宋体"/>
                <w:b/>
                <w:spacing w:val="-5"/>
                <w:sz w:val="21"/>
                <w:szCs w:val="21"/>
              </w:rPr>
              <w:t>FFP</w:t>
            </w:r>
          </w:p>
        </w:tc>
        <w:tc>
          <w:tcPr>
            <w:tcW w:w="875" w:type="dxa"/>
            <w:vAlign w:val="center"/>
          </w:tcPr>
          <w:p>
            <w:pPr>
              <w:pStyle w:val="12"/>
              <w:ind w:left="0"/>
              <w:jc w:val="center"/>
              <w:rPr>
                <w:rFonts w:eastAsia="宋体"/>
                <w:b/>
                <w:sz w:val="21"/>
                <w:szCs w:val="21"/>
              </w:rPr>
            </w:pPr>
            <w:r>
              <w:rPr>
                <w:rFonts w:eastAsia="宋体"/>
                <w:b/>
                <w:spacing w:val="-5"/>
                <w:sz w:val="21"/>
                <w:szCs w:val="21"/>
              </w:rPr>
              <w:t>SBP</w:t>
            </w:r>
          </w:p>
        </w:tc>
        <w:tc>
          <w:tcPr>
            <w:tcW w:w="1023" w:type="dxa"/>
            <w:vAlign w:val="center"/>
          </w:tcPr>
          <w:p>
            <w:pPr>
              <w:pStyle w:val="12"/>
              <w:ind w:left="0"/>
              <w:jc w:val="center"/>
              <w:rPr>
                <w:rFonts w:eastAsia="宋体"/>
                <w:b/>
                <w:sz w:val="21"/>
                <w:szCs w:val="21"/>
              </w:rPr>
            </w:pPr>
            <w:r>
              <w:rPr>
                <w:rFonts w:hint="eastAsia" w:eastAsia="宋体"/>
                <w:b/>
                <w:sz w:val="21"/>
                <w:szCs w:val="21"/>
                <w:lang w:eastAsia="zh-CN"/>
              </w:rPr>
              <w:t>总</w:t>
            </w: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713" w:type="dxa"/>
            <w:vAlign w:val="center"/>
          </w:tcPr>
          <w:p>
            <w:pPr>
              <w:pStyle w:val="12"/>
              <w:spacing w:before="36"/>
              <w:rPr>
                <w:rFonts w:eastAsia="宋体"/>
                <w:b/>
                <w:sz w:val="21"/>
                <w:szCs w:val="21"/>
                <w:lang w:eastAsia="zh-CN"/>
              </w:rPr>
            </w:pPr>
            <w:r>
              <w:rPr>
                <w:rFonts w:eastAsia="宋体"/>
                <w:b/>
                <w:sz w:val="21"/>
                <w:szCs w:val="21"/>
                <w:lang w:eastAsia="zh-CN"/>
              </w:rPr>
              <w:t>绿色融资框架的可获得性</w:t>
            </w:r>
          </w:p>
          <w:p>
            <w:pPr>
              <w:pStyle w:val="12"/>
              <w:spacing w:before="36"/>
              <w:rPr>
                <w:rFonts w:eastAsia="宋体"/>
                <w:b/>
                <w:sz w:val="21"/>
                <w:szCs w:val="21"/>
              </w:rPr>
            </w:pPr>
            <w:r>
              <w:rPr>
                <w:rFonts w:eastAsia="宋体"/>
                <w:b/>
                <w:sz w:val="21"/>
                <w:szCs w:val="21"/>
              </w:rPr>
              <w:t>绿色贷款发放框架</w:t>
            </w:r>
            <w:r>
              <w:rPr>
                <w:rFonts w:eastAsia="宋体"/>
                <w:bCs/>
                <w:sz w:val="21"/>
                <w:szCs w:val="21"/>
              </w:rPr>
              <w:t>(150)</w:t>
            </w:r>
          </w:p>
        </w:tc>
        <w:tc>
          <w:tcPr>
            <w:tcW w:w="1181" w:type="dxa"/>
            <w:vAlign w:val="center"/>
          </w:tcPr>
          <w:p>
            <w:pPr>
              <w:pStyle w:val="12"/>
              <w:ind w:left="0"/>
              <w:jc w:val="center"/>
              <w:rPr>
                <w:rFonts w:eastAsia="宋体"/>
                <w:b/>
                <w:sz w:val="21"/>
                <w:szCs w:val="21"/>
              </w:rPr>
            </w:pPr>
            <w:r>
              <w:rPr>
                <w:rFonts w:eastAsia="宋体"/>
                <w:b/>
                <w:w w:val="99"/>
                <w:sz w:val="21"/>
                <w:szCs w:val="21"/>
              </w:rPr>
              <w:t>1</w:t>
            </w:r>
          </w:p>
          <w:p>
            <w:pPr>
              <w:pStyle w:val="12"/>
              <w:ind w:left="0"/>
              <w:jc w:val="center"/>
              <w:rPr>
                <w:rFonts w:eastAsia="宋体"/>
                <w:sz w:val="21"/>
                <w:szCs w:val="21"/>
              </w:rPr>
            </w:pPr>
            <w:r>
              <w:rPr>
                <w:rFonts w:eastAsia="宋体"/>
                <w:w w:val="99"/>
                <w:sz w:val="21"/>
                <w:szCs w:val="21"/>
              </w:rPr>
              <w:t>1</w:t>
            </w:r>
          </w:p>
        </w:tc>
        <w:tc>
          <w:tcPr>
            <w:tcW w:w="875" w:type="dxa"/>
            <w:vAlign w:val="center"/>
          </w:tcPr>
          <w:p>
            <w:pPr>
              <w:pStyle w:val="12"/>
              <w:ind w:left="0"/>
              <w:jc w:val="center"/>
              <w:rPr>
                <w:rFonts w:eastAsia="宋体"/>
                <w:b/>
                <w:sz w:val="21"/>
                <w:szCs w:val="21"/>
              </w:rPr>
            </w:pPr>
            <w:r>
              <w:rPr>
                <w:rFonts w:eastAsia="宋体"/>
                <w:b/>
                <w:w w:val="99"/>
                <w:sz w:val="21"/>
                <w:szCs w:val="21"/>
              </w:rPr>
              <w:t>1</w:t>
            </w:r>
          </w:p>
          <w:p>
            <w:pPr>
              <w:pStyle w:val="12"/>
              <w:ind w:left="0"/>
              <w:jc w:val="center"/>
              <w:rPr>
                <w:rFonts w:eastAsia="宋体"/>
                <w:sz w:val="21"/>
                <w:szCs w:val="21"/>
              </w:rPr>
            </w:pPr>
            <w:r>
              <w:rPr>
                <w:rFonts w:eastAsia="宋体"/>
                <w:w w:val="99"/>
                <w:sz w:val="21"/>
                <w:szCs w:val="21"/>
              </w:rPr>
              <w:t>1</w:t>
            </w:r>
          </w:p>
        </w:tc>
        <w:tc>
          <w:tcPr>
            <w:tcW w:w="1023" w:type="dxa"/>
            <w:vAlign w:val="center"/>
          </w:tcPr>
          <w:p>
            <w:pPr>
              <w:pStyle w:val="12"/>
              <w:ind w:left="0"/>
              <w:jc w:val="center"/>
              <w:rPr>
                <w:rFonts w:eastAsia="宋体"/>
                <w:b/>
                <w:sz w:val="21"/>
                <w:szCs w:val="21"/>
              </w:rPr>
            </w:pPr>
            <w:r>
              <w:rPr>
                <w:rFonts w:eastAsia="宋体"/>
                <w:b/>
                <w:w w:val="99"/>
                <w:sz w:val="21"/>
                <w:szCs w:val="21"/>
              </w:rPr>
              <w:t>2</w:t>
            </w:r>
          </w:p>
          <w:p>
            <w:pPr>
              <w:pStyle w:val="12"/>
              <w:ind w:left="0"/>
              <w:jc w:val="center"/>
              <w:rPr>
                <w:rFonts w:eastAsia="宋体"/>
                <w:sz w:val="21"/>
                <w:szCs w:val="21"/>
              </w:rPr>
            </w:pPr>
            <w:r>
              <w:rPr>
                <w:rFonts w:eastAsia="宋体"/>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713" w:type="dxa"/>
            <w:vAlign w:val="center"/>
          </w:tcPr>
          <w:p>
            <w:pPr>
              <w:pStyle w:val="12"/>
              <w:spacing w:before="36"/>
              <w:rPr>
                <w:rFonts w:eastAsia="宋体"/>
                <w:b/>
                <w:sz w:val="21"/>
                <w:szCs w:val="21"/>
              </w:rPr>
            </w:pPr>
            <w:r>
              <w:rPr>
                <w:rFonts w:eastAsia="宋体"/>
                <w:b/>
                <w:sz w:val="21"/>
                <w:szCs w:val="21"/>
              </w:rPr>
              <w:t>绿色贷款外部审查要求</w:t>
            </w:r>
            <w:r>
              <w:rPr>
                <w:rFonts w:eastAsia="宋体"/>
                <w:b/>
                <w:sz w:val="21"/>
                <w:szCs w:val="21"/>
                <w:lang w:eastAsia="zh-CN"/>
              </w:rPr>
              <w:t>的指导</w:t>
            </w:r>
            <w:r>
              <w:rPr>
                <w:rFonts w:eastAsia="宋体"/>
                <w:bCs/>
                <w:sz w:val="21"/>
                <w:szCs w:val="21"/>
                <w:lang w:eastAsia="zh-CN"/>
              </w:rPr>
              <w:t>方针</w:t>
            </w:r>
            <w:r>
              <w:rPr>
                <w:rFonts w:eastAsia="宋体"/>
                <w:bCs/>
                <w:sz w:val="21"/>
                <w:szCs w:val="21"/>
              </w:rPr>
              <w:t>(151a OR 151b或151c OR 151d)</w:t>
            </w:r>
          </w:p>
        </w:tc>
        <w:tc>
          <w:tcPr>
            <w:tcW w:w="1181" w:type="dxa"/>
            <w:vAlign w:val="center"/>
          </w:tcPr>
          <w:p>
            <w:pPr>
              <w:pStyle w:val="12"/>
              <w:ind w:left="0"/>
              <w:jc w:val="center"/>
              <w:rPr>
                <w:rFonts w:eastAsia="宋体"/>
                <w:b/>
                <w:sz w:val="21"/>
                <w:szCs w:val="21"/>
                <w:lang w:eastAsia="zh-CN"/>
              </w:rPr>
            </w:pPr>
            <w:r>
              <w:rPr>
                <w:rFonts w:eastAsia="宋体"/>
                <w:b/>
                <w:spacing w:val="-4"/>
                <w:sz w:val="21"/>
                <w:szCs w:val="21"/>
                <w:lang w:eastAsia="zh-CN"/>
              </w:rPr>
              <w:t>不适用</w:t>
            </w:r>
          </w:p>
        </w:tc>
        <w:tc>
          <w:tcPr>
            <w:tcW w:w="875" w:type="dxa"/>
            <w:vAlign w:val="center"/>
          </w:tcPr>
          <w:p>
            <w:pPr>
              <w:pStyle w:val="12"/>
              <w:ind w:left="0"/>
              <w:jc w:val="center"/>
              <w:rPr>
                <w:rFonts w:eastAsia="宋体"/>
                <w:b/>
                <w:sz w:val="21"/>
                <w:szCs w:val="21"/>
              </w:rPr>
            </w:pPr>
            <w:r>
              <w:rPr>
                <w:rFonts w:eastAsia="宋体"/>
                <w:b/>
                <w:w w:val="99"/>
                <w:sz w:val="21"/>
                <w:szCs w:val="21"/>
              </w:rPr>
              <w:t>1</w:t>
            </w:r>
          </w:p>
        </w:tc>
        <w:tc>
          <w:tcPr>
            <w:tcW w:w="1023" w:type="dxa"/>
            <w:vAlign w:val="center"/>
          </w:tcPr>
          <w:p>
            <w:pPr>
              <w:pStyle w:val="12"/>
              <w:ind w:left="0"/>
              <w:jc w:val="center"/>
              <w:rPr>
                <w:rFonts w:eastAsia="宋体"/>
                <w:b/>
                <w:sz w:val="21"/>
                <w:szCs w:val="21"/>
              </w:rPr>
            </w:pPr>
            <w:r>
              <w:rPr>
                <w:rFonts w:eastAsia="宋体"/>
                <w:b/>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13" w:type="dxa"/>
            <w:shd w:val="clear" w:color="auto" w:fill="FFC000"/>
            <w:vAlign w:val="center"/>
          </w:tcPr>
          <w:p>
            <w:pPr>
              <w:pStyle w:val="12"/>
              <w:spacing w:before="36"/>
              <w:rPr>
                <w:rFonts w:eastAsia="宋体"/>
                <w:b/>
                <w:sz w:val="21"/>
                <w:szCs w:val="21"/>
                <w:lang w:eastAsia="zh-CN"/>
              </w:rPr>
            </w:pPr>
            <w:r>
              <w:rPr>
                <w:rFonts w:hint="eastAsia" w:eastAsia="宋体"/>
                <w:b/>
                <w:sz w:val="21"/>
                <w:szCs w:val="21"/>
                <w:lang w:eastAsia="zh-CN"/>
              </w:rPr>
              <w:t>总计</w:t>
            </w:r>
          </w:p>
        </w:tc>
        <w:tc>
          <w:tcPr>
            <w:tcW w:w="1181" w:type="dxa"/>
            <w:shd w:val="clear" w:color="auto" w:fill="FFC000"/>
            <w:vAlign w:val="center"/>
          </w:tcPr>
          <w:p>
            <w:pPr>
              <w:pStyle w:val="12"/>
              <w:ind w:left="0"/>
              <w:jc w:val="center"/>
              <w:rPr>
                <w:rFonts w:eastAsia="宋体"/>
                <w:b/>
                <w:sz w:val="21"/>
                <w:szCs w:val="21"/>
              </w:rPr>
            </w:pPr>
            <w:r>
              <w:rPr>
                <w:rFonts w:eastAsia="宋体"/>
                <w:b/>
                <w:w w:val="99"/>
                <w:sz w:val="21"/>
                <w:szCs w:val="21"/>
              </w:rPr>
              <w:t>1</w:t>
            </w:r>
          </w:p>
        </w:tc>
        <w:tc>
          <w:tcPr>
            <w:tcW w:w="875" w:type="dxa"/>
            <w:shd w:val="clear" w:color="auto" w:fill="FFC000"/>
            <w:vAlign w:val="center"/>
          </w:tcPr>
          <w:p>
            <w:pPr>
              <w:pStyle w:val="12"/>
              <w:ind w:left="0"/>
              <w:jc w:val="center"/>
              <w:rPr>
                <w:rFonts w:eastAsia="宋体"/>
                <w:b/>
                <w:sz w:val="21"/>
                <w:szCs w:val="21"/>
              </w:rPr>
            </w:pPr>
            <w:r>
              <w:rPr>
                <w:rFonts w:eastAsia="宋体"/>
                <w:b/>
                <w:w w:val="99"/>
                <w:sz w:val="21"/>
                <w:szCs w:val="21"/>
              </w:rPr>
              <w:t>2</w:t>
            </w:r>
          </w:p>
        </w:tc>
        <w:tc>
          <w:tcPr>
            <w:tcW w:w="1023" w:type="dxa"/>
            <w:shd w:val="clear" w:color="auto" w:fill="FFC000"/>
            <w:vAlign w:val="center"/>
          </w:tcPr>
          <w:p>
            <w:pPr>
              <w:pStyle w:val="12"/>
              <w:ind w:left="0"/>
              <w:jc w:val="center"/>
              <w:rPr>
                <w:rFonts w:eastAsia="宋体"/>
                <w:b/>
                <w:sz w:val="21"/>
                <w:szCs w:val="21"/>
              </w:rPr>
            </w:pPr>
            <w:r>
              <w:rPr>
                <w:rFonts w:eastAsia="宋体"/>
                <w:b/>
                <w:w w:val="99"/>
                <w:sz w:val="21"/>
                <w:szCs w:val="21"/>
              </w:rPr>
              <w:t>3.</w:t>
            </w:r>
          </w:p>
        </w:tc>
      </w:tr>
    </w:tbl>
    <w:p>
      <w:pPr>
        <w:spacing w:line="400" w:lineRule="exact"/>
        <w:jc w:val="both"/>
        <w:rPr>
          <w:rFonts w:eastAsia="宋体"/>
          <w:sz w:val="21"/>
          <w:szCs w:val="21"/>
          <w:lang w:eastAsia="zh-CN"/>
        </w:rPr>
      </w:pPr>
      <w:r>
        <w:rPr>
          <w:rFonts w:eastAsia="宋体"/>
          <w:i/>
          <w:sz w:val="21"/>
          <w:szCs w:val="21"/>
          <w:lang w:eastAsia="zh-CN"/>
        </w:rPr>
        <w:t>注</w:t>
      </w:r>
      <w:r>
        <w:rPr>
          <w:rFonts w:hint="eastAsia" w:eastAsia="宋体"/>
          <w:i/>
          <w:sz w:val="21"/>
          <w:szCs w:val="21"/>
          <w:lang w:eastAsia="zh-CN"/>
        </w:rPr>
        <w:t>：</w:t>
      </w:r>
      <w:r>
        <w:rPr>
          <w:rFonts w:eastAsia="宋体"/>
          <w:sz w:val="21"/>
          <w:szCs w:val="21"/>
          <w:lang w:eastAsia="zh-CN"/>
        </w:rPr>
        <w:t>n.a. =不适用(指对企业或社会的影响不明确或不存在的情况)。FFP =企业灵活度得分</w:t>
      </w:r>
      <w:r>
        <w:rPr>
          <w:rFonts w:hint="eastAsia" w:eastAsia="宋体"/>
          <w:sz w:val="21"/>
          <w:szCs w:val="21"/>
          <w:lang w:eastAsia="zh-CN"/>
        </w:rPr>
        <w:t>；</w:t>
      </w:r>
      <w:r>
        <w:rPr>
          <w:rFonts w:eastAsia="宋体"/>
          <w:sz w:val="21"/>
          <w:szCs w:val="21"/>
          <w:lang w:eastAsia="zh-CN"/>
        </w:rPr>
        <w:t>SBP =社会效益得分。</w:t>
      </w:r>
    </w:p>
    <w:p>
      <w:pPr>
        <w:pStyle w:val="5"/>
        <w:spacing w:before="9"/>
        <w:rPr>
          <w:sz w:val="19"/>
          <w:lang w:eastAsia="zh-CN"/>
        </w:rPr>
      </w:pPr>
      <w:r>
        <mc:AlternateContent>
          <mc:Choice Requires="wps">
            <w:drawing>
              <wp:anchor distT="0" distB="0" distL="114300" distR="114300" simplePos="0" relativeHeight="251664384" behindDoc="1" locked="0" layoutInCell="1" allowOverlap="1">
                <wp:simplePos x="0" y="0"/>
                <wp:positionH relativeFrom="page">
                  <wp:posOffset>856615</wp:posOffset>
                </wp:positionH>
                <wp:positionV relativeFrom="paragraph">
                  <wp:posOffset>163195</wp:posOffset>
                </wp:positionV>
                <wp:extent cx="5999480" cy="373380"/>
                <wp:effectExtent l="4445" t="4445" r="15875" b="15875"/>
                <wp:wrapTopAndBottom/>
                <wp:docPr id="14" name="文本框 14"/>
                <wp:cNvGraphicFramePr/>
                <a:graphic xmlns:a="http://schemas.openxmlformats.org/drawingml/2006/main">
                  <a:graphicData uri="http://schemas.microsoft.com/office/word/2010/wordprocessingShape">
                    <wps:wsp>
                      <wps:cNvSpPr txBox="1"/>
                      <wps:spPr>
                        <a:xfrm>
                          <a:off x="0" y="0"/>
                          <a:ext cx="5999480" cy="373380"/>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58"/>
                              <w:ind w:left="103"/>
                              <w:rPr>
                                <w:rFonts w:eastAsia="宋体"/>
                                <w:b/>
                                <w:color w:val="000000"/>
                                <w:sz w:val="28"/>
                                <w:szCs w:val="28"/>
                                <w:lang w:eastAsia="zh-CN"/>
                              </w:rPr>
                            </w:pPr>
                            <w:r>
                              <w:rPr>
                                <w:rFonts w:eastAsia="宋体"/>
                                <w:b/>
                                <w:color w:val="FFFFFF"/>
                                <w:sz w:val="28"/>
                                <w:szCs w:val="28"/>
                                <w:lang w:eastAsia="zh-CN"/>
                              </w:rPr>
                              <w:t>维度 II——信贷基础设施信息的可及性和融资渠道</w:t>
                            </w:r>
                          </w:p>
                        </w:txbxContent>
                      </wps:txbx>
                      <wps:bodyPr lIns="0" tIns="0" rIns="0" bIns="0" upright="1"/>
                    </wps:wsp>
                  </a:graphicData>
                </a:graphic>
              </wp:anchor>
            </w:drawing>
          </mc:Choice>
          <mc:Fallback>
            <w:pict>
              <v:shape id="_x0000_s1026" o:spid="_x0000_s1026" o:spt="202" type="#_x0000_t202" style="position:absolute;left:0pt;margin-left:67.45pt;margin-top:12.85pt;height:29.4pt;width:472.4pt;mso-position-horizontal-relative:page;mso-wrap-distance-bottom:0pt;mso-wrap-distance-top:0pt;z-index:-251652096;mso-width-relative:page;mso-height-relative:page;" fillcolor="#0F6EC5" filled="t" stroked="t" coordsize="21600,21600" o:gfxdata="UEsDBAoAAAAAAIdO4kAAAAAAAAAAAAAAAAAEAAAAZHJzL1BLAwQUAAAACACHTuJA0W5VBtgAAAAK&#10;AQAADwAAAGRycy9kb3ducmV2LnhtbE2PwU7DMAyG70i8Q2Qkbixdt9Gta7oDCIG4TCuIc9p4baFx&#10;SpN24+3xTnDzL3/6/TnbnW0nJhx860jBfBaBQKqcaalW8P72dLcG4YMmoztHqOAHPezy66tMp8ad&#10;6IBTEWrBJeRTraAJoU+l9FWDVvuZ65F4d3SD1YHjUEsz6BOX207GUXQvrW6JLzS6x4cGq69itArG&#10;Mtbf8fPL4uPVT0VCuH/cf05K3d7Moy2IgOfwB8NFn9UhZ6fSjWS86DgvlhtGFcSrBMQFiJINT6WC&#10;9XIFMs/k/xfyX1BLAwQUAAAACACHTuJAUPcozR4CAABcBAAADgAAAGRycy9lMm9Eb2MueG1srVRL&#10;btswEN0X6B0I7mspceLGguUAjeOiQNEWSHsAmqIkAvyBQ1vyBdobdNVN9z2Xz9EhZTtx0oUX9UJ+&#10;nBm9mXkz1Oy214pshAdpTUkvRjklwnBbSdOU9NvX5ZsbSiAwUzFljSjpVgC9nb9+NetcIS5ta1Ul&#10;PEESA0XnStqG4IosA94KzWBknTDorK3XLODRN1nlWYfsWmWXeT7JOusr5y0XAGhdDE66Z/TnENq6&#10;llwsLF9rYcLA6oViAVuCVjqg81RtXQsePtc1iEBUSbHTkJ6YBPEqPrP5jBWNZ66VfF8CO6eEZz1p&#10;Jg0mPVItWGBk7eULKi25t2DrMOJWZ0MjSRHs4iJ/ps1Dy5xIvaDU4I6iw/+j5Z82XzyRFW7CFSWG&#10;aZz47ueP3a8/u9/fCdpQoM5BgXEPDiND/872GHywAxpj333tdfzHjgj6Ud7tUV7RB8LReD2dTq9u&#10;0MXRN347HiNG+uzxbechvBdWkwhK6nF8SVW2+QhhCD2ExGRglayWUql08M3qTnmyYXHUy8n93fWe&#10;/SRMGdKVdJJPJ1gHw/2tcW8QaocagGlSvpM34IQ4j79/EcfCFgzaoYDEEMNYoWUQPqFWsOreVCRs&#10;Hcps8HrRWIwWFSVK4G2MKEUGJtU5kaidMihhHNEwiohCv+qRJsKVrbY4NvXB4NLEC3AA/gBWB7B2&#10;XjYtyp6Gmyhx6dJ89hckbvXTc0r8+FGY/w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RblUG2AAA&#10;AAoBAAAPAAAAAAAAAAEAIAAAACIAAABkcnMvZG93bnJldi54bWxQSwECFAAUAAAACACHTuJAUPco&#10;zR4CAABcBAAADgAAAAAAAAABACAAAAAnAQAAZHJzL2Uyb0RvYy54bWxQSwUGAAAAAAYABgBZAQAA&#10;twUAAAAA&#10;">
                <v:fill on="t" focussize="0,0"/>
                <v:stroke weight="0.48pt" color="#000000" joinstyle="miter"/>
                <v:imagedata o:title=""/>
                <o:lock v:ext="edit" aspectratio="f"/>
                <v:textbox inset="0mm,0mm,0mm,0mm">
                  <w:txbxContent>
                    <w:p>
                      <w:pPr>
                        <w:spacing w:before="58"/>
                        <w:ind w:left="103"/>
                        <w:rPr>
                          <w:rFonts w:eastAsia="宋体"/>
                          <w:b/>
                          <w:color w:val="000000"/>
                          <w:sz w:val="28"/>
                          <w:szCs w:val="28"/>
                          <w:lang w:eastAsia="zh-CN"/>
                        </w:rPr>
                      </w:pPr>
                      <w:r>
                        <w:rPr>
                          <w:rFonts w:eastAsia="宋体"/>
                          <w:b/>
                          <w:color w:val="FFFFFF"/>
                          <w:sz w:val="28"/>
                          <w:szCs w:val="28"/>
                          <w:lang w:eastAsia="zh-CN"/>
                        </w:rPr>
                        <w:t>维度 II——信贷基础设施信息的可及性和融资渠道</w:t>
                      </w:r>
                    </w:p>
                  </w:txbxContent>
                </v:textbox>
                <w10:wrap type="topAndBottom"/>
              </v:shape>
            </w:pict>
          </mc:Fallback>
        </mc:AlternateContent>
      </w:r>
    </w:p>
    <w:p>
      <w:pPr>
        <w:pStyle w:val="5"/>
        <w:spacing w:before="3"/>
        <w:rPr>
          <w:sz w:val="14"/>
          <w:lang w:eastAsia="zh-CN"/>
        </w:rPr>
      </w:pPr>
    </w:p>
    <w:p>
      <w:pPr>
        <w:pStyle w:val="11"/>
        <w:tabs>
          <w:tab w:val="left" w:pos="652"/>
        </w:tabs>
        <w:spacing w:before="91" w:line="400" w:lineRule="exact"/>
        <w:ind w:right="203" w:hanging="560"/>
        <w:jc w:val="left"/>
        <w:rPr>
          <w:rFonts w:eastAsia="宋体"/>
          <w:sz w:val="28"/>
          <w:szCs w:val="28"/>
          <w:lang w:eastAsia="zh-CN"/>
        </w:rPr>
      </w:pPr>
      <w:r>
        <w:rPr>
          <w:rFonts w:eastAsia="宋体"/>
          <w:b/>
          <w:bCs/>
          <w:sz w:val="28"/>
          <w:szCs w:val="28"/>
          <w:lang w:eastAsia="zh-CN"/>
        </w:rPr>
        <w:t>156.</w:t>
      </w:r>
      <w:r>
        <w:rPr>
          <w:rFonts w:eastAsia="宋体"/>
          <w:b/>
          <w:sz w:val="28"/>
          <w:szCs w:val="28"/>
          <w:lang w:eastAsia="zh-CN"/>
        </w:rPr>
        <w:t>即使没有采用国家框架，贵国是否正在发放绿色贷款?</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before="11" w:line="400" w:lineRule="exact"/>
        <w:rPr>
          <w:rFonts w:eastAsia="宋体"/>
          <w:sz w:val="28"/>
          <w:szCs w:val="28"/>
          <w:lang w:eastAsia="zh-CN"/>
        </w:rPr>
      </w:pPr>
    </w:p>
    <w:p>
      <w:pPr>
        <w:pStyle w:val="11"/>
        <w:tabs>
          <w:tab w:val="left" w:pos="652"/>
        </w:tabs>
        <w:spacing w:line="400" w:lineRule="exact"/>
        <w:ind w:right="201" w:hanging="560"/>
        <w:jc w:val="left"/>
        <w:rPr>
          <w:rFonts w:eastAsia="宋体"/>
          <w:sz w:val="28"/>
          <w:szCs w:val="28"/>
          <w:lang w:eastAsia="zh-CN"/>
        </w:rPr>
      </w:pPr>
      <w:r>
        <w:rPr>
          <w:rFonts w:eastAsia="宋体"/>
          <w:b/>
          <w:bCs/>
          <w:sz w:val="28"/>
          <w:szCs w:val="28"/>
          <w:lang w:eastAsia="zh-CN"/>
        </w:rPr>
        <w:t>157.</w:t>
      </w:r>
      <w:r>
        <w:rPr>
          <w:rFonts w:eastAsia="宋体"/>
          <w:b/>
          <w:sz w:val="28"/>
          <w:szCs w:val="28"/>
          <w:lang w:eastAsia="zh-CN"/>
        </w:rPr>
        <w:t>即使主管部门没有要求，在实践中，贷款机构是否要求申请绿色贷款的企业提供以下任何一项?</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840" w:firstLineChars="300"/>
        <w:rPr>
          <w:rFonts w:eastAsia="宋体"/>
          <w:sz w:val="28"/>
          <w:szCs w:val="28"/>
          <w:lang w:eastAsia="zh-CN"/>
        </w:rPr>
      </w:pPr>
      <w:r>
        <w:rPr>
          <w:rFonts w:eastAsia="宋体"/>
          <w:sz w:val="28"/>
          <w:szCs w:val="28"/>
          <w:lang w:eastAsia="zh-CN"/>
        </w:rPr>
        <w:t>157a.顾问审查</w:t>
      </w:r>
    </w:p>
    <w:p>
      <w:pPr>
        <w:pStyle w:val="5"/>
        <w:spacing w:line="400" w:lineRule="exact"/>
        <w:ind w:firstLine="840" w:firstLineChars="300"/>
        <w:rPr>
          <w:rFonts w:eastAsia="宋体"/>
          <w:sz w:val="28"/>
          <w:szCs w:val="28"/>
          <w:lang w:eastAsia="zh-CN"/>
        </w:rPr>
      </w:pPr>
      <w:r>
        <w:rPr>
          <w:rFonts w:eastAsia="宋体"/>
          <w:sz w:val="28"/>
          <w:szCs w:val="28"/>
          <w:lang w:eastAsia="zh-CN"/>
        </w:rPr>
        <w:t>157b.验证</w:t>
      </w:r>
    </w:p>
    <w:p>
      <w:pPr>
        <w:pStyle w:val="5"/>
        <w:spacing w:line="400" w:lineRule="exact"/>
        <w:ind w:firstLine="840" w:firstLineChars="300"/>
        <w:rPr>
          <w:rFonts w:eastAsia="宋体"/>
          <w:sz w:val="28"/>
          <w:szCs w:val="28"/>
          <w:lang w:eastAsia="zh-CN"/>
        </w:rPr>
      </w:pPr>
      <w:r>
        <w:rPr>
          <w:rFonts w:eastAsia="宋体"/>
          <w:sz w:val="28"/>
          <w:szCs w:val="28"/>
          <w:lang w:eastAsia="zh-CN"/>
        </w:rPr>
        <w:t>157c.认证</w:t>
      </w:r>
    </w:p>
    <w:p>
      <w:pPr>
        <w:pStyle w:val="5"/>
        <w:spacing w:line="400" w:lineRule="exact"/>
        <w:ind w:firstLine="840" w:firstLineChars="300"/>
        <w:rPr>
          <w:rFonts w:eastAsia="宋体"/>
          <w:sz w:val="28"/>
          <w:szCs w:val="28"/>
          <w:lang w:eastAsia="zh-CN"/>
        </w:rPr>
      </w:pPr>
      <w:r>
        <w:rPr>
          <w:rFonts w:eastAsia="宋体"/>
          <w:sz w:val="28"/>
          <w:szCs w:val="28"/>
          <w:lang w:eastAsia="zh-CN"/>
        </w:rPr>
        <w:t>157d.评级</w:t>
      </w:r>
    </w:p>
    <w:p>
      <w:pPr>
        <w:pStyle w:val="5"/>
        <w:spacing w:line="400" w:lineRule="exact"/>
        <w:ind w:firstLine="840" w:firstLineChars="300"/>
        <w:rPr>
          <w:rFonts w:eastAsia="宋体"/>
          <w:sz w:val="28"/>
          <w:szCs w:val="28"/>
          <w:lang w:eastAsia="zh-CN"/>
        </w:rPr>
      </w:pPr>
      <w:r>
        <w:rPr>
          <w:rFonts w:eastAsia="宋体"/>
          <w:sz w:val="28"/>
          <w:szCs w:val="28"/>
          <w:lang w:eastAsia="zh-CN"/>
        </w:rPr>
        <w:t>157e.其他</w:t>
      </w:r>
    </w:p>
    <w:p>
      <w:pPr>
        <w:pStyle w:val="5"/>
        <w:spacing w:line="400" w:lineRule="exact"/>
        <w:rPr>
          <w:rFonts w:eastAsia="宋体"/>
          <w:sz w:val="28"/>
          <w:szCs w:val="28"/>
          <w:lang w:eastAsia="zh-CN"/>
        </w:rPr>
      </w:pPr>
    </w:p>
    <w:p>
      <w:pPr>
        <w:pStyle w:val="11"/>
        <w:tabs>
          <w:tab w:val="left" w:pos="652"/>
        </w:tabs>
        <w:spacing w:line="400" w:lineRule="exact"/>
        <w:ind w:hanging="560"/>
        <w:jc w:val="left"/>
        <w:rPr>
          <w:rFonts w:eastAsia="宋体"/>
          <w:b/>
          <w:sz w:val="28"/>
          <w:szCs w:val="28"/>
          <w:lang w:eastAsia="zh-CN"/>
        </w:rPr>
      </w:pPr>
      <w:r>
        <w:rPr>
          <w:rFonts w:eastAsia="宋体"/>
          <w:b/>
          <w:bCs/>
          <w:sz w:val="28"/>
          <w:szCs w:val="28"/>
          <w:lang w:eastAsia="zh-CN"/>
        </w:rPr>
        <w:t>158.</w:t>
      </w:r>
      <w:r>
        <w:rPr>
          <w:rFonts w:eastAsia="宋体"/>
          <w:b/>
          <w:sz w:val="28"/>
          <w:szCs w:val="28"/>
          <w:lang w:eastAsia="zh-CN"/>
        </w:rPr>
        <w:t>即使没有发布的国家框架，你们国家是否正在发行绿色债券?</w:t>
      </w:r>
    </w:p>
    <w:p>
      <w:pPr>
        <w:spacing w:before="21" w:line="400" w:lineRule="exact"/>
        <w:rPr>
          <w:rFonts w:eastAsia="宋体"/>
          <w:i/>
          <w:sz w:val="28"/>
          <w:szCs w:val="28"/>
          <w:lang w:eastAsia="zh-CN"/>
        </w:rPr>
      </w:pPr>
      <w:r>
        <w:rPr>
          <w:rFonts w:eastAsia="宋体"/>
          <w:sz w:val="28"/>
          <w:szCs w:val="28"/>
          <w:lang w:eastAsia="zh-CN"/>
        </w:rPr>
        <w:t>(Y/N)</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before="4" w:line="400" w:lineRule="exact"/>
        <w:rPr>
          <w:rFonts w:eastAsia="宋体"/>
          <w:i/>
          <w:sz w:val="28"/>
          <w:szCs w:val="28"/>
          <w:lang w:eastAsia="zh-CN"/>
        </w:rPr>
      </w:pPr>
    </w:p>
    <w:p>
      <w:pPr>
        <w:pStyle w:val="11"/>
        <w:tabs>
          <w:tab w:val="left" w:pos="652"/>
        </w:tabs>
        <w:spacing w:line="400" w:lineRule="exact"/>
        <w:ind w:right="194" w:hanging="560"/>
        <w:rPr>
          <w:rFonts w:eastAsia="宋体"/>
          <w:i/>
          <w:sz w:val="28"/>
          <w:szCs w:val="28"/>
          <w:lang w:eastAsia="zh-CN"/>
        </w:rPr>
      </w:pPr>
      <w:r>
        <w:rPr>
          <w:rFonts w:eastAsia="宋体"/>
          <w:b/>
          <w:bCs/>
          <w:sz w:val="28"/>
          <w:szCs w:val="28"/>
          <w:lang w:eastAsia="zh-CN"/>
        </w:rPr>
        <w:t>159.</w:t>
      </w:r>
      <w:r>
        <w:rPr>
          <w:rFonts w:eastAsia="宋体"/>
          <w:b/>
          <w:sz w:val="28"/>
          <w:szCs w:val="28"/>
          <w:lang w:eastAsia="zh-CN"/>
        </w:rPr>
        <w:t>如果是，银行部门或证券交易所在实践中是否向有意发行绿色债券的公司提供技术援助(包括融资方案信息)?</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840" w:firstLineChars="300"/>
        <w:rPr>
          <w:rFonts w:eastAsia="宋体"/>
          <w:sz w:val="28"/>
          <w:szCs w:val="28"/>
          <w:lang w:eastAsia="zh-CN"/>
        </w:rPr>
      </w:pPr>
      <w:r>
        <w:rPr>
          <w:rFonts w:eastAsia="宋体"/>
          <w:sz w:val="28"/>
          <w:szCs w:val="28"/>
          <w:lang w:eastAsia="zh-CN"/>
        </w:rPr>
        <w:t>159a.是的，由银行提供</w:t>
      </w:r>
    </w:p>
    <w:p>
      <w:pPr>
        <w:pStyle w:val="5"/>
        <w:spacing w:line="400" w:lineRule="exact"/>
        <w:ind w:firstLine="840" w:firstLineChars="300"/>
        <w:rPr>
          <w:rFonts w:eastAsia="宋体"/>
          <w:sz w:val="28"/>
          <w:szCs w:val="28"/>
          <w:lang w:eastAsia="zh-CN"/>
        </w:rPr>
      </w:pPr>
      <w:r>
        <w:rPr>
          <w:rFonts w:eastAsia="宋体"/>
          <w:sz w:val="28"/>
          <w:szCs w:val="28"/>
          <w:lang w:eastAsia="zh-CN"/>
        </w:rPr>
        <w:t>159b.是的，由证券交易所提供.</w:t>
      </w:r>
    </w:p>
    <w:p>
      <w:pPr>
        <w:pStyle w:val="5"/>
        <w:spacing w:line="400" w:lineRule="exact"/>
        <w:ind w:firstLine="840" w:firstLineChars="300"/>
        <w:rPr>
          <w:rFonts w:eastAsia="宋体"/>
          <w:sz w:val="28"/>
          <w:szCs w:val="28"/>
          <w:lang w:eastAsia="zh-CN"/>
        </w:rPr>
      </w:pPr>
      <w:r>
        <w:rPr>
          <w:rFonts w:eastAsia="宋体"/>
          <w:sz w:val="28"/>
          <w:szCs w:val="28"/>
          <w:lang w:eastAsia="zh-CN"/>
        </w:rPr>
        <w:t>159c.是的，双方都提供</w:t>
      </w:r>
    </w:p>
    <w:p>
      <w:pPr>
        <w:pStyle w:val="5"/>
        <w:spacing w:line="400" w:lineRule="exact"/>
        <w:ind w:firstLine="840" w:firstLineChars="300"/>
        <w:rPr>
          <w:rFonts w:eastAsia="宋体"/>
          <w:sz w:val="28"/>
          <w:szCs w:val="28"/>
          <w:lang w:eastAsia="zh-CN"/>
        </w:rPr>
      </w:pPr>
      <w:r>
        <w:rPr>
          <w:rFonts w:eastAsia="宋体"/>
          <w:sz w:val="28"/>
          <w:szCs w:val="28"/>
          <w:lang w:eastAsia="zh-CN"/>
        </w:rPr>
        <w:t>159d.其他</w:t>
      </w:r>
    </w:p>
    <w:p>
      <w:pPr>
        <w:pStyle w:val="5"/>
        <w:spacing w:line="400" w:lineRule="exact"/>
        <w:ind w:firstLine="840" w:firstLineChars="300"/>
        <w:rPr>
          <w:rFonts w:eastAsia="宋体"/>
          <w:sz w:val="28"/>
          <w:szCs w:val="28"/>
        </w:rPr>
      </w:pPr>
      <w:r>
        <w:rPr>
          <w:rFonts w:eastAsia="宋体"/>
          <w:sz w:val="28"/>
          <w:szCs w:val="28"/>
        </w:rPr>
        <w:t>159e</w:t>
      </w:r>
      <w:r>
        <w:rPr>
          <w:rFonts w:eastAsia="宋体"/>
          <w:sz w:val="28"/>
          <w:szCs w:val="28"/>
          <w:lang w:eastAsia="zh-CN"/>
        </w:rPr>
        <w:t>.</w:t>
      </w:r>
      <w:r>
        <w:rPr>
          <w:rFonts w:eastAsia="宋体"/>
          <w:sz w:val="28"/>
          <w:szCs w:val="28"/>
        </w:rPr>
        <w:t>没有</w:t>
      </w:r>
    </w:p>
    <w:p>
      <w:pPr>
        <w:spacing w:line="252" w:lineRule="auto"/>
        <w:sectPr>
          <w:pgSz w:w="12240" w:h="15840"/>
          <w:pgMar w:top="1440" w:right="1800" w:bottom="1440" w:left="1800" w:header="720" w:footer="720" w:gutter="0"/>
          <w:cols w:space="720" w:num="1"/>
        </w:sectPr>
      </w:pPr>
    </w:p>
    <w:tbl>
      <w:tblPr>
        <w:tblStyle w:val="8"/>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7"/>
        <w:gridCol w:w="1065"/>
        <w:gridCol w:w="1094"/>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6" w:type="dxa"/>
            <w:gridSpan w:val="4"/>
            <w:shd w:val="clear" w:color="auto" w:fill="CCD4EA"/>
          </w:tcPr>
          <w:p>
            <w:pPr>
              <w:pStyle w:val="12"/>
              <w:spacing w:before="36"/>
              <w:rPr>
                <w:rFonts w:eastAsia="宋体"/>
                <w:b/>
                <w:sz w:val="21"/>
                <w:szCs w:val="21"/>
              </w:rPr>
            </w:pPr>
            <w:r>
              <w:rPr>
                <w:rFonts w:eastAsia="宋体"/>
                <w:b/>
                <w:color w:val="4471C4"/>
                <w:sz w:val="21"/>
                <w:szCs w:val="21"/>
              </w:rPr>
              <w:t>2.2绿色金融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6" w:type="dxa"/>
            <w:gridSpan w:val="4"/>
            <w:shd w:val="clear" w:color="auto" w:fill="E7EBF5"/>
          </w:tcPr>
          <w:p>
            <w:pPr>
              <w:pStyle w:val="12"/>
              <w:spacing w:before="36"/>
              <w:rPr>
                <w:rFonts w:eastAsia="宋体"/>
                <w:b/>
                <w:sz w:val="21"/>
                <w:szCs w:val="21"/>
                <w:lang w:eastAsia="zh-CN"/>
              </w:rPr>
            </w:pPr>
            <w:r>
              <w:rPr>
                <w:rFonts w:eastAsia="宋体"/>
                <w:b/>
                <w:sz w:val="21"/>
                <w:szCs w:val="21"/>
                <w:lang w:eastAsia="zh-CN"/>
              </w:rPr>
              <w:t>2.2.1 绿色贷款的可获得性和审查要求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12"/>
              <w:spacing w:before="36"/>
              <w:rPr>
                <w:rFonts w:eastAsia="宋体"/>
                <w:b/>
                <w:sz w:val="21"/>
                <w:szCs w:val="21"/>
              </w:rPr>
            </w:pPr>
            <w:r>
              <w:rPr>
                <w:rFonts w:eastAsia="宋体"/>
                <w:b/>
                <w:sz w:val="21"/>
                <w:szCs w:val="21"/>
              </w:rPr>
              <w:t>指标</w:t>
            </w:r>
          </w:p>
        </w:tc>
        <w:tc>
          <w:tcPr>
            <w:tcW w:w="1065" w:type="dxa"/>
            <w:vAlign w:val="center"/>
          </w:tcPr>
          <w:p>
            <w:pPr>
              <w:pStyle w:val="12"/>
              <w:ind w:left="0"/>
              <w:jc w:val="center"/>
              <w:rPr>
                <w:rFonts w:eastAsia="宋体"/>
                <w:b/>
                <w:sz w:val="21"/>
                <w:szCs w:val="21"/>
              </w:rPr>
            </w:pPr>
            <w:r>
              <w:rPr>
                <w:rFonts w:eastAsia="宋体"/>
                <w:b/>
                <w:spacing w:val="-5"/>
                <w:sz w:val="21"/>
                <w:szCs w:val="21"/>
              </w:rPr>
              <w:t>FFP</w:t>
            </w:r>
          </w:p>
        </w:tc>
        <w:tc>
          <w:tcPr>
            <w:tcW w:w="1094" w:type="dxa"/>
            <w:vAlign w:val="center"/>
          </w:tcPr>
          <w:p>
            <w:pPr>
              <w:pStyle w:val="12"/>
              <w:ind w:left="0"/>
              <w:jc w:val="center"/>
              <w:rPr>
                <w:rFonts w:eastAsia="宋体"/>
                <w:b/>
                <w:sz w:val="21"/>
                <w:szCs w:val="21"/>
              </w:rPr>
            </w:pPr>
            <w:r>
              <w:rPr>
                <w:rFonts w:eastAsia="宋体"/>
                <w:b/>
                <w:spacing w:val="-5"/>
                <w:sz w:val="21"/>
                <w:szCs w:val="21"/>
              </w:rPr>
              <w:t>SBP</w:t>
            </w:r>
          </w:p>
        </w:tc>
        <w:tc>
          <w:tcPr>
            <w:tcW w:w="1260" w:type="dxa"/>
            <w:vAlign w:val="center"/>
          </w:tcPr>
          <w:p>
            <w:pPr>
              <w:pStyle w:val="12"/>
              <w:ind w:left="0"/>
              <w:jc w:val="center"/>
              <w:rPr>
                <w:rFonts w:eastAsia="宋体"/>
                <w:b/>
                <w:sz w:val="21"/>
                <w:szCs w:val="21"/>
              </w:rPr>
            </w:pPr>
            <w:r>
              <w:rPr>
                <w:rFonts w:hint="eastAsia" w:eastAsia="宋体"/>
                <w:b/>
                <w:sz w:val="21"/>
                <w:szCs w:val="21"/>
                <w:lang w:eastAsia="zh-CN"/>
              </w:rPr>
              <w:t>总</w:t>
            </w: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27" w:type="dxa"/>
          </w:tcPr>
          <w:p>
            <w:pPr>
              <w:pStyle w:val="12"/>
              <w:spacing w:before="36"/>
              <w:rPr>
                <w:rFonts w:eastAsia="宋体"/>
                <w:b/>
                <w:sz w:val="21"/>
                <w:szCs w:val="21"/>
              </w:rPr>
            </w:pPr>
            <w:r>
              <w:rPr>
                <w:rFonts w:eastAsia="宋体"/>
                <w:b/>
                <w:sz w:val="21"/>
                <w:szCs w:val="21"/>
              </w:rPr>
              <w:t>绿色贷款的可获得性</w:t>
            </w:r>
            <w:r>
              <w:rPr>
                <w:rFonts w:eastAsia="宋体"/>
                <w:bCs/>
                <w:sz w:val="21"/>
                <w:szCs w:val="21"/>
              </w:rPr>
              <w:t>(156)</w:t>
            </w:r>
          </w:p>
        </w:tc>
        <w:tc>
          <w:tcPr>
            <w:tcW w:w="1065" w:type="dxa"/>
            <w:vAlign w:val="center"/>
          </w:tcPr>
          <w:p>
            <w:pPr>
              <w:pStyle w:val="12"/>
              <w:ind w:left="0"/>
              <w:jc w:val="center"/>
              <w:rPr>
                <w:rFonts w:eastAsia="宋体"/>
                <w:b/>
                <w:sz w:val="21"/>
                <w:szCs w:val="21"/>
              </w:rPr>
            </w:pPr>
            <w:r>
              <w:rPr>
                <w:rFonts w:eastAsia="宋体"/>
                <w:b/>
                <w:w w:val="99"/>
                <w:sz w:val="21"/>
                <w:szCs w:val="21"/>
              </w:rPr>
              <w:t>1</w:t>
            </w:r>
          </w:p>
        </w:tc>
        <w:tc>
          <w:tcPr>
            <w:tcW w:w="1094" w:type="dxa"/>
            <w:vAlign w:val="center"/>
          </w:tcPr>
          <w:p>
            <w:pPr>
              <w:pStyle w:val="12"/>
              <w:ind w:left="0"/>
              <w:jc w:val="center"/>
              <w:rPr>
                <w:rFonts w:eastAsia="宋体"/>
                <w:b/>
                <w:sz w:val="21"/>
                <w:szCs w:val="21"/>
              </w:rPr>
            </w:pPr>
            <w:r>
              <w:rPr>
                <w:rFonts w:eastAsia="宋体"/>
                <w:b/>
                <w:w w:val="99"/>
                <w:sz w:val="21"/>
                <w:szCs w:val="21"/>
              </w:rPr>
              <w:t>1</w:t>
            </w:r>
          </w:p>
        </w:tc>
        <w:tc>
          <w:tcPr>
            <w:tcW w:w="1260" w:type="dxa"/>
            <w:vAlign w:val="center"/>
          </w:tcPr>
          <w:p>
            <w:pPr>
              <w:pStyle w:val="12"/>
              <w:ind w:left="0"/>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6027" w:type="dxa"/>
          </w:tcPr>
          <w:p>
            <w:pPr>
              <w:pStyle w:val="12"/>
              <w:spacing w:before="36"/>
              <w:rPr>
                <w:rFonts w:eastAsia="宋体"/>
                <w:b/>
                <w:sz w:val="21"/>
                <w:szCs w:val="21"/>
                <w:lang w:eastAsia="zh-CN"/>
              </w:rPr>
            </w:pPr>
            <w:r>
              <w:rPr>
                <w:rFonts w:eastAsia="宋体"/>
                <w:b/>
                <w:sz w:val="21"/>
                <w:szCs w:val="21"/>
                <w:lang w:eastAsia="zh-CN"/>
              </w:rPr>
              <w:t>获得绿色贷款的外部审查要求</w:t>
            </w:r>
            <w:r>
              <w:rPr>
                <w:rFonts w:eastAsia="宋体"/>
                <w:bCs/>
                <w:sz w:val="21"/>
                <w:szCs w:val="21"/>
                <w:lang w:eastAsia="zh-CN"/>
              </w:rPr>
              <w:t>(157a或157b或157c或157d)</w:t>
            </w:r>
          </w:p>
        </w:tc>
        <w:tc>
          <w:tcPr>
            <w:tcW w:w="1065" w:type="dxa"/>
            <w:vAlign w:val="center"/>
          </w:tcPr>
          <w:p>
            <w:pPr>
              <w:pStyle w:val="12"/>
              <w:ind w:left="0"/>
              <w:jc w:val="center"/>
              <w:rPr>
                <w:rFonts w:eastAsia="宋体"/>
                <w:b/>
                <w:sz w:val="21"/>
                <w:szCs w:val="21"/>
                <w:lang w:eastAsia="zh-CN"/>
              </w:rPr>
            </w:pPr>
            <w:r>
              <w:rPr>
                <w:rFonts w:eastAsia="宋体"/>
                <w:b/>
                <w:spacing w:val="-4"/>
                <w:sz w:val="21"/>
                <w:szCs w:val="21"/>
                <w:lang w:eastAsia="zh-CN"/>
              </w:rPr>
              <w:t>不适用</w:t>
            </w:r>
          </w:p>
        </w:tc>
        <w:tc>
          <w:tcPr>
            <w:tcW w:w="1094" w:type="dxa"/>
            <w:vAlign w:val="center"/>
          </w:tcPr>
          <w:p>
            <w:pPr>
              <w:pStyle w:val="12"/>
              <w:ind w:left="0"/>
              <w:jc w:val="center"/>
              <w:rPr>
                <w:rFonts w:eastAsia="宋体"/>
                <w:b/>
                <w:sz w:val="21"/>
                <w:szCs w:val="21"/>
              </w:rPr>
            </w:pPr>
            <w:r>
              <w:rPr>
                <w:rFonts w:eastAsia="宋体"/>
                <w:b/>
                <w:w w:val="99"/>
                <w:sz w:val="21"/>
                <w:szCs w:val="21"/>
              </w:rPr>
              <w:t>1</w:t>
            </w:r>
          </w:p>
        </w:tc>
        <w:tc>
          <w:tcPr>
            <w:tcW w:w="1260" w:type="dxa"/>
            <w:vAlign w:val="center"/>
          </w:tcPr>
          <w:p>
            <w:pPr>
              <w:pStyle w:val="12"/>
              <w:ind w:left="0"/>
              <w:jc w:val="center"/>
              <w:rPr>
                <w:rFonts w:eastAsia="宋体"/>
                <w:b/>
                <w:sz w:val="21"/>
                <w:szCs w:val="21"/>
              </w:rPr>
            </w:pPr>
            <w:r>
              <w:rPr>
                <w:rFonts w:eastAsia="宋体"/>
                <w:b/>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27" w:type="dxa"/>
            <w:shd w:val="clear" w:color="auto" w:fill="FFC000"/>
          </w:tcPr>
          <w:p>
            <w:pPr>
              <w:pStyle w:val="12"/>
              <w:spacing w:before="36"/>
              <w:rPr>
                <w:rFonts w:eastAsia="宋体"/>
                <w:b/>
                <w:sz w:val="21"/>
                <w:szCs w:val="21"/>
                <w:lang w:eastAsia="zh-CN"/>
              </w:rPr>
            </w:pPr>
            <w:r>
              <w:rPr>
                <w:rFonts w:hint="eastAsia" w:eastAsia="宋体"/>
                <w:b/>
                <w:sz w:val="21"/>
                <w:szCs w:val="21"/>
                <w:lang w:eastAsia="zh-CN"/>
              </w:rPr>
              <w:t>总计</w:t>
            </w:r>
          </w:p>
        </w:tc>
        <w:tc>
          <w:tcPr>
            <w:tcW w:w="1065" w:type="dxa"/>
            <w:shd w:val="clear" w:color="auto" w:fill="FFC000"/>
            <w:vAlign w:val="center"/>
          </w:tcPr>
          <w:p>
            <w:pPr>
              <w:pStyle w:val="12"/>
              <w:ind w:left="0"/>
              <w:jc w:val="center"/>
              <w:rPr>
                <w:rFonts w:eastAsia="宋体"/>
                <w:b/>
                <w:sz w:val="21"/>
                <w:szCs w:val="21"/>
              </w:rPr>
            </w:pPr>
            <w:r>
              <w:rPr>
                <w:rFonts w:eastAsia="宋体"/>
                <w:b/>
                <w:w w:val="99"/>
                <w:sz w:val="21"/>
                <w:szCs w:val="21"/>
              </w:rPr>
              <w:t>1</w:t>
            </w:r>
          </w:p>
        </w:tc>
        <w:tc>
          <w:tcPr>
            <w:tcW w:w="1094" w:type="dxa"/>
            <w:shd w:val="clear" w:color="auto" w:fill="FFC000"/>
            <w:vAlign w:val="center"/>
          </w:tcPr>
          <w:p>
            <w:pPr>
              <w:pStyle w:val="12"/>
              <w:ind w:left="0"/>
              <w:jc w:val="center"/>
              <w:rPr>
                <w:rFonts w:eastAsia="宋体"/>
                <w:b/>
                <w:sz w:val="21"/>
                <w:szCs w:val="21"/>
              </w:rPr>
            </w:pPr>
            <w:r>
              <w:rPr>
                <w:rFonts w:eastAsia="宋体"/>
                <w:b/>
                <w:w w:val="99"/>
                <w:sz w:val="21"/>
                <w:szCs w:val="21"/>
              </w:rPr>
              <w:t>2</w:t>
            </w:r>
          </w:p>
        </w:tc>
        <w:tc>
          <w:tcPr>
            <w:tcW w:w="1260" w:type="dxa"/>
            <w:shd w:val="clear" w:color="auto" w:fill="FFC000"/>
            <w:vAlign w:val="center"/>
          </w:tcPr>
          <w:p>
            <w:pPr>
              <w:pStyle w:val="12"/>
              <w:ind w:left="0"/>
              <w:jc w:val="center"/>
              <w:rPr>
                <w:rFonts w:eastAsia="宋体"/>
                <w:b/>
                <w:sz w:val="21"/>
                <w:szCs w:val="21"/>
              </w:rPr>
            </w:pPr>
            <w:r>
              <w:rPr>
                <w:rFonts w:eastAsia="宋体"/>
                <w:b/>
                <w:w w:val="99"/>
                <w:sz w:val="21"/>
                <w:szCs w:val="21"/>
              </w:rPr>
              <w:t>3.</w:t>
            </w:r>
          </w:p>
        </w:tc>
      </w:tr>
    </w:tbl>
    <w:p>
      <w:pPr>
        <w:spacing w:before="8"/>
        <w:ind w:left="200" w:right="195"/>
        <w:rPr>
          <w:sz w:val="20"/>
          <w:lang w:eastAsia="zh-CN"/>
        </w:rPr>
      </w:pPr>
      <w:r>
        <w:rPr>
          <w:rFonts w:eastAsia="宋体"/>
          <w:i/>
          <w:sz w:val="20"/>
          <w:lang w:eastAsia="zh-CN"/>
        </w:rPr>
        <w:t>注</w:t>
      </w:r>
      <w:r>
        <w:rPr>
          <w:rFonts w:hint="eastAsia" w:eastAsia="宋体"/>
          <w:i/>
          <w:sz w:val="20"/>
          <w:lang w:eastAsia="zh-CN"/>
        </w:rPr>
        <w:t>：</w:t>
      </w:r>
      <w:r>
        <w:rPr>
          <w:rFonts w:eastAsia="宋体"/>
          <w:sz w:val="20"/>
          <w:lang w:eastAsia="zh-CN"/>
        </w:rPr>
        <w:t>n.a. =不适用(指对企业或社会的影响不明确或不存在的情况)。FFP =企业弹性点</w:t>
      </w:r>
      <w:r>
        <w:rPr>
          <w:rFonts w:hint="eastAsia" w:eastAsia="宋体"/>
          <w:sz w:val="20"/>
          <w:lang w:eastAsia="zh-CN"/>
        </w:rPr>
        <w:t>；</w:t>
      </w:r>
      <w:r>
        <w:rPr>
          <w:rFonts w:eastAsia="宋体"/>
          <w:sz w:val="20"/>
          <w:lang w:eastAsia="zh-CN"/>
        </w:rPr>
        <w:t>SBP =社会效益分。</w:t>
      </w:r>
    </w:p>
    <w:p>
      <w:pPr>
        <w:rPr>
          <w:sz w:val="20"/>
          <w:lang w:eastAsia="zh-CN"/>
        </w:rPr>
        <w:sectPr>
          <w:pgSz w:w="12240" w:h="15840"/>
          <w:pgMar w:top="1400" w:right="1240" w:bottom="280" w:left="1240" w:header="720" w:footer="720" w:gutter="0"/>
          <w:cols w:space="720" w:num="1"/>
        </w:sectPr>
      </w:pPr>
    </w:p>
    <w:p>
      <w:pPr>
        <w:pStyle w:val="4"/>
        <w:jc w:val="center"/>
        <w:rPr>
          <w:rFonts w:eastAsia="宋体"/>
          <w:sz w:val="28"/>
          <w:szCs w:val="28"/>
          <w:lang w:eastAsia="zh-CN"/>
        </w:rPr>
      </w:pPr>
      <w:r>
        <w:rPr>
          <w:rFonts w:eastAsia="宋体"/>
          <w:color w:val="4F81BD" w:themeColor="accent1"/>
          <w:sz w:val="28"/>
          <w:szCs w:val="28"/>
          <w:lang w:eastAsia="zh-CN"/>
          <w14:textFill>
            <w14:solidFill>
              <w14:schemeClr w14:val="accent1"/>
            </w14:solidFill>
          </w14:textFill>
        </w:rPr>
        <w:t>经营征信局和登记处</w:t>
      </w:r>
    </w:p>
    <w:p>
      <w:pPr>
        <w:spacing w:line="400" w:lineRule="exact"/>
        <w:ind w:firstLine="560" w:firstLineChars="200"/>
        <w:jc w:val="both"/>
        <w:rPr>
          <w:rFonts w:eastAsia="宋体"/>
          <w:i/>
          <w:sz w:val="28"/>
          <w:szCs w:val="28"/>
          <w:lang w:eastAsia="zh-CN"/>
        </w:rPr>
      </w:pPr>
      <w:r>
        <w:rPr>
          <w:rFonts w:eastAsia="宋体"/>
          <w:i/>
          <w:sz w:val="28"/>
          <w:szCs w:val="28"/>
          <w:lang w:eastAsia="zh-CN"/>
        </w:rPr>
        <w:t>下面的表格列出了每个维度下的所有指标(包括其组成部分，如果适用的话)，并在括号中注明了相应的问题编号。为了便于参考，每个表格前都列出了这些问题。</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对于Y/N题，Y回答占分数，并被认为是良好的做法，除非另有标记</w:t>
      </w:r>
      <w:r>
        <w:rPr>
          <w:rFonts w:hint="eastAsia" w:eastAsia="宋体"/>
          <w:i/>
          <w:sz w:val="28"/>
          <w:szCs w:val="28"/>
          <w:lang w:eastAsia="zh-CN"/>
        </w:rPr>
        <w:t>“</w:t>
      </w:r>
      <w:r>
        <w:rPr>
          <w:rFonts w:eastAsia="宋体"/>
          <w:i/>
          <w:sz w:val="28"/>
          <w:szCs w:val="28"/>
          <w:lang w:eastAsia="zh-CN"/>
        </w:rPr>
        <w:t>Y/N</w:t>
      </w:r>
      <w:r>
        <w:rPr>
          <w:rFonts w:hint="eastAsia" w:eastAsia="宋体"/>
          <w:i/>
          <w:sz w:val="28"/>
          <w:szCs w:val="28"/>
          <w:lang w:eastAsia="zh-CN"/>
        </w:rPr>
        <w:t>；</w:t>
      </w:r>
      <w:r>
        <w:rPr>
          <w:rFonts w:eastAsia="宋体"/>
          <w:i/>
          <w:sz w:val="28"/>
          <w:szCs w:val="28"/>
          <w:lang w:eastAsia="zh-CN"/>
        </w:rPr>
        <w:t>N - 良好做法（实践）</w:t>
      </w:r>
      <w:r>
        <w:rPr>
          <w:rFonts w:hint="eastAsia" w:eastAsia="宋体"/>
          <w:i/>
          <w:sz w:val="28"/>
          <w:szCs w:val="28"/>
          <w:lang w:eastAsia="zh-CN"/>
        </w:rPr>
        <w:t>”</w:t>
      </w:r>
      <w:r>
        <w:rPr>
          <w:rFonts w:eastAsia="宋体"/>
          <w:i/>
          <w:sz w:val="28"/>
          <w:szCs w:val="28"/>
          <w:lang w:eastAsia="zh-CN"/>
        </w:rPr>
        <w:t>。</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在下面的表格中，</w:t>
      </w:r>
      <w:r>
        <w:rPr>
          <w:rFonts w:hint="eastAsia" w:eastAsia="宋体"/>
          <w:i/>
          <w:sz w:val="28"/>
          <w:szCs w:val="28"/>
          <w:lang w:eastAsia="zh-CN"/>
        </w:rPr>
        <w:t>“</w:t>
      </w:r>
      <w:r>
        <w:rPr>
          <w:rFonts w:eastAsia="宋体"/>
          <w:i/>
          <w:sz w:val="28"/>
          <w:szCs w:val="28"/>
          <w:lang w:eastAsia="zh-CN"/>
        </w:rPr>
        <w:t>和AND</w:t>
      </w:r>
      <w:r>
        <w:rPr>
          <w:rFonts w:hint="eastAsia" w:eastAsia="宋体"/>
          <w:i/>
          <w:sz w:val="28"/>
          <w:szCs w:val="28"/>
          <w:lang w:eastAsia="zh-CN"/>
        </w:rPr>
        <w:t>”</w:t>
      </w:r>
      <w:r>
        <w:rPr>
          <w:rFonts w:eastAsia="宋体"/>
          <w:i/>
          <w:sz w:val="28"/>
          <w:szCs w:val="28"/>
          <w:lang w:eastAsia="zh-CN"/>
        </w:rPr>
        <w:t>表示所有参考问题都必须有一个良好的实践回答，才能在指标上获得分数。</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在下面的表格中，</w:t>
      </w:r>
      <w:r>
        <w:rPr>
          <w:rFonts w:hint="eastAsia" w:eastAsia="宋体"/>
          <w:i/>
          <w:sz w:val="28"/>
          <w:szCs w:val="28"/>
          <w:lang w:eastAsia="zh-CN"/>
        </w:rPr>
        <w:t>“</w:t>
      </w:r>
      <w:r>
        <w:rPr>
          <w:rFonts w:eastAsia="宋体"/>
          <w:i/>
          <w:sz w:val="28"/>
          <w:szCs w:val="28"/>
          <w:lang w:eastAsia="zh-CN"/>
        </w:rPr>
        <w:t>或OR</w:t>
      </w:r>
      <w:r>
        <w:rPr>
          <w:rFonts w:hint="eastAsia" w:eastAsia="宋体"/>
          <w:i/>
          <w:sz w:val="28"/>
          <w:szCs w:val="28"/>
          <w:lang w:eastAsia="zh-CN"/>
        </w:rPr>
        <w:t>”</w:t>
      </w:r>
      <w:r>
        <w:rPr>
          <w:rFonts w:eastAsia="宋体"/>
          <w:i/>
          <w:sz w:val="28"/>
          <w:szCs w:val="28"/>
          <w:lang w:eastAsia="zh-CN"/>
        </w:rPr>
        <w:t>表示一个或多个参考问题必须具有良好的练习回答才能获得指标上的分数。</w:t>
      </w:r>
    </w:p>
    <w:p>
      <w:pPr>
        <w:spacing w:line="400" w:lineRule="exact"/>
        <w:ind w:firstLine="560" w:firstLineChars="200"/>
        <w:jc w:val="both"/>
        <w:rPr>
          <w:rFonts w:eastAsia="宋体"/>
          <w:i/>
          <w:sz w:val="28"/>
          <w:szCs w:val="28"/>
          <w:lang w:eastAsia="zh-CN"/>
        </w:rPr>
      </w:pPr>
    </w:p>
    <w:p>
      <w:pPr>
        <w:spacing w:line="400" w:lineRule="exact"/>
        <w:ind w:firstLine="560" w:firstLineChars="200"/>
        <w:jc w:val="both"/>
        <w:rPr>
          <w:rFonts w:eastAsia="宋体"/>
          <w:i/>
          <w:sz w:val="28"/>
          <w:szCs w:val="28"/>
          <w:lang w:eastAsia="zh-CN"/>
        </w:rPr>
      </w:pPr>
      <w:r>
        <w:rPr>
          <w:rFonts w:eastAsia="宋体"/>
          <w:i/>
          <w:sz w:val="28"/>
          <w:szCs w:val="28"/>
          <w:lang w:eastAsia="zh-CN"/>
        </w:rPr>
        <w:t>某些问题被标记为</w:t>
      </w:r>
      <w:r>
        <w:rPr>
          <w:rFonts w:hint="eastAsia" w:eastAsia="宋体"/>
          <w:i/>
          <w:sz w:val="28"/>
          <w:szCs w:val="28"/>
          <w:lang w:eastAsia="zh-CN"/>
        </w:rPr>
        <w:t>“不计分”</w:t>
      </w:r>
      <w:r>
        <w:rPr>
          <w:rFonts w:eastAsia="宋体"/>
          <w:i/>
          <w:sz w:val="28"/>
          <w:szCs w:val="28"/>
          <w:lang w:eastAsia="zh-CN"/>
        </w:rPr>
        <w:t>，这表明它们不会以任何方式影响分数。这些问题的目的是根据需要进一步告知和完善试点后续年份的问题设计，并为得分问题提供进一步的信息。</w:t>
      </w:r>
    </w:p>
    <w:p>
      <w:pPr>
        <w:pStyle w:val="5"/>
        <w:spacing w:line="400" w:lineRule="exact"/>
        <w:ind w:firstLine="440" w:firstLineChars="200"/>
        <w:jc w:val="both"/>
        <w:rPr>
          <w:i/>
          <w:sz w:val="14"/>
          <w:lang w:eastAsia="zh-CN"/>
        </w:rPr>
      </w:pPr>
      <w:r>
        <mc:AlternateContent>
          <mc:Choice Requires="wps">
            <w:drawing>
              <wp:anchor distT="0" distB="0" distL="114300" distR="114300" simplePos="0" relativeHeight="251665408" behindDoc="1" locked="0" layoutInCell="1" allowOverlap="1">
                <wp:simplePos x="0" y="0"/>
                <wp:positionH relativeFrom="page">
                  <wp:posOffset>856615</wp:posOffset>
                </wp:positionH>
                <wp:positionV relativeFrom="paragraph">
                  <wp:posOffset>164465</wp:posOffset>
                </wp:positionV>
                <wp:extent cx="6060440" cy="372110"/>
                <wp:effectExtent l="4445" t="4445" r="5715" b="17145"/>
                <wp:wrapTopAndBottom/>
                <wp:docPr id="10" name="文本框 10"/>
                <wp:cNvGraphicFramePr/>
                <a:graphic xmlns:a="http://schemas.openxmlformats.org/drawingml/2006/main">
                  <a:graphicData uri="http://schemas.microsoft.com/office/word/2010/wordprocessingShape">
                    <wps:wsp>
                      <wps:cNvSpPr txBox="1"/>
                      <wps:spPr>
                        <a:xfrm>
                          <a:off x="0" y="0"/>
                          <a:ext cx="6060440" cy="372110"/>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58"/>
                              <w:ind w:left="103" w:right="235"/>
                              <w:rPr>
                                <w:rFonts w:eastAsia="宋体"/>
                                <w:b/>
                                <w:color w:val="000000"/>
                                <w:sz w:val="28"/>
                                <w:szCs w:val="28"/>
                                <w:lang w:eastAsia="zh-CN"/>
                              </w:rPr>
                            </w:pPr>
                            <w:r>
                              <w:rPr>
                                <w:rFonts w:eastAsia="宋体"/>
                                <w:b/>
                                <w:color w:val="FFFFFF"/>
                                <w:sz w:val="28"/>
                                <w:szCs w:val="28"/>
                                <w:lang w:eastAsia="zh-CN"/>
                              </w:rPr>
                              <w:t>维度 II</w:t>
                            </w:r>
                            <w:r>
                              <w:rPr>
                                <w:rFonts w:hint="eastAsia" w:eastAsia="宋体"/>
                                <w:b/>
                                <w:color w:val="FFFFFF"/>
                                <w:sz w:val="28"/>
                                <w:szCs w:val="28"/>
                                <w:lang w:eastAsia="zh-CN"/>
                              </w:rPr>
                              <w:t>：</w:t>
                            </w:r>
                            <w:r>
                              <w:rPr>
                                <w:rFonts w:eastAsia="宋体"/>
                                <w:b/>
                                <w:color w:val="FFFFFF"/>
                                <w:sz w:val="28"/>
                                <w:szCs w:val="28"/>
                                <w:lang w:eastAsia="zh-CN"/>
                              </w:rPr>
                              <w:t>信贷基础设施信息的可及性和融资渠道</w:t>
                            </w:r>
                          </w:p>
                        </w:txbxContent>
                      </wps:txbx>
                      <wps:bodyPr lIns="0" tIns="0" rIns="0" bIns="0" upright="1"/>
                    </wps:wsp>
                  </a:graphicData>
                </a:graphic>
              </wp:anchor>
            </w:drawing>
          </mc:Choice>
          <mc:Fallback>
            <w:pict>
              <v:shape id="_x0000_s1026" o:spid="_x0000_s1026" o:spt="202" type="#_x0000_t202" style="position:absolute;left:0pt;margin-left:67.45pt;margin-top:12.95pt;height:29.3pt;width:477.2pt;mso-position-horizontal-relative:page;mso-wrap-distance-bottom:0pt;mso-wrap-distance-top:0pt;z-index:-251651072;mso-width-relative:page;mso-height-relative:page;" fillcolor="#0F6EC5" filled="t" stroked="t" coordsize="21600,21600" o:gfxdata="UEsDBAoAAAAAAIdO4kAAAAAAAAAAAAAAAAAEAAAAZHJzL1BLAwQUAAAACACHTuJANRrKU9gAAAAK&#10;AQAADwAAAGRycy9kb3ducmV2LnhtbE2PwU6DQBCG7ya+w2ZMvNml0CpFlh40RuOlEZueB3YElJ1F&#10;dqH17d2e9DT5M1/++SbfnkwvZhpdZ1nBchGBIK6t7rhRsH9/uklBOI+ssbdMCn7Iwba4vMgx0/bI&#10;bzSXvhGhhF2GClrvh0xKV7dk0C3sQBx2H3Y06EMcG6lHPIZy08s4im6lwY7DhRYHemip/iono2Cq&#10;YvyOn1+Sw6ubyzum3ePuc1bq+moZ3YPwdPJ/MJz1gzoUwamyE2sn+pCT1SagCuJ1mGcgSjcJiEpB&#10;ulqDLHL5/4XiF1BLAwQUAAAACACHTuJAdJbQ6BwCAABcBAAADgAAAGRycy9lMm9Eb2MueG1srVTN&#10;jtMwEL4j8Q6W7zRpWQpEm67EdouQECAtPICbOIkl/8l2m/QF4A04ceHOc/U5+Oy0Xbpw6IEckvF4&#10;/M0334xzfTMoSbbceWF0SaeTnBKuK1ML3Zb0y+fVs1eU+MB0zaTRvKQ77unN4umT694WfGY6I2vu&#10;CEC0L3pb0i4EW2SZrzqumJ8YyzU2G+MUC1i6Nqsd64GuZDbL83nWG1dbZyruPbzLcZMeEN0lgKZp&#10;RMWXptoorsOI6rhkASX5TlhPF4lt0/AqfGwazwORJUWlIb2RBPY6vrPFNStax2wnqgMFdgmFRzUp&#10;JjSSnqCWLDCyceIvKCUqZ7xpwqQyKhsLSYqgimn+SJv7jlmeaoHU3p5E9/8Ptvqw/eSIqDEJkEQz&#10;hY7vv3/b//i1//mVwAeBeusLxN1bRIbhjRkQfPR7OGPdQ+NU/KIign1g7U7y8iGQCs55Ps+vrrBV&#10;Ye/5y9l0hM8eTlvnw1tuFIlGSR3al1Rl2/c+gAlCjyExmTdS1CshZVq4dn0rHdmy2OrV/O72RSSJ&#10;I2dhUpM+Unk9Bw+G+W0wNzCVhQZetynf2Ql/BpzH51/AkdiS+W4kkBBiGCuUCNwlq+OsvtM1CTsL&#10;mTWuF41kFK8pkRy3MVopMjAhL4lEdVKjyNiisRXRCsN6AEw016beoW3yncbQQPpwNNzRWB+NjXWi&#10;7SB7am6CxNAlBQ8XJE71n+uU+OGnsPg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NRrKU9gAAAAK&#10;AQAADwAAAAAAAAABACAAAAAiAAAAZHJzL2Rvd25yZXYueG1sUEsBAhQAFAAAAAgAh07iQHSW0Ogc&#10;AgAAXAQAAA4AAAAAAAAAAQAgAAAAJwEAAGRycy9lMm9Eb2MueG1sUEsFBgAAAAAGAAYAWQEAALUF&#10;AAAAAA==&#10;">
                <v:fill on="t" focussize="0,0"/>
                <v:stroke weight="0.48pt" color="#000000" joinstyle="miter"/>
                <v:imagedata o:title=""/>
                <o:lock v:ext="edit" aspectratio="f"/>
                <v:textbox inset="0mm,0mm,0mm,0mm">
                  <w:txbxContent>
                    <w:p>
                      <w:pPr>
                        <w:spacing w:before="58"/>
                        <w:ind w:left="103" w:right="235"/>
                        <w:rPr>
                          <w:rFonts w:eastAsia="宋体"/>
                          <w:b/>
                          <w:color w:val="000000"/>
                          <w:sz w:val="28"/>
                          <w:szCs w:val="28"/>
                          <w:lang w:eastAsia="zh-CN"/>
                        </w:rPr>
                      </w:pPr>
                      <w:r>
                        <w:rPr>
                          <w:rFonts w:eastAsia="宋体"/>
                          <w:b/>
                          <w:color w:val="FFFFFF"/>
                          <w:sz w:val="28"/>
                          <w:szCs w:val="28"/>
                          <w:lang w:eastAsia="zh-CN"/>
                        </w:rPr>
                        <w:t>维度 II</w:t>
                      </w:r>
                      <w:r>
                        <w:rPr>
                          <w:rFonts w:hint="eastAsia" w:eastAsia="宋体"/>
                          <w:b/>
                          <w:color w:val="FFFFFF"/>
                          <w:sz w:val="28"/>
                          <w:szCs w:val="28"/>
                          <w:lang w:eastAsia="zh-CN"/>
                        </w:rPr>
                        <w:t>：</w:t>
                      </w:r>
                      <w:r>
                        <w:rPr>
                          <w:rFonts w:eastAsia="宋体"/>
                          <w:b/>
                          <w:color w:val="FFFFFF"/>
                          <w:sz w:val="28"/>
                          <w:szCs w:val="28"/>
                          <w:lang w:eastAsia="zh-CN"/>
                        </w:rPr>
                        <w:t>信贷基础设施信息的可及性和融资渠道</w:t>
                      </w:r>
                    </w:p>
                  </w:txbxContent>
                </v:textbox>
                <w10:wrap type="topAndBottom"/>
              </v:shape>
            </w:pict>
          </mc:Fallback>
        </mc:AlternateContent>
      </w: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160.</w:t>
      </w:r>
      <w:r>
        <w:rPr>
          <w:rFonts w:eastAsia="宋体"/>
          <w:b/>
          <w:sz w:val="28"/>
          <w:szCs w:val="28"/>
          <w:lang w:eastAsia="zh-CN"/>
        </w:rPr>
        <w:t>是否有法律规定</w:t>
      </w:r>
      <w:r>
        <w:rPr>
          <w:rFonts w:eastAsia="宋体"/>
          <w:b/>
          <w:sz w:val="28"/>
          <w:szCs w:val="28"/>
          <w:highlight w:val="yellow"/>
          <w:lang w:eastAsia="zh-CN"/>
        </w:rPr>
        <w:t>征信局</w:t>
      </w:r>
      <w:r>
        <w:rPr>
          <w:rFonts w:eastAsia="宋体"/>
          <w:b/>
          <w:sz w:val="28"/>
          <w:szCs w:val="28"/>
          <w:lang w:eastAsia="zh-CN"/>
        </w:rPr>
        <w:t>/登记处的建立和运作?</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spacing w:line="400" w:lineRule="exact"/>
        <w:ind w:firstLine="560" w:firstLineChars="200"/>
        <w:jc w:val="both"/>
        <w:rPr>
          <w:rFonts w:eastAsia="宋体"/>
          <w:i/>
          <w:sz w:val="28"/>
          <w:szCs w:val="28"/>
          <w:lang w:eastAsia="zh-CN"/>
        </w:rPr>
      </w:pP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outlineLvl w:val="0"/>
        <w:rPr>
          <w:rFonts w:eastAsia="宋体"/>
          <w:i/>
          <w:sz w:val="28"/>
          <w:szCs w:val="28"/>
          <w:lang w:eastAsia="zh-CN"/>
        </w:rPr>
      </w:pPr>
      <w:r>
        <w:rPr>
          <w:rFonts w:eastAsia="宋体"/>
          <w:b/>
          <w:bCs/>
          <w:sz w:val="28"/>
          <w:szCs w:val="28"/>
          <w:lang w:eastAsia="zh-CN"/>
        </w:rPr>
        <w:t>161.</w:t>
      </w:r>
      <w:r>
        <w:rPr>
          <w:rFonts w:eastAsia="宋体"/>
          <w:b/>
          <w:sz w:val="28"/>
          <w:szCs w:val="28"/>
          <w:lang w:eastAsia="zh-CN"/>
        </w:rPr>
        <w:t>请列出在您的经济体系中，运营的所有</w:t>
      </w:r>
      <w:r>
        <w:rPr>
          <w:rFonts w:eastAsia="宋体"/>
          <w:b/>
          <w:sz w:val="28"/>
          <w:szCs w:val="28"/>
          <w:highlight w:val="yellow"/>
          <w:lang w:eastAsia="zh-CN"/>
        </w:rPr>
        <w:t>征信局</w:t>
      </w:r>
      <w:r>
        <w:rPr>
          <w:rFonts w:eastAsia="宋体"/>
          <w:b/>
          <w:sz w:val="28"/>
          <w:szCs w:val="28"/>
          <w:lang w:eastAsia="zh-CN"/>
        </w:rPr>
        <w:t>和/或注册机构</w:t>
      </w:r>
      <w:r>
        <w:rPr>
          <w:rFonts w:eastAsia="宋体"/>
          <w:i/>
          <w:sz w:val="28"/>
          <w:szCs w:val="28"/>
          <w:lang w:eastAsia="zh-CN"/>
        </w:rPr>
        <w:t>(</w:t>
      </w:r>
      <w:r>
        <w:rPr>
          <w:rFonts w:hint="eastAsia" w:eastAsia="宋体"/>
          <w:i/>
          <w:sz w:val="28"/>
          <w:szCs w:val="28"/>
          <w:lang w:eastAsia="zh-CN"/>
        </w:rPr>
        <w:t>不计分</w:t>
      </w:r>
      <w:r>
        <w:rPr>
          <w:rFonts w:eastAsia="宋体"/>
          <w:i/>
          <w:spacing w:val="-4"/>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162.</w:t>
      </w:r>
      <w:r>
        <w:rPr>
          <w:rFonts w:eastAsia="宋体"/>
          <w:b/>
          <w:sz w:val="28"/>
          <w:szCs w:val="28"/>
          <w:lang w:eastAsia="zh-CN"/>
        </w:rPr>
        <w:t>对于过去5年内有信用记录的借款人，对于下一组问题，考虑来自受监管和不受监管实体的还款历史信用参考。请提供2018年1月2日至2023年1月1日期间，在局数据库中列出的至少有1个信用记录(正面或负面)的个人和公司数量。</w:t>
      </w:r>
    </w:p>
    <w:p>
      <w:pPr>
        <w:spacing w:line="400" w:lineRule="exact"/>
        <w:ind w:firstLine="560" w:firstLineChars="200"/>
        <w:jc w:val="both"/>
        <w:rPr>
          <w:rFonts w:eastAsia="宋体"/>
          <w:i/>
          <w:sz w:val="28"/>
          <w:szCs w:val="28"/>
          <w:lang w:eastAsia="zh-CN"/>
        </w:rPr>
      </w:pPr>
      <w:r>
        <w:rPr>
          <w:rFonts w:eastAsia="宋体"/>
          <w:i/>
          <w:sz w:val="28"/>
          <w:szCs w:val="28"/>
          <w:lang w:eastAsia="zh-CN"/>
        </w:rPr>
        <w:t>注</w:t>
      </w:r>
      <w:r>
        <w:rPr>
          <w:rFonts w:hint="eastAsia" w:eastAsia="宋体"/>
          <w:i/>
          <w:sz w:val="28"/>
          <w:szCs w:val="28"/>
          <w:lang w:eastAsia="zh-CN"/>
        </w:rPr>
        <w:t>：</w:t>
      </w:r>
      <w:r>
        <w:rPr>
          <w:rFonts w:eastAsia="宋体"/>
          <w:i/>
          <w:sz w:val="28"/>
          <w:szCs w:val="28"/>
          <w:lang w:eastAsia="zh-CN"/>
        </w:rPr>
        <w:t>列出的是公司和个人的数量，而不是信用证明的数量。一个有4笔贷款的个人即使在数据库中为她列出了4个信用推荐信，也会被算作一个人。(覆盖率)</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162a.个体数</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162b.企业数量</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163.</w:t>
      </w:r>
      <w:r>
        <w:rPr>
          <w:rFonts w:eastAsia="宋体"/>
          <w:b/>
          <w:sz w:val="28"/>
          <w:szCs w:val="28"/>
          <w:lang w:eastAsia="zh-CN"/>
        </w:rPr>
        <w:t>对于没有信用证明的借款人，请提供信贷局/登记处数据库中列出的个人和公司的数量。这些人在过去5年中没有借贷历史，但在2022年1月2日至2023年1月1日期间，至少有1家贷款人要求信贷局/注册处提供信贷报告。</w:t>
      </w:r>
    </w:p>
    <w:p>
      <w:pPr>
        <w:spacing w:line="400" w:lineRule="exact"/>
        <w:ind w:firstLine="560" w:firstLineChars="200"/>
        <w:jc w:val="both"/>
        <w:rPr>
          <w:rFonts w:eastAsia="宋体"/>
          <w:i/>
          <w:sz w:val="28"/>
          <w:szCs w:val="28"/>
          <w:lang w:eastAsia="zh-CN"/>
        </w:rPr>
      </w:pPr>
      <w:r>
        <w:rPr>
          <w:rFonts w:eastAsia="宋体"/>
          <w:i/>
          <w:sz w:val="28"/>
          <w:szCs w:val="28"/>
          <w:lang w:eastAsia="zh-CN"/>
        </w:rPr>
        <w:t>注意</w:t>
      </w:r>
      <w:r>
        <w:rPr>
          <w:rFonts w:hint="eastAsia" w:eastAsia="宋体"/>
          <w:i/>
          <w:sz w:val="28"/>
          <w:szCs w:val="28"/>
          <w:lang w:eastAsia="zh-CN"/>
        </w:rPr>
        <w:t>：</w:t>
      </w:r>
      <w:r>
        <w:rPr>
          <w:rFonts w:eastAsia="宋体"/>
          <w:i/>
          <w:sz w:val="28"/>
          <w:szCs w:val="28"/>
          <w:lang w:eastAsia="zh-CN"/>
        </w:rPr>
        <w:t>列出公司和个人的数量，而不是信用查询的数量-一个人的信用记录被3个贷款人查询，即使数据库中记录了3个信用查询，也将被计算为1个个人</w:t>
      </w:r>
      <w:r>
        <w:rPr>
          <w:rFonts w:eastAsia="宋体"/>
          <w:sz w:val="28"/>
          <w:szCs w:val="28"/>
          <w:lang w:eastAsia="zh-CN"/>
        </w:rPr>
        <w:t>。</w:t>
      </w:r>
      <w:r>
        <w:rPr>
          <w:rFonts w:eastAsia="宋体"/>
          <w:i/>
          <w:sz w:val="28"/>
          <w:szCs w:val="28"/>
          <w:lang w:eastAsia="zh-CN"/>
        </w:rPr>
        <w:t>(覆盖率)</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163a.个体数</w:t>
      </w:r>
      <w:r>
        <w:rPr>
          <w:rFonts w:hint="eastAsia" w:eastAsia="宋体"/>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163b.公司数量</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b/>
          <w:i/>
          <w:sz w:val="28"/>
          <w:szCs w:val="28"/>
          <w:lang w:eastAsia="zh-CN"/>
        </w:rPr>
      </w:pPr>
      <w:r>
        <w:rPr>
          <w:rFonts w:eastAsia="宋体"/>
          <w:b/>
          <w:bCs/>
          <w:sz w:val="28"/>
          <w:szCs w:val="28"/>
          <w:lang w:eastAsia="zh-CN"/>
        </w:rPr>
        <w:t>164.</w:t>
      </w:r>
      <w:r>
        <w:rPr>
          <w:rFonts w:eastAsia="宋体"/>
          <w:b/>
          <w:sz w:val="28"/>
          <w:szCs w:val="28"/>
          <w:lang w:eastAsia="zh-CN"/>
        </w:rPr>
        <w:t>请填写征信局</w:t>
      </w:r>
      <w:r>
        <w:rPr>
          <w:rFonts w:eastAsia="宋体"/>
          <w:b/>
          <w:i/>
          <w:sz w:val="28"/>
          <w:szCs w:val="28"/>
          <w:lang w:eastAsia="zh-CN"/>
        </w:rPr>
        <w:t>/征信登记处成立日期(月/年</w:t>
      </w:r>
      <w:r>
        <w:rPr>
          <w:rFonts w:eastAsia="宋体"/>
          <w:b/>
          <w:spacing w:val="-1"/>
          <w:sz w:val="28"/>
          <w:szCs w:val="28"/>
          <w:lang w:eastAsia="zh-CN"/>
        </w:rPr>
        <w:t>)和实际开始营业的时间。</w:t>
      </w:r>
      <w:r>
        <w:rPr>
          <w:rFonts w:eastAsia="宋体"/>
          <w:b/>
          <w:i/>
          <w:sz w:val="28"/>
          <w:szCs w:val="28"/>
          <w:lang w:eastAsia="zh-CN"/>
        </w:rPr>
        <w:t>(截止日期)</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164a.设立(当局/登记处被合法授权作为局/登记处运作时)</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164b.开始运作(局/登记处开始发布信用报告时)</w:t>
      </w:r>
    </w:p>
    <w:p>
      <w:pPr>
        <w:pStyle w:val="5"/>
        <w:spacing w:line="400" w:lineRule="exact"/>
        <w:ind w:firstLine="560" w:firstLineChars="200"/>
        <w:jc w:val="both"/>
        <w:rPr>
          <w:rFonts w:eastAsia="宋体"/>
          <w:sz w:val="28"/>
          <w:szCs w:val="28"/>
          <w:lang w:eastAsia="zh-CN"/>
        </w:rPr>
      </w:pPr>
    </w:p>
    <w:p>
      <w:pPr>
        <w:pStyle w:val="5"/>
        <w:spacing w:line="400" w:lineRule="exact"/>
        <w:ind w:firstLine="562" w:firstLineChars="200"/>
        <w:jc w:val="both"/>
        <w:rPr>
          <w:rFonts w:eastAsia="宋体"/>
          <w:sz w:val="28"/>
          <w:szCs w:val="28"/>
          <w:lang w:eastAsia="zh-CN"/>
        </w:rPr>
      </w:pPr>
      <w:r>
        <w:rPr>
          <w:rFonts w:eastAsia="宋体"/>
          <w:b/>
          <w:bCs/>
          <w:sz w:val="28"/>
          <w:szCs w:val="28"/>
          <w:lang w:eastAsia="zh-CN"/>
        </w:rPr>
        <w:t>165.</w:t>
      </w:r>
      <w:r>
        <w:rPr>
          <w:rFonts w:eastAsia="宋体"/>
          <w:b/>
          <w:sz w:val="28"/>
          <w:szCs w:val="28"/>
          <w:lang w:eastAsia="zh-CN"/>
        </w:rPr>
        <w:t>请提供近一年来征信局/征信处出具的征信报告数量，包括在线和通过批量处理发布的报告。</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165a.关于个人</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165b.关于公司</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166.</w:t>
      </w:r>
      <w:r>
        <w:rPr>
          <w:rFonts w:eastAsia="宋体"/>
          <w:b/>
          <w:sz w:val="28"/>
          <w:szCs w:val="28"/>
          <w:lang w:eastAsia="zh-CN"/>
        </w:rPr>
        <w:t>如果适用，请提供去年由您的信用局/登记处提供的信用评分查询次数。</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166a.关于个人</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166b.关于公司</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167.</w:t>
      </w:r>
      <w:r>
        <w:rPr>
          <w:rFonts w:eastAsia="宋体"/>
          <w:b/>
          <w:sz w:val="28"/>
          <w:szCs w:val="28"/>
          <w:lang w:eastAsia="zh-CN"/>
        </w:rPr>
        <w:t>是否正在从金融机构收集个人贷款的数据（该问题指的是关于个人的数据，而不是关于群体的数据）？</w:t>
      </w:r>
      <w:r>
        <w:rPr>
          <w:rFonts w:eastAsia="宋体"/>
          <w:sz w:val="28"/>
          <w:szCs w:val="28"/>
          <w:lang w:eastAsia="zh-CN"/>
        </w:rPr>
        <w:t>(Y/N)</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168.</w:t>
      </w:r>
      <w:r>
        <w:rPr>
          <w:rFonts w:eastAsia="宋体"/>
          <w:b/>
          <w:sz w:val="28"/>
          <w:szCs w:val="28"/>
          <w:lang w:eastAsia="zh-CN"/>
        </w:rPr>
        <w:t>是否与金融机构共享个人贷款数据（该问题指的是关于个人的数据，而不是关于群体的数据）？</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169.</w:t>
      </w:r>
      <w:r>
        <w:rPr>
          <w:rFonts w:eastAsia="宋体"/>
          <w:b/>
          <w:sz w:val="28"/>
          <w:szCs w:val="28"/>
          <w:lang w:eastAsia="zh-CN"/>
        </w:rPr>
        <w:t>个人原始贷款金额和未偿贷款金额数据是否向金融机构收集并与金融机构共享?</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169a.向金融机构收集贷款的原始金额(总是/只在违约后/从未)</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169b.从金融机构收取的贷款余额(总是/只在违约后/从为)</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169c.与金融机构共享的原始贷款金额(总是/只在违约后/从未)</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169d.与金融机构共享的未偿还贷款金额(总是/只在违约后/从未)</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170.</w:t>
      </w:r>
      <w:r>
        <w:rPr>
          <w:rFonts w:eastAsia="宋体"/>
          <w:b/>
          <w:sz w:val="28"/>
          <w:szCs w:val="28"/>
          <w:lang w:eastAsia="zh-CN"/>
        </w:rPr>
        <w:t>个人贷款支付的数据是否从金融机构收集并与之共享?</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170a.收集/分享的按时付款情况</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170b.收集/共享的历史还款模式</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170c.收集/共享的违约或重组的债务</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170d.收集/共享的违约或重组债务的数量</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170e.收集/共享的违约或重组债务的金额</w:t>
      </w:r>
    </w:p>
    <w:p>
      <w:pPr>
        <w:pStyle w:val="5"/>
        <w:spacing w:line="400" w:lineRule="exact"/>
        <w:ind w:firstLine="560" w:firstLineChars="200"/>
        <w:jc w:val="both"/>
        <w:rPr>
          <w:rFonts w:eastAsia="宋体"/>
          <w:sz w:val="28"/>
          <w:szCs w:val="28"/>
        </w:rPr>
      </w:pPr>
      <w:r>
        <w:rPr>
          <w:rFonts w:eastAsia="宋体"/>
          <w:sz w:val="28"/>
          <w:szCs w:val="28"/>
        </w:rPr>
        <w:t>170f.收集/共享的拖欠或逾期付款</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170g.收集/共享的欠款或逾期付款的数量</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170h.收集/共享的贷款逾期天数</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170i.收集/共享的欠款或逾期付款的金额或价值</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171.</w:t>
      </w:r>
      <w:r>
        <w:rPr>
          <w:rFonts w:eastAsia="宋体"/>
          <w:b/>
          <w:sz w:val="28"/>
          <w:szCs w:val="28"/>
          <w:lang w:eastAsia="zh-CN"/>
        </w:rPr>
        <w:t>贵机构的信贷局/登记处将个人逾期付款定义为多少天后?</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171a.拖欠</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171b.违约</w:t>
      </w:r>
    </w:p>
    <w:p>
      <w:pPr>
        <w:pStyle w:val="11"/>
        <w:tabs>
          <w:tab w:val="left" w:pos="647"/>
        </w:tabs>
        <w:spacing w:line="400" w:lineRule="exact"/>
        <w:ind w:left="0" w:firstLine="562" w:firstLineChars="200"/>
        <w:outlineLvl w:val="0"/>
        <w:rPr>
          <w:rFonts w:eastAsia="宋体"/>
          <w:b/>
          <w:bCs/>
          <w:sz w:val="28"/>
          <w:szCs w:val="28"/>
          <w:lang w:eastAsia="zh-CN"/>
        </w:rPr>
      </w:pPr>
    </w:p>
    <w:p>
      <w:pPr>
        <w:pStyle w:val="11"/>
        <w:tabs>
          <w:tab w:val="left" w:pos="647"/>
        </w:tabs>
        <w:spacing w:line="400" w:lineRule="exact"/>
        <w:ind w:left="0" w:firstLine="562" w:firstLineChars="200"/>
        <w:outlineLvl w:val="0"/>
        <w:rPr>
          <w:rFonts w:eastAsia="宋体"/>
          <w:i/>
          <w:sz w:val="28"/>
          <w:szCs w:val="28"/>
          <w:lang w:eastAsia="zh-CN"/>
        </w:rPr>
      </w:pPr>
      <w:r>
        <w:rPr>
          <w:rFonts w:eastAsia="宋体"/>
          <w:b/>
          <w:bCs/>
          <w:sz w:val="28"/>
          <w:szCs w:val="28"/>
          <w:lang w:eastAsia="zh-CN"/>
        </w:rPr>
        <w:t>172.</w:t>
      </w:r>
      <w:r>
        <w:rPr>
          <w:rFonts w:eastAsia="宋体"/>
          <w:b/>
          <w:sz w:val="28"/>
          <w:szCs w:val="28"/>
          <w:lang w:eastAsia="zh-CN"/>
        </w:rPr>
        <w:t>企业的贷款数据是从金融机构收集的吗?</w:t>
      </w:r>
      <w:r>
        <w:rPr>
          <w:rFonts w:eastAsia="宋体"/>
          <w:sz w:val="28"/>
          <w:szCs w:val="28"/>
          <w:lang w:eastAsia="zh-CN"/>
        </w:rPr>
        <w:t>(Y/N)</w:t>
      </w:r>
      <w:r>
        <w:rPr>
          <w:rFonts w:eastAsia="宋体"/>
          <w:i/>
          <w:sz w:val="28"/>
          <w:szCs w:val="28"/>
          <w:lang w:eastAsia="zh-CN"/>
        </w:rPr>
        <w:t>(</w:t>
      </w:r>
      <w:r>
        <w:rPr>
          <w:rFonts w:hint="eastAsia" w:eastAsia="宋体"/>
          <w:i/>
          <w:sz w:val="28"/>
          <w:szCs w:val="28"/>
          <w:lang w:eastAsia="zh-CN"/>
        </w:rPr>
        <w:t>不计分</w:t>
      </w:r>
      <w:r>
        <w:rPr>
          <w:rFonts w:eastAsia="宋体"/>
          <w:i/>
          <w:spacing w:val="-2"/>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outlineLvl w:val="0"/>
        <w:rPr>
          <w:rFonts w:eastAsia="宋体"/>
          <w:sz w:val="28"/>
          <w:szCs w:val="28"/>
          <w:lang w:eastAsia="zh-CN"/>
        </w:rPr>
      </w:pPr>
      <w:r>
        <w:rPr>
          <w:rFonts w:eastAsia="宋体"/>
          <w:b/>
          <w:bCs/>
          <w:sz w:val="28"/>
          <w:szCs w:val="28"/>
          <w:lang w:eastAsia="zh-CN"/>
        </w:rPr>
        <w:t>173.</w:t>
      </w:r>
      <w:r>
        <w:rPr>
          <w:rFonts w:eastAsia="宋体"/>
          <w:b/>
          <w:sz w:val="28"/>
          <w:szCs w:val="28"/>
          <w:lang w:eastAsia="zh-CN"/>
        </w:rPr>
        <w:t>企业贷款数据是否与金融机构共享?</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11"/>
        <w:tabs>
          <w:tab w:val="left" w:pos="647"/>
        </w:tabs>
        <w:spacing w:line="400" w:lineRule="exact"/>
        <w:ind w:left="0" w:firstLine="560" w:firstLineChars="200"/>
        <w:outlineLvl w:val="0"/>
        <w:rPr>
          <w:rFonts w:eastAsia="宋体"/>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174.</w:t>
      </w:r>
      <w:r>
        <w:rPr>
          <w:rFonts w:eastAsia="宋体"/>
          <w:b/>
          <w:sz w:val="28"/>
          <w:szCs w:val="28"/>
          <w:lang w:eastAsia="zh-CN"/>
        </w:rPr>
        <w:t>企业的原始贷款金额和未偿还贷款金额的数据是否向金融机构收集，并与金融机构共享?</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174a.从金融机构收集的原始贷款金额（一直/仅在违约后/从未）.</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174b.从金融机构收取的未偿还贷款金额（总是/仅在违约后/从未）.</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174c.与金融机构共享贷款的原始金额（总是/仅在违约后/从未）.</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174d.与金融机构共享的贷款的未偿金额（总是/仅在违约后/从未）.</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175.</w:t>
      </w:r>
      <w:r>
        <w:rPr>
          <w:rFonts w:eastAsia="宋体"/>
          <w:b/>
          <w:sz w:val="28"/>
          <w:szCs w:val="28"/>
          <w:lang w:eastAsia="zh-CN"/>
        </w:rPr>
        <w:t>企业的贷款支付数据是否从金融机构收集并与之共享?</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175a.收集/分享的按时付款情况</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175b.收集/共享的历史还款模式</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175c.收集/共享的违约或重组的债务</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175d.收集/共享的违约或重组债务的数量</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175e.收集/共享的违约或重组债务的金额</w:t>
      </w:r>
    </w:p>
    <w:p>
      <w:pPr>
        <w:pStyle w:val="5"/>
        <w:spacing w:line="400" w:lineRule="exact"/>
        <w:ind w:firstLine="560" w:firstLineChars="200"/>
        <w:jc w:val="both"/>
        <w:rPr>
          <w:rFonts w:eastAsia="宋体"/>
          <w:sz w:val="28"/>
          <w:szCs w:val="28"/>
        </w:rPr>
      </w:pPr>
      <w:r>
        <w:rPr>
          <w:rFonts w:eastAsia="宋体"/>
          <w:sz w:val="28"/>
          <w:szCs w:val="28"/>
        </w:rPr>
        <w:t>175f.收集/共享的欠款或逾期付款</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175g.收集/共享的欠款或逾期付款的数量</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175h.收集/共享的贷款逾期天数</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175i.收集/共享的欠款或逾期付款的金额或价值</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176.</w:t>
      </w:r>
      <w:r>
        <w:rPr>
          <w:rFonts w:eastAsia="宋体"/>
          <w:b/>
          <w:sz w:val="28"/>
          <w:szCs w:val="28"/>
          <w:lang w:eastAsia="zh-CN"/>
        </w:rPr>
        <w:t xml:space="preserve"> 贵机构的信贷局/登记处在多少天后将企业的逾期付款定义为以下各项？</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176a.拖欠</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176b.违约</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177.</w:t>
      </w:r>
      <w:r>
        <w:rPr>
          <w:rFonts w:eastAsia="宋体"/>
          <w:b/>
          <w:sz w:val="28"/>
          <w:szCs w:val="28"/>
          <w:lang w:eastAsia="zh-CN"/>
        </w:rPr>
        <w:t>在贵国经济中，下列哪些机构向信用局/登记处提交信息或从其获取信息（或两者）？</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177a.私人商业银行</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177b.公共商业银行</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177c.公共开发银行</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177d.小额信贷机构</w:t>
      </w:r>
    </w:p>
    <w:p>
      <w:pPr>
        <w:pStyle w:val="5"/>
        <w:spacing w:line="400" w:lineRule="exact"/>
        <w:ind w:firstLine="560" w:firstLineChars="200"/>
        <w:jc w:val="both"/>
        <w:rPr>
          <w:rFonts w:eastAsia="宋体"/>
          <w:sz w:val="28"/>
          <w:szCs w:val="28"/>
        </w:rPr>
      </w:pPr>
      <w:r>
        <w:rPr>
          <w:rFonts w:eastAsia="宋体"/>
          <w:sz w:val="28"/>
          <w:szCs w:val="28"/>
        </w:rPr>
        <w:t>177e.合作社</w:t>
      </w:r>
    </w:p>
    <w:p>
      <w:pPr>
        <w:pStyle w:val="5"/>
        <w:spacing w:line="400" w:lineRule="exact"/>
        <w:ind w:firstLine="560" w:firstLineChars="200"/>
        <w:jc w:val="both"/>
        <w:rPr>
          <w:rFonts w:eastAsia="宋体"/>
          <w:sz w:val="28"/>
          <w:szCs w:val="28"/>
        </w:rPr>
      </w:pPr>
      <w:r>
        <w:rPr>
          <w:rFonts w:eastAsia="宋体"/>
          <w:sz w:val="28"/>
          <w:szCs w:val="28"/>
        </w:rPr>
        <w:t>177f.零售商和商人</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177g.公用事业公司</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177h.法院</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177i.税收</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177j.租金数据</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177k.互联网、移动电话</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177l.电子商务平台</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177m.其他金融机构（例如，金融科技公司、数字贷款人、其他替代贷款人、租赁公司)</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177n.其他数据提供者（例如，贸易债权人、抵押品登记处、公司登记处等）.</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178.</w:t>
      </w:r>
      <w:r>
        <w:rPr>
          <w:rFonts w:eastAsia="宋体"/>
          <w:b/>
          <w:sz w:val="28"/>
          <w:szCs w:val="28"/>
          <w:lang w:eastAsia="zh-CN"/>
        </w:rPr>
        <w:t>请说明在上述问题18中选择的每一类机构的数量。</w:t>
      </w:r>
    </w:p>
    <w:p>
      <w:pPr>
        <w:pStyle w:val="11"/>
        <w:tabs>
          <w:tab w:val="left" w:pos="647"/>
        </w:tabs>
        <w:spacing w:line="400" w:lineRule="exact"/>
        <w:ind w:left="0" w:firstLine="562" w:firstLineChars="200"/>
        <w:rPr>
          <w:rFonts w:eastAsia="宋体"/>
          <w:b/>
          <w:sz w:val="28"/>
          <w:szCs w:val="28"/>
          <w:lang w:eastAsia="zh-CN"/>
        </w:rPr>
      </w:pPr>
      <w:r>
        <w:rPr>
          <w:rFonts w:eastAsia="宋体"/>
          <w:b/>
          <w:sz w:val="28"/>
          <w:szCs w:val="28"/>
          <w:lang w:eastAsia="zh-CN"/>
        </w:rPr>
        <w:t>注</w:t>
      </w:r>
      <w:r>
        <w:rPr>
          <w:rFonts w:hint="eastAsia" w:eastAsia="宋体"/>
          <w:b/>
          <w:sz w:val="28"/>
          <w:szCs w:val="28"/>
          <w:lang w:eastAsia="zh-CN"/>
        </w:rPr>
        <w:t>：</w:t>
      </w:r>
      <w:r>
        <w:rPr>
          <w:rFonts w:eastAsia="宋体"/>
          <w:sz w:val="28"/>
          <w:szCs w:val="28"/>
          <w:lang w:eastAsia="zh-CN"/>
        </w:rPr>
        <w:t>如果私营商业银行提供信息，请提供参与的私营商业银行的数量。</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178a.私营商业银行</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178b.公共商业银行</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178c.公共开发银行</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178d.小额信贷机构</w:t>
      </w:r>
    </w:p>
    <w:p>
      <w:pPr>
        <w:pStyle w:val="5"/>
        <w:spacing w:line="400" w:lineRule="exact"/>
        <w:ind w:firstLine="560" w:firstLineChars="200"/>
        <w:jc w:val="both"/>
        <w:rPr>
          <w:rFonts w:eastAsia="宋体"/>
          <w:sz w:val="28"/>
          <w:szCs w:val="28"/>
        </w:rPr>
      </w:pPr>
      <w:r>
        <w:rPr>
          <w:rFonts w:eastAsia="宋体"/>
          <w:sz w:val="28"/>
          <w:szCs w:val="28"/>
        </w:rPr>
        <w:t>178e.合作社</w:t>
      </w:r>
    </w:p>
    <w:p>
      <w:pPr>
        <w:pStyle w:val="5"/>
        <w:spacing w:line="400" w:lineRule="exact"/>
        <w:ind w:firstLine="560" w:firstLineChars="200"/>
        <w:jc w:val="both"/>
        <w:rPr>
          <w:rFonts w:eastAsia="宋体"/>
          <w:sz w:val="28"/>
          <w:szCs w:val="28"/>
        </w:rPr>
      </w:pPr>
      <w:r>
        <w:rPr>
          <w:rFonts w:eastAsia="宋体"/>
          <w:sz w:val="28"/>
          <w:szCs w:val="28"/>
        </w:rPr>
        <w:t>178f.零售商和商人</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178g.公用事业公司</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178h.法院</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178i.税收</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178j.租金数据</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178k.互联网、移动电话</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178l.电子商务平台</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 xml:space="preserve">178m.其他金融机构（例如，金融技术、数字贷款人、其他替代贷款人、租赁公司) </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178n.其他数据提供者（例如，贸易债权人、抵押品登记处、公司登记处等）。</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179.</w:t>
      </w:r>
      <w:r>
        <w:rPr>
          <w:rFonts w:eastAsia="宋体"/>
          <w:b/>
          <w:sz w:val="28"/>
          <w:szCs w:val="28"/>
          <w:lang w:eastAsia="zh-CN"/>
        </w:rPr>
        <w:t>监管框架是否要求报告的信用信息在一定时间内反映在数据库中?</w:t>
      </w:r>
      <w:r>
        <w:rPr>
          <w:rFonts w:eastAsia="宋体"/>
          <w:sz w:val="28"/>
          <w:szCs w:val="28"/>
          <w:lang w:eastAsia="zh-CN"/>
        </w:rPr>
        <w:t>(Y/N)</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180.</w:t>
      </w:r>
      <w:r>
        <w:rPr>
          <w:rFonts w:eastAsia="宋体"/>
          <w:b/>
          <w:sz w:val="28"/>
          <w:szCs w:val="28"/>
          <w:lang w:eastAsia="zh-CN"/>
        </w:rPr>
        <w:t>如果第179题的答案是</w:t>
      </w:r>
      <w:r>
        <w:rPr>
          <w:rFonts w:hint="eastAsia" w:eastAsia="宋体"/>
          <w:b/>
          <w:sz w:val="28"/>
          <w:szCs w:val="28"/>
          <w:lang w:eastAsia="zh-CN"/>
        </w:rPr>
        <w:t>“</w:t>
      </w:r>
      <w:r>
        <w:rPr>
          <w:rFonts w:eastAsia="宋体"/>
          <w:b/>
          <w:sz w:val="28"/>
          <w:szCs w:val="28"/>
          <w:lang w:eastAsia="zh-CN"/>
        </w:rPr>
        <w:t>是</w:t>
      </w:r>
      <w:r>
        <w:rPr>
          <w:rFonts w:hint="eastAsia" w:eastAsia="宋体"/>
          <w:b/>
          <w:sz w:val="28"/>
          <w:szCs w:val="28"/>
          <w:lang w:eastAsia="zh-CN"/>
        </w:rPr>
        <w:t>”</w:t>
      </w:r>
      <w:r>
        <w:rPr>
          <w:rFonts w:eastAsia="宋体"/>
          <w:b/>
          <w:sz w:val="28"/>
          <w:szCs w:val="28"/>
          <w:lang w:eastAsia="zh-CN"/>
        </w:rPr>
        <w:t>，那么及时性要求是什么?</w:t>
      </w:r>
      <w:r>
        <w:rPr>
          <w:rFonts w:eastAsia="宋体"/>
          <w:sz w:val="28"/>
          <w:szCs w:val="28"/>
          <w:lang w:eastAsia="zh-CN"/>
        </w:rPr>
        <w:t>(</w:t>
      </w:r>
      <w:r>
        <w:rPr>
          <w:rFonts w:eastAsia="宋体"/>
          <w:i/>
          <w:sz w:val="28"/>
          <w:szCs w:val="28"/>
          <w:lang w:eastAsia="zh-CN"/>
        </w:rPr>
        <w:t>以</w:t>
      </w:r>
      <w:r>
        <w:rPr>
          <w:rFonts w:eastAsia="宋体"/>
          <w:i/>
          <w:spacing w:val="-2"/>
          <w:sz w:val="28"/>
          <w:szCs w:val="28"/>
          <w:lang w:eastAsia="zh-CN"/>
        </w:rPr>
        <w:t>天</w:t>
      </w:r>
      <w:r>
        <w:rPr>
          <w:rFonts w:eastAsia="宋体"/>
          <w:i/>
          <w:sz w:val="28"/>
          <w:szCs w:val="28"/>
          <w:lang w:eastAsia="zh-CN"/>
        </w:rPr>
        <w:t>为单位</w:t>
      </w:r>
      <w:r>
        <w:rPr>
          <w:rFonts w:eastAsia="宋体"/>
          <w:sz w:val="28"/>
          <w:szCs w:val="28"/>
          <w:lang w:eastAsia="zh-CN"/>
        </w:rPr>
        <w:t>)</w:t>
      </w:r>
      <w:r>
        <w:rPr>
          <w:rFonts w:eastAsia="宋体"/>
          <w:i/>
          <w:sz w:val="28"/>
          <w:szCs w:val="28"/>
          <w:lang w:eastAsia="zh-CN"/>
        </w:rPr>
        <w:t>(未计分)</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outlineLvl w:val="0"/>
        <w:rPr>
          <w:rFonts w:eastAsia="宋体"/>
          <w:i/>
          <w:sz w:val="28"/>
          <w:szCs w:val="28"/>
          <w:lang w:eastAsia="zh-CN"/>
        </w:rPr>
      </w:pPr>
      <w:r>
        <w:rPr>
          <w:rFonts w:eastAsia="宋体"/>
          <w:b/>
          <w:bCs/>
          <w:sz w:val="28"/>
          <w:szCs w:val="28"/>
          <w:lang w:eastAsia="zh-CN"/>
        </w:rPr>
        <w:t>181.</w:t>
      </w:r>
      <w:r>
        <w:rPr>
          <w:rFonts w:eastAsia="宋体"/>
          <w:b/>
          <w:sz w:val="28"/>
          <w:szCs w:val="28"/>
          <w:lang w:eastAsia="zh-CN"/>
        </w:rPr>
        <w:t>监管框架是否允许跨境信用信息共享?</w:t>
      </w:r>
      <w:r>
        <w:rPr>
          <w:rFonts w:eastAsia="宋体"/>
          <w:sz w:val="28"/>
          <w:szCs w:val="28"/>
          <w:lang w:eastAsia="zh-CN"/>
        </w:rPr>
        <w:t>(Y/N)</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182.</w:t>
      </w:r>
      <w:r>
        <w:rPr>
          <w:rFonts w:eastAsia="宋体"/>
          <w:b/>
          <w:sz w:val="28"/>
          <w:szCs w:val="28"/>
          <w:lang w:eastAsia="zh-CN"/>
        </w:rPr>
        <w:t>贵国的征信机构/注册处是否在实践中跨境共享信用信息?</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183.</w:t>
      </w:r>
      <w:r>
        <w:rPr>
          <w:rFonts w:eastAsia="宋体"/>
          <w:b/>
          <w:sz w:val="28"/>
          <w:szCs w:val="28"/>
          <w:lang w:eastAsia="zh-CN"/>
        </w:rPr>
        <w:t>贵国的征信机构/注册处是否使用技术报告代码或特别报告来识别与危机有关的数据（如与 金融、健康和气候有关的拖欠）?</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184.</w:t>
      </w:r>
      <w:r>
        <w:rPr>
          <w:rFonts w:eastAsia="宋体"/>
          <w:b/>
          <w:sz w:val="28"/>
          <w:szCs w:val="28"/>
          <w:lang w:eastAsia="zh-CN"/>
        </w:rPr>
        <w:t>历史数据(包括</w:t>
      </w:r>
      <w:r>
        <w:rPr>
          <w:rFonts w:eastAsia="宋体"/>
          <w:b/>
          <w:i/>
          <w:sz w:val="28"/>
          <w:szCs w:val="28"/>
          <w:lang w:eastAsia="zh-CN"/>
        </w:rPr>
        <w:t>正面</w:t>
      </w:r>
      <w:r>
        <w:rPr>
          <w:rFonts w:eastAsia="宋体"/>
          <w:b/>
          <w:i/>
          <w:spacing w:val="40"/>
          <w:sz w:val="28"/>
          <w:szCs w:val="28"/>
          <w:lang w:eastAsia="zh-CN"/>
        </w:rPr>
        <w:t>和</w:t>
      </w:r>
      <w:r>
        <w:rPr>
          <w:rFonts w:eastAsia="宋体"/>
          <w:b/>
          <w:i/>
          <w:sz w:val="28"/>
          <w:szCs w:val="28"/>
          <w:lang w:eastAsia="zh-CN"/>
        </w:rPr>
        <w:t>负面</w:t>
      </w:r>
      <w:r>
        <w:rPr>
          <w:rFonts w:eastAsia="宋体"/>
          <w:b/>
          <w:i/>
          <w:spacing w:val="40"/>
          <w:sz w:val="28"/>
          <w:szCs w:val="28"/>
          <w:lang w:eastAsia="zh-CN"/>
        </w:rPr>
        <w:t>信息</w:t>
      </w:r>
      <w:r>
        <w:rPr>
          <w:rFonts w:eastAsia="宋体"/>
          <w:b/>
          <w:spacing w:val="40"/>
          <w:sz w:val="28"/>
          <w:szCs w:val="28"/>
          <w:lang w:eastAsia="zh-CN"/>
        </w:rPr>
        <w:t>)在数据库中保存多久，并在征信报告中共享多久?</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184a.保存在数据库中--正面信息（年）。</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184b.保存在数据库中--负面信息（年）。</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184c.可在信用报告中共享--正面信息（以年为单位）</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184d.可在信用报告中共享--负面信息（以年为单位）</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185.</w:t>
      </w:r>
      <w:r>
        <w:rPr>
          <w:rFonts w:eastAsia="宋体"/>
          <w:b/>
          <w:sz w:val="28"/>
          <w:szCs w:val="28"/>
          <w:lang w:eastAsia="zh-CN"/>
        </w:rPr>
        <w:t>如果征信机构/登记处收集有关违约或重组债务以及欠款或逾期付款的信息，这些信息在多长时间后被删除？(</w:t>
      </w:r>
      <w:r>
        <w:rPr>
          <w:rFonts w:eastAsia="宋体"/>
          <w:b/>
          <w:i/>
          <w:sz w:val="28"/>
          <w:szCs w:val="28"/>
          <w:lang w:eastAsia="zh-CN"/>
        </w:rPr>
        <w:t>请</w:t>
      </w:r>
      <w:r>
        <w:rPr>
          <w:rFonts w:eastAsia="宋体"/>
          <w:b/>
          <w:i/>
          <w:spacing w:val="-6"/>
          <w:sz w:val="28"/>
          <w:szCs w:val="28"/>
          <w:lang w:eastAsia="zh-CN"/>
        </w:rPr>
        <w:t>选择</w:t>
      </w:r>
      <w:r>
        <w:rPr>
          <w:rFonts w:eastAsia="宋体"/>
          <w:b/>
          <w:i/>
          <w:sz w:val="28"/>
          <w:szCs w:val="28"/>
          <w:lang w:eastAsia="zh-CN"/>
        </w:rPr>
        <w:t>适用的选项</w:t>
      </w:r>
      <w:r>
        <w:rPr>
          <w:rFonts w:eastAsia="宋体"/>
          <w:b/>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185a.违约或重组的债务--如果偿还（立即/从不/在一定时间后）。</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185b.拖欠或逾期付款--如果偿还（立即/从不/在一定时间后）。</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185c.违约或重组的债务--如果从未偿还（立即/从未/在一定时间后）。</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185d.拖欠或逾期付款--如果从未偿还（立即/从未/在一定时间后）。</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186.</w:t>
      </w:r>
      <w:r>
        <w:rPr>
          <w:rFonts w:eastAsia="宋体"/>
          <w:b/>
          <w:sz w:val="28"/>
          <w:szCs w:val="28"/>
          <w:lang w:eastAsia="zh-CN"/>
        </w:rPr>
        <w:t>如果问题185的任何一个答案选项的答案是 "一定时间后"，请说明持续时间（以天为单位）</w:t>
      </w:r>
      <w:r>
        <w:rPr>
          <w:rFonts w:eastAsia="宋体"/>
          <w:b/>
          <w:spacing w:val="-3"/>
          <w:sz w:val="28"/>
          <w:szCs w:val="28"/>
          <w:lang w:eastAsia="zh-CN"/>
        </w:rPr>
        <w:t>。</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187.</w:t>
      </w:r>
      <w:r>
        <w:rPr>
          <w:rFonts w:eastAsia="宋体"/>
          <w:b/>
          <w:sz w:val="28"/>
          <w:szCs w:val="28"/>
          <w:lang w:eastAsia="zh-CN"/>
        </w:rPr>
        <w:t>如果问题185的任何一个答案是 "立即 "或 "一定时间后"，请说明对从信用报告中删除不同类型的信息是否有不同的规定。</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188.</w:t>
      </w:r>
      <w:r>
        <w:rPr>
          <w:rFonts w:eastAsia="宋体"/>
          <w:b/>
          <w:sz w:val="28"/>
          <w:szCs w:val="28"/>
          <w:lang w:eastAsia="zh-CN"/>
        </w:rPr>
        <w:t>如果有的话，纳入数据库的最低贷款规模（以当地货币计）是多少？如果您的信用机构/注册处没有最低贷款要求，请填写 "0"。如果对个人和公司适用不同的最低贷款额，请使用较低的数额。</w:t>
      </w:r>
    </w:p>
    <w:p>
      <w:pPr>
        <w:spacing w:line="400" w:lineRule="exact"/>
        <w:ind w:firstLine="560" w:firstLineChars="200"/>
        <w:jc w:val="both"/>
        <w:rPr>
          <w:rFonts w:eastAsia="宋体"/>
          <w:sz w:val="28"/>
          <w:szCs w:val="28"/>
          <w:lang w:eastAsia="zh-CN"/>
        </w:rPr>
        <w:sectPr>
          <w:pgSz w:w="12240" w:h="15840"/>
          <w:pgMar w:top="1440" w:right="1800" w:bottom="1440" w:left="1800" w:header="720" w:footer="720" w:gutter="0"/>
          <w:cols w:space="720" w:num="1"/>
        </w:sect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189.</w:t>
      </w:r>
      <w:r>
        <w:rPr>
          <w:rFonts w:eastAsia="宋体"/>
          <w:b/>
          <w:sz w:val="28"/>
          <w:szCs w:val="28"/>
          <w:lang w:eastAsia="zh-CN"/>
        </w:rPr>
        <w:t>如果对个人和公司适用不同的最低贷款额，请说明。</w:t>
      </w:r>
      <w:r>
        <w:rPr>
          <w:rFonts w:eastAsia="宋体"/>
          <w:i/>
          <w:sz w:val="28"/>
          <w:szCs w:val="28"/>
          <w:lang w:eastAsia="zh-CN"/>
        </w:rPr>
        <w:t>(</w:t>
      </w:r>
      <w:r>
        <w:rPr>
          <w:rFonts w:hint="eastAsia" w:eastAsia="宋体"/>
          <w:i/>
          <w:sz w:val="28"/>
          <w:szCs w:val="28"/>
          <w:lang w:eastAsia="zh-CN"/>
        </w:rPr>
        <w:t>不计分</w:t>
      </w:r>
      <w:r>
        <w:rPr>
          <w:rFonts w:eastAsia="宋体"/>
          <w:i/>
          <w:spacing w:val="-5"/>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190.</w:t>
      </w:r>
      <w:r>
        <w:rPr>
          <w:rFonts w:eastAsia="宋体"/>
          <w:b/>
          <w:sz w:val="28"/>
          <w:szCs w:val="28"/>
          <w:lang w:eastAsia="zh-CN"/>
        </w:rPr>
        <w:t>借款人查阅自己的信用数据的权利是否得到法律或法规的保障?</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191.</w:t>
      </w:r>
      <w:r>
        <w:rPr>
          <w:rFonts w:eastAsia="宋体"/>
          <w:b/>
          <w:sz w:val="28"/>
          <w:szCs w:val="28"/>
          <w:lang w:eastAsia="zh-CN"/>
        </w:rPr>
        <w:t>法律或法规是否规定，借款人有权要求纠正数据中的任何错误?</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192.</w:t>
      </w:r>
      <w:r>
        <w:rPr>
          <w:rFonts w:eastAsia="宋体"/>
          <w:b/>
          <w:sz w:val="28"/>
          <w:szCs w:val="28"/>
          <w:lang w:eastAsia="zh-CN"/>
        </w:rPr>
        <w:t>借款人获取其数据的费用以当地货币计算是多少？请输入以当地货币计算的费用。</w:t>
      </w:r>
    </w:p>
    <w:p>
      <w:pPr>
        <w:pStyle w:val="5"/>
        <w:spacing w:line="400" w:lineRule="exact"/>
        <w:ind w:firstLine="562" w:firstLineChars="200"/>
        <w:jc w:val="both"/>
        <w:rPr>
          <w:rFonts w:eastAsia="宋体"/>
          <w:b/>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193.</w:t>
      </w:r>
      <w:r>
        <w:rPr>
          <w:rFonts w:eastAsia="宋体"/>
          <w:b/>
          <w:sz w:val="28"/>
          <w:szCs w:val="28"/>
          <w:lang w:eastAsia="zh-CN"/>
        </w:rPr>
        <w:t>借款人能否在网上查阅其信用数据?</w:t>
      </w:r>
      <w:r>
        <w:rPr>
          <w:rFonts w:eastAsia="宋体"/>
          <w:spacing w:val="-2"/>
          <w:sz w:val="28"/>
          <w:szCs w:val="28"/>
          <w:lang w:eastAsia="zh-CN"/>
        </w:rPr>
        <w:t>(</w:t>
      </w:r>
      <w:r>
        <w:rPr>
          <w:rFonts w:hint="eastAsia" w:eastAsia="宋体"/>
          <w:spacing w:val="-2"/>
          <w:sz w:val="28"/>
          <w:szCs w:val="28"/>
          <w:lang w:eastAsia="zh-CN"/>
        </w:rPr>
        <w:t>Y/N</w:t>
      </w:r>
      <w:r>
        <w:rPr>
          <w:rFonts w:eastAsia="宋体"/>
          <w:spacing w:val="-2"/>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194.</w:t>
      </w:r>
      <w:r>
        <w:rPr>
          <w:rFonts w:eastAsia="宋体"/>
          <w:b/>
          <w:sz w:val="28"/>
          <w:szCs w:val="28"/>
          <w:lang w:eastAsia="zh-CN"/>
        </w:rPr>
        <w:t>法律或法规是否要求向客户/借款人通报向信用局或登记处报告的负面信息?</w:t>
      </w:r>
      <w:r>
        <w:rPr>
          <w:rFonts w:eastAsia="宋体"/>
          <w:sz w:val="28"/>
          <w:szCs w:val="28"/>
          <w:lang w:eastAsia="zh-CN"/>
        </w:rPr>
        <w:t>(</w:t>
      </w:r>
      <w:r>
        <w:rPr>
          <w:rFonts w:hint="eastAsia" w:eastAsia="宋体"/>
          <w:sz w:val="28"/>
          <w:szCs w:val="28"/>
          <w:lang w:eastAsia="zh-CN"/>
        </w:rPr>
        <w:t>Y/N</w:t>
      </w:r>
      <w:r>
        <w:rPr>
          <w:rFonts w:eastAsia="宋体"/>
          <w:sz w:val="28"/>
          <w:szCs w:val="28"/>
          <w:lang w:eastAsia="zh-CN"/>
        </w:rPr>
        <w:t>)</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195.</w:t>
      </w:r>
      <w:r>
        <w:rPr>
          <w:rFonts w:eastAsia="宋体"/>
          <w:b/>
          <w:sz w:val="28"/>
          <w:szCs w:val="28"/>
          <w:lang w:eastAsia="zh-CN"/>
        </w:rPr>
        <w:t>银行和其他金融机构是否可以在线访问信用局/登记处的数据?</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196.</w:t>
      </w:r>
      <w:r>
        <w:rPr>
          <w:rFonts w:eastAsia="宋体"/>
          <w:b/>
          <w:sz w:val="28"/>
          <w:szCs w:val="28"/>
          <w:lang w:eastAsia="zh-CN"/>
        </w:rPr>
        <w:t>如果是，银行等金融机构通过什么方式访问征信局/征信局的数据?</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196a</w:t>
      </w:r>
      <w:r>
        <w:rPr>
          <w:rFonts w:hint="eastAsia" w:eastAsia="宋体"/>
          <w:sz w:val="28"/>
          <w:szCs w:val="28"/>
          <w:lang w:eastAsia="zh-CN"/>
        </w:rPr>
        <w:t>.</w:t>
      </w:r>
      <w:r>
        <w:rPr>
          <w:rFonts w:eastAsia="宋体"/>
          <w:sz w:val="28"/>
          <w:szCs w:val="28"/>
          <w:lang w:eastAsia="zh-CN"/>
        </w:rPr>
        <w:t>通过web界面</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196b</w:t>
      </w:r>
      <w:r>
        <w:rPr>
          <w:rFonts w:hint="eastAsia" w:eastAsia="宋体"/>
          <w:sz w:val="28"/>
          <w:szCs w:val="28"/>
          <w:lang w:eastAsia="zh-CN"/>
        </w:rPr>
        <w:t>.</w:t>
      </w:r>
      <w:r>
        <w:rPr>
          <w:rFonts w:eastAsia="宋体"/>
          <w:sz w:val="28"/>
          <w:szCs w:val="28"/>
          <w:lang w:eastAsia="zh-CN"/>
        </w:rPr>
        <w:t>通过系统对系统的连接</w:t>
      </w:r>
    </w:p>
    <w:p>
      <w:pPr>
        <w:pStyle w:val="5"/>
        <w:spacing w:line="400" w:lineRule="exact"/>
        <w:ind w:firstLine="560" w:firstLineChars="200"/>
        <w:jc w:val="both"/>
        <w:rPr>
          <w:rFonts w:eastAsia="宋体"/>
          <w:sz w:val="28"/>
          <w:szCs w:val="28"/>
          <w:lang w:eastAsia="zh-CN"/>
        </w:rPr>
      </w:pPr>
    </w:p>
    <w:p>
      <w:pPr>
        <w:pStyle w:val="11"/>
        <w:tabs>
          <w:tab w:val="left" w:pos="647"/>
        </w:tabs>
        <w:spacing w:line="400" w:lineRule="exact"/>
        <w:ind w:left="0" w:firstLine="562" w:firstLineChars="200"/>
        <w:outlineLvl w:val="0"/>
        <w:rPr>
          <w:rFonts w:eastAsia="宋体"/>
          <w:i/>
          <w:sz w:val="28"/>
          <w:szCs w:val="28"/>
          <w:lang w:eastAsia="zh-CN"/>
        </w:rPr>
      </w:pPr>
      <w:r>
        <w:rPr>
          <w:rFonts w:eastAsia="宋体"/>
          <w:b/>
          <w:bCs/>
          <w:sz w:val="28"/>
          <w:szCs w:val="28"/>
          <w:lang w:eastAsia="zh-CN"/>
        </w:rPr>
        <w:t>197.</w:t>
      </w:r>
      <w:r>
        <w:rPr>
          <w:rFonts w:eastAsia="宋体"/>
          <w:b/>
          <w:sz w:val="28"/>
          <w:szCs w:val="28"/>
          <w:lang w:eastAsia="zh-CN"/>
        </w:rPr>
        <w:t>如果不是，访问数据的最常用手段是什么?</w:t>
      </w:r>
      <w:r>
        <w:rPr>
          <w:rFonts w:eastAsia="宋体"/>
          <w:i/>
          <w:sz w:val="28"/>
          <w:szCs w:val="28"/>
          <w:lang w:eastAsia="zh-CN"/>
        </w:rPr>
        <w:t>(</w:t>
      </w:r>
      <w:r>
        <w:rPr>
          <w:rFonts w:hint="eastAsia" w:eastAsia="宋体"/>
          <w:i/>
          <w:sz w:val="28"/>
          <w:szCs w:val="28"/>
          <w:lang w:eastAsia="zh-CN"/>
        </w:rPr>
        <w:t>不计分</w:t>
      </w:r>
      <w:r>
        <w:rPr>
          <w:rFonts w:eastAsia="宋体"/>
          <w:i/>
          <w:spacing w:val="-2"/>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198.</w:t>
      </w:r>
      <w:r>
        <w:rPr>
          <w:rFonts w:eastAsia="宋体"/>
          <w:b/>
          <w:sz w:val="28"/>
          <w:szCs w:val="28"/>
          <w:lang w:eastAsia="zh-CN"/>
        </w:rPr>
        <w:t>在线访问是在哪一天开始的？请指出大概的日期(月/年)。如果自贵国信用机构/登记处开始运作以来就可以使用，请确认。</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198a.日期</w:t>
      </w:r>
    </w:p>
    <w:p>
      <w:pPr>
        <w:pStyle w:val="5"/>
        <w:spacing w:line="400" w:lineRule="exact"/>
        <w:ind w:firstLine="560" w:firstLineChars="200"/>
        <w:jc w:val="both"/>
        <w:rPr>
          <w:rFonts w:eastAsia="宋体"/>
          <w:sz w:val="28"/>
          <w:szCs w:val="28"/>
          <w:lang w:eastAsia="zh-CN"/>
        </w:rPr>
      </w:pPr>
      <w:r>
        <w:rPr>
          <w:rFonts w:eastAsia="宋体"/>
          <w:sz w:val="28"/>
          <w:szCs w:val="28"/>
          <w:lang w:eastAsia="zh-CN"/>
        </w:rPr>
        <w:t>198b.自业务开始以来可使用</w:t>
      </w:r>
    </w:p>
    <w:p>
      <w:pPr>
        <w:pStyle w:val="11"/>
        <w:tabs>
          <w:tab w:val="left" w:pos="647"/>
        </w:tabs>
        <w:spacing w:line="400" w:lineRule="exact"/>
        <w:ind w:left="0" w:firstLine="562" w:firstLineChars="200"/>
        <w:rPr>
          <w:rFonts w:eastAsia="宋体"/>
          <w:b/>
          <w:bCs/>
          <w:sz w:val="28"/>
          <w:szCs w:val="28"/>
          <w:lang w:eastAsia="zh-CN"/>
        </w:rPr>
      </w:pPr>
    </w:p>
    <w:p>
      <w:pPr>
        <w:pStyle w:val="11"/>
        <w:tabs>
          <w:tab w:val="left" w:pos="647"/>
        </w:tabs>
        <w:spacing w:line="400" w:lineRule="exact"/>
        <w:ind w:left="0" w:firstLine="562" w:firstLineChars="200"/>
        <w:rPr>
          <w:rFonts w:eastAsia="宋体"/>
          <w:b/>
          <w:sz w:val="28"/>
          <w:szCs w:val="28"/>
          <w:lang w:eastAsia="zh-CN"/>
        </w:rPr>
      </w:pPr>
      <w:r>
        <w:rPr>
          <w:rFonts w:eastAsia="宋体"/>
          <w:b/>
          <w:bCs/>
          <w:sz w:val="28"/>
          <w:szCs w:val="28"/>
          <w:lang w:eastAsia="zh-CN"/>
        </w:rPr>
        <w:t>199.</w:t>
      </w:r>
      <w:r>
        <w:rPr>
          <w:rFonts w:eastAsia="宋体"/>
          <w:b/>
          <w:sz w:val="28"/>
          <w:szCs w:val="28"/>
          <w:lang w:eastAsia="zh-CN"/>
        </w:rPr>
        <w:t>贵单位的征信机构/登记处是否向银行和其他金融机构提供信用评分作为一种增值服务?(</w:t>
      </w:r>
      <w:r>
        <w:rPr>
          <w:rFonts w:hint="eastAsia" w:eastAsia="宋体"/>
          <w:b/>
          <w:sz w:val="28"/>
          <w:szCs w:val="28"/>
          <w:lang w:eastAsia="zh-CN"/>
        </w:rPr>
        <w:t>Y/N</w:t>
      </w:r>
      <w:r>
        <w:rPr>
          <w:rFonts w:eastAsia="宋体"/>
          <w:b/>
          <w:sz w:val="28"/>
          <w:szCs w:val="28"/>
          <w:lang w:eastAsia="zh-CN"/>
        </w:rPr>
        <w:t>)</w:t>
      </w:r>
    </w:p>
    <w:p>
      <w:pPr>
        <w:pStyle w:val="11"/>
        <w:tabs>
          <w:tab w:val="left" w:pos="647"/>
        </w:tabs>
        <w:spacing w:line="400" w:lineRule="exact"/>
        <w:ind w:left="0" w:firstLine="562" w:firstLineChars="200"/>
        <w:rPr>
          <w:rFonts w:eastAsia="宋体"/>
          <w:i/>
          <w:sz w:val="28"/>
          <w:szCs w:val="28"/>
          <w:lang w:eastAsia="zh-CN"/>
        </w:rPr>
      </w:pPr>
      <w:r>
        <w:rPr>
          <w:rFonts w:eastAsia="宋体"/>
          <w:b/>
          <w:bCs/>
          <w:sz w:val="28"/>
          <w:szCs w:val="28"/>
          <w:lang w:eastAsia="zh-CN"/>
        </w:rPr>
        <w:t>200.</w:t>
      </w:r>
      <w:r>
        <w:rPr>
          <w:rFonts w:eastAsia="宋体"/>
          <w:b/>
          <w:sz w:val="28"/>
          <w:szCs w:val="28"/>
          <w:lang w:eastAsia="zh-CN"/>
        </w:rPr>
        <w:t>您的征信所/注册处何时开始提供信用评分服务?</w:t>
      </w:r>
      <w:r>
        <w:rPr>
          <w:rFonts w:eastAsia="宋体"/>
          <w:sz w:val="28"/>
          <w:szCs w:val="28"/>
          <w:lang w:eastAsia="zh-CN"/>
        </w:rPr>
        <w:t>(日期MM/YYYY)</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pStyle w:val="5"/>
        <w:spacing w:line="400" w:lineRule="exact"/>
        <w:ind w:firstLine="560" w:firstLineChars="200"/>
        <w:jc w:val="both"/>
        <w:rPr>
          <w:rFonts w:eastAsia="宋体"/>
          <w:i/>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201.</w:t>
      </w:r>
      <w:r>
        <w:rPr>
          <w:rFonts w:eastAsia="宋体"/>
          <w:b/>
          <w:sz w:val="28"/>
          <w:szCs w:val="28"/>
          <w:lang w:eastAsia="zh-CN"/>
        </w:rPr>
        <w:t>如果征信局/征信局提供信用评分，其网站是否包含如何解读信用评分的说明，以及哪些因素会影响借款人的评分?</w:t>
      </w:r>
      <w:r>
        <w:rPr>
          <w:rFonts w:eastAsia="宋体"/>
          <w:i/>
          <w:sz w:val="28"/>
          <w:szCs w:val="28"/>
          <w:lang w:eastAsia="zh-CN"/>
        </w:rPr>
        <w:t>(</w:t>
      </w:r>
      <w:r>
        <w:rPr>
          <w:rFonts w:hint="eastAsia" w:eastAsia="宋体"/>
          <w:i/>
          <w:sz w:val="28"/>
          <w:szCs w:val="28"/>
          <w:lang w:eastAsia="zh-CN"/>
        </w:rPr>
        <w:t>不计分</w:t>
      </w:r>
      <w:r>
        <w:rPr>
          <w:rFonts w:eastAsia="宋体"/>
          <w:i/>
          <w:sz w:val="28"/>
          <w:szCs w:val="28"/>
          <w:lang w:eastAsia="zh-CN"/>
        </w:rPr>
        <w:t>)</w:t>
      </w:r>
    </w:p>
    <w:p>
      <w:pPr>
        <w:spacing w:line="400" w:lineRule="exact"/>
        <w:ind w:firstLine="560" w:firstLineChars="200"/>
        <w:jc w:val="both"/>
        <w:rPr>
          <w:rFonts w:eastAsia="宋体"/>
          <w:sz w:val="28"/>
          <w:szCs w:val="28"/>
          <w:lang w:eastAsia="zh-CN"/>
        </w:rPr>
      </w:pPr>
      <w:r>
        <w:rPr>
          <w:rFonts w:eastAsia="宋体"/>
          <w:sz w:val="28"/>
          <w:szCs w:val="28"/>
          <w:lang w:eastAsia="zh-CN"/>
        </w:rPr>
        <w:t>201a.是的，只包括关于如何解释信用分数的解释。</w:t>
      </w:r>
    </w:p>
    <w:p>
      <w:pPr>
        <w:spacing w:line="400" w:lineRule="exact"/>
        <w:ind w:firstLine="560" w:firstLineChars="200"/>
        <w:jc w:val="both"/>
        <w:rPr>
          <w:rFonts w:eastAsia="宋体"/>
          <w:sz w:val="28"/>
          <w:szCs w:val="28"/>
          <w:lang w:eastAsia="zh-CN"/>
        </w:rPr>
      </w:pPr>
      <w:r>
        <w:rPr>
          <w:rFonts w:eastAsia="宋体"/>
          <w:sz w:val="28"/>
          <w:szCs w:val="28"/>
          <w:lang w:eastAsia="zh-CN"/>
        </w:rPr>
        <w:t>201b.是的，只解释了哪些因素会影响借款人的分数</w:t>
      </w:r>
    </w:p>
    <w:p>
      <w:pPr>
        <w:spacing w:line="400" w:lineRule="exact"/>
        <w:ind w:firstLine="560" w:firstLineChars="200"/>
        <w:jc w:val="both"/>
        <w:rPr>
          <w:rFonts w:eastAsia="宋体"/>
          <w:sz w:val="28"/>
          <w:szCs w:val="28"/>
          <w:lang w:eastAsia="zh-CN"/>
        </w:rPr>
      </w:pPr>
      <w:r>
        <w:rPr>
          <w:rFonts w:eastAsia="宋体"/>
          <w:sz w:val="28"/>
          <w:szCs w:val="28"/>
          <w:lang w:eastAsia="zh-CN"/>
        </w:rPr>
        <w:t>201c.是的，两者都有</w:t>
      </w:r>
    </w:p>
    <w:p>
      <w:pPr>
        <w:spacing w:line="400" w:lineRule="exact"/>
        <w:ind w:firstLine="560" w:firstLineChars="200"/>
        <w:jc w:val="both"/>
        <w:rPr>
          <w:rFonts w:eastAsia="宋体"/>
          <w:sz w:val="28"/>
          <w:szCs w:val="28"/>
          <w:lang w:eastAsia="zh-CN"/>
        </w:rPr>
        <w:sectPr>
          <w:pgSz w:w="12240" w:h="15840"/>
          <w:pgMar w:top="1440" w:right="1800" w:bottom="1440" w:left="1800" w:header="720" w:footer="720" w:gutter="0"/>
          <w:cols w:space="720" w:num="1"/>
        </w:sectPr>
      </w:pPr>
      <w:r>
        <w:rPr>
          <w:rFonts w:eastAsia="宋体"/>
          <w:sz w:val="28"/>
          <w:szCs w:val="28"/>
          <w:lang w:eastAsia="zh-CN"/>
        </w:rPr>
        <w:t>201d.没有</w:t>
      </w:r>
    </w:p>
    <w:tbl>
      <w:tblPr>
        <w:tblStyle w:val="8"/>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60"/>
        <w:gridCol w:w="1075"/>
        <w:gridCol w:w="1159"/>
        <w:gridCol w:w="1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7" w:type="dxa"/>
            <w:gridSpan w:val="4"/>
            <w:shd w:val="clear" w:color="auto" w:fill="CCD4EA"/>
            <w:vAlign w:val="center"/>
          </w:tcPr>
          <w:p>
            <w:pPr>
              <w:pStyle w:val="12"/>
              <w:spacing w:before="101"/>
              <w:jc w:val="both"/>
              <w:rPr>
                <w:rFonts w:eastAsia="宋体"/>
                <w:b/>
                <w:sz w:val="21"/>
                <w:szCs w:val="21"/>
                <w:lang w:eastAsia="zh-CN"/>
              </w:rPr>
            </w:pPr>
            <w:r>
              <w:rPr>
                <w:rFonts w:eastAsia="宋体"/>
                <w:b/>
                <w:color w:val="2E5395"/>
                <w:sz w:val="21"/>
                <w:szCs w:val="21"/>
                <w:lang w:eastAsia="zh-CN"/>
              </w:rPr>
              <w:t>2.1</w:t>
            </w:r>
            <w:r>
              <w:rPr>
                <w:rFonts w:eastAsia="宋体"/>
                <w:b/>
                <w:color w:val="4471C4"/>
                <w:sz w:val="21"/>
                <w:szCs w:val="21"/>
                <w:lang w:eastAsia="zh-CN"/>
              </w:rPr>
              <w:t>征信局和征信所的运营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7" w:type="dxa"/>
            <w:gridSpan w:val="4"/>
            <w:shd w:val="clear" w:color="auto" w:fill="E7EBF5"/>
            <w:vAlign w:val="center"/>
          </w:tcPr>
          <w:p>
            <w:pPr>
              <w:pStyle w:val="12"/>
              <w:spacing w:before="101"/>
              <w:ind w:left="467"/>
              <w:jc w:val="both"/>
              <w:rPr>
                <w:rFonts w:eastAsia="宋体"/>
                <w:b/>
                <w:sz w:val="21"/>
                <w:szCs w:val="21"/>
                <w:lang w:eastAsia="zh-CN"/>
              </w:rPr>
            </w:pPr>
            <w:r>
              <w:rPr>
                <w:rFonts w:eastAsia="宋体"/>
                <w:b/>
                <w:sz w:val="21"/>
                <w:szCs w:val="21"/>
                <w:lang w:eastAsia="zh-CN"/>
              </w:rPr>
              <w:t>2.1.1数据覆盖及信用信息获取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60" w:type="dxa"/>
            <w:vAlign w:val="center"/>
          </w:tcPr>
          <w:p>
            <w:pPr>
              <w:pStyle w:val="12"/>
              <w:spacing w:before="26"/>
              <w:jc w:val="both"/>
              <w:rPr>
                <w:rFonts w:eastAsia="宋体"/>
                <w:b/>
                <w:sz w:val="21"/>
                <w:szCs w:val="21"/>
              </w:rPr>
            </w:pPr>
            <w:r>
              <w:rPr>
                <w:rFonts w:eastAsia="宋体"/>
                <w:b/>
                <w:spacing w:val="-2"/>
                <w:sz w:val="21"/>
                <w:szCs w:val="21"/>
              </w:rPr>
              <w:t>指标</w:t>
            </w:r>
          </w:p>
        </w:tc>
        <w:tc>
          <w:tcPr>
            <w:tcW w:w="1075" w:type="dxa"/>
            <w:vAlign w:val="center"/>
          </w:tcPr>
          <w:p>
            <w:pPr>
              <w:pStyle w:val="12"/>
              <w:spacing w:before="26"/>
              <w:jc w:val="center"/>
              <w:rPr>
                <w:rFonts w:eastAsia="宋体"/>
                <w:b/>
                <w:sz w:val="21"/>
                <w:szCs w:val="21"/>
              </w:rPr>
            </w:pPr>
            <w:r>
              <w:rPr>
                <w:rFonts w:eastAsia="宋体"/>
                <w:b/>
                <w:spacing w:val="-5"/>
                <w:sz w:val="21"/>
                <w:szCs w:val="21"/>
              </w:rPr>
              <w:t>FFP</w:t>
            </w:r>
          </w:p>
        </w:tc>
        <w:tc>
          <w:tcPr>
            <w:tcW w:w="1159" w:type="dxa"/>
            <w:vAlign w:val="center"/>
          </w:tcPr>
          <w:p>
            <w:pPr>
              <w:pStyle w:val="12"/>
              <w:spacing w:before="26"/>
              <w:ind w:left="108"/>
              <w:jc w:val="center"/>
              <w:rPr>
                <w:rFonts w:eastAsia="宋体"/>
                <w:b/>
                <w:sz w:val="21"/>
                <w:szCs w:val="21"/>
              </w:rPr>
            </w:pPr>
            <w:r>
              <w:rPr>
                <w:rFonts w:eastAsia="宋体"/>
                <w:b/>
                <w:spacing w:val="-5"/>
                <w:sz w:val="21"/>
                <w:szCs w:val="21"/>
              </w:rPr>
              <w:t>SBP</w:t>
            </w:r>
          </w:p>
        </w:tc>
        <w:tc>
          <w:tcPr>
            <w:tcW w:w="1253" w:type="dxa"/>
            <w:vAlign w:val="center"/>
          </w:tcPr>
          <w:p>
            <w:pPr>
              <w:pStyle w:val="12"/>
              <w:spacing w:before="26"/>
              <w:ind w:left="108"/>
              <w:jc w:val="center"/>
              <w:rPr>
                <w:rFonts w:eastAsia="宋体"/>
                <w:b/>
                <w:sz w:val="21"/>
                <w:szCs w:val="21"/>
              </w:rPr>
            </w:pPr>
            <w:r>
              <w:rPr>
                <w:rFonts w:hint="eastAsia" w:eastAsia="宋体"/>
                <w:b/>
                <w:sz w:val="21"/>
                <w:szCs w:val="21"/>
                <w:lang w:eastAsia="zh-CN"/>
              </w:rPr>
              <w:t>总</w:t>
            </w:r>
            <w:r>
              <w:rPr>
                <w:rFonts w:eastAsia="宋体"/>
                <w:b/>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1" w:hRule="atLeast"/>
        </w:trPr>
        <w:tc>
          <w:tcPr>
            <w:tcW w:w="5960" w:type="dxa"/>
            <w:vAlign w:val="center"/>
          </w:tcPr>
          <w:p>
            <w:pPr>
              <w:pStyle w:val="12"/>
              <w:spacing w:line="230" w:lineRule="exact"/>
              <w:jc w:val="both"/>
              <w:rPr>
                <w:rFonts w:eastAsia="宋体"/>
                <w:b/>
                <w:sz w:val="21"/>
                <w:szCs w:val="21"/>
              </w:rPr>
            </w:pPr>
            <w:r>
              <w:rPr>
                <w:rFonts w:eastAsia="宋体"/>
                <w:b/>
                <w:sz w:val="21"/>
                <w:szCs w:val="21"/>
              </w:rPr>
              <w:t>数据覆盖与识别</w:t>
            </w:r>
          </w:p>
          <w:p>
            <w:pPr>
              <w:pStyle w:val="12"/>
              <w:numPr>
                <w:ilvl w:val="0"/>
                <w:numId w:val="13"/>
              </w:numPr>
              <w:tabs>
                <w:tab w:val="left" w:pos="467"/>
                <w:tab w:val="left" w:pos="468"/>
              </w:tabs>
              <w:spacing w:line="239" w:lineRule="exact"/>
              <w:ind w:hanging="361"/>
              <w:jc w:val="both"/>
              <w:rPr>
                <w:rFonts w:eastAsia="宋体"/>
                <w:sz w:val="21"/>
                <w:szCs w:val="21"/>
                <w:lang w:eastAsia="zh-CN"/>
              </w:rPr>
            </w:pPr>
            <w:r>
              <w:rPr>
                <w:rFonts w:eastAsia="宋体"/>
                <w:sz w:val="21"/>
                <w:szCs w:val="21"/>
                <w:lang w:eastAsia="zh-CN"/>
              </w:rPr>
              <w:t>公司和个人的数据是共享的(168和173)</w:t>
            </w:r>
          </w:p>
          <w:p>
            <w:pPr>
              <w:pStyle w:val="12"/>
              <w:numPr>
                <w:ilvl w:val="0"/>
                <w:numId w:val="13"/>
              </w:numPr>
              <w:tabs>
                <w:tab w:val="left" w:pos="467"/>
                <w:tab w:val="left" w:pos="468"/>
              </w:tabs>
              <w:spacing w:before="3" w:line="230" w:lineRule="auto"/>
              <w:ind w:right="344"/>
              <w:jc w:val="both"/>
              <w:rPr>
                <w:rFonts w:eastAsia="宋体"/>
                <w:sz w:val="21"/>
                <w:szCs w:val="21"/>
                <w:lang w:eastAsia="zh-CN"/>
              </w:rPr>
            </w:pPr>
            <w:r>
              <w:rPr>
                <w:rFonts w:eastAsia="宋体"/>
                <w:sz w:val="21"/>
                <w:szCs w:val="21"/>
                <w:lang w:eastAsia="zh-CN"/>
              </w:rPr>
              <w:t>除了金融机构的数据外，零售商或公用事业公司的数据也被共享(178)</w:t>
            </w:r>
          </w:p>
          <w:p>
            <w:pPr>
              <w:pStyle w:val="12"/>
              <w:numPr>
                <w:ilvl w:val="0"/>
                <w:numId w:val="13"/>
              </w:numPr>
              <w:tabs>
                <w:tab w:val="left" w:pos="467"/>
                <w:tab w:val="left" w:pos="468"/>
              </w:tabs>
              <w:spacing w:line="230" w:lineRule="exact"/>
              <w:ind w:right="310"/>
              <w:jc w:val="both"/>
              <w:rPr>
                <w:rFonts w:eastAsia="宋体"/>
                <w:sz w:val="21"/>
                <w:szCs w:val="21"/>
                <w:lang w:eastAsia="zh-CN"/>
              </w:rPr>
            </w:pPr>
            <w:r>
              <w:rPr>
                <w:rFonts w:eastAsia="宋体"/>
                <w:sz w:val="21"/>
                <w:szCs w:val="21"/>
                <w:lang w:eastAsia="zh-CN"/>
              </w:rPr>
              <w:t>跨境信息共享和危机报告(182和183)</w:t>
            </w:r>
          </w:p>
        </w:tc>
        <w:tc>
          <w:tcPr>
            <w:tcW w:w="1075" w:type="dxa"/>
            <w:vAlign w:val="center"/>
          </w:tcPr>
          <w:p>
            <w:pPr>
              <w:pStyle w:val="12"/>
              <w:jc w:val="center"/>
              <w:rPr>
                <w:rFonts w:eastAsia="宋体"/>
                <w:b/>
                <w:sz w:val="21"/>
                <w:szCs w:val="21"/>
              </w:rPr>
            </w:pPr>
            <w:r>
              <w:rPr>
                <w:rFonts w:eastAsia="宋体"/>
                <w:b/>
                <w:w w:val="99"/>
                <w:sz w:val="21"/>
                <w:szCs w:val="21"/>
              </w:rPr>
              <w:t>1</w:t>
            </w:r>
          </w:p>
          <w:p>
            <w:pPr>
              <w:pStyle w:val="12"/>
              <w:jc w:val="center"/>
              <w:rPr>
                <w:rFonts w:eastAsia="宋体"/>
                <w:sz w:val="21"/>
                <w:szCs w:val="21"/>
              </w:rPr>
            </w:pPr>
            <w:r>
              <w:rPr>
                <w:rFonts w:eastAsia="宋体"/>
                <w:spacing w:val="-5"/>
                <w:sz w:val="21"/>
                <w:szCs w:val="21"/>
              </w:rPr>
              <w:t>0.4</w:t>
            </w:r>
          </w:p>
          <w:p>
            <w:pPr>
              <w:pStyle w:val="12"/>
              <w:spacing w:before="1"/>
              <w:jc w:val="center"/>
              <w:rPr>
                <w:rFonts w:eastAsia="宋体"/>
                <w:sz w:val="21"/>
                <w:szCs w:val="21"/>
              </w:rPr>
            </w:pPr>
            <w:r>
              <w:rPr>
                <w:rFonts w:eastAsia="宋体"/>
                <w:spacing w:val="-5"/>
                <w:sz w:val="21"/>
                <w:szCs w:val="21"/>
              </w:rPr>
              <w:t>0.4</w:t>
            </w:r>
          </w:p>
          <w:p>
            <w:pPr>
              <w:pStyle w:val="12"/>
              <w:ind w:left="0"/>
              <w:jc w:val="center"/>
              <w:rPr>
                <w:rFonts w:eastAsia="宋体"/>
                <w:sz w:val="21"/>
                <w:szCs w:val="21"/>
              </w:rPr>
            </w:pPr>
          </w:p>
          <w:p>
            <w:pPr>
              <w:pStyle w:val="12"/>
              <w:spacing w:before="1"/>
              <w:jc w:val="center"/>
              <w:rPr>
                <w:rFonts w:eastAsia="宋体"/>
                <w:sz w:val="21"/>
                <w:szCs w:val="21"/>
              </w:rPr>
            </w:pPr>
            <w:r>
              <w:rPr>
                <w:rFonts w:eastAsia="宋体"/>
                <w:spacing w:val="-5"/>
                <w:sz w:val="21"/>
                <w:szCs w:val="21"/>
              </w:rPr>
              <w:t>0.2</w:t>
            </w:r>
          </w:p>
        </w:tc>
        <w:tc>
          <w:tcPr>
            <w:tcW w:w="1159" w:type="dxa"/>
            <w:vAlign w:val="center"/>
          </w:tcPr>
          <w:p>
            <w:pPr>
              <w:pStyle w:val="12"/>
              <w:ind w:left="108"/>
              <w:jc w:val="center"/>
              <w:rPr>
                <w:rFonts w:eastAsia="宋体"/>
                <w:b/>
                <w:sz w:val="21"/>
                <w:szCs w:val="21"/>
              </w:rPr>
            </w:pPr>
            <w:r>
              <w:rPr>
                <w:rFonts w:eastAsia="宋体"/>
                <w:b/>
                <w:w w:val="99"/>
                <w:sz w:val="21"/>
                <w:szCs w:val="21"/>
              </w:rPr>
              <w:t>1</w:t>
            </w:r>
          </w:p>
          <w:p>
            <w:pPr>
              <w:pStyle w:val="12"/>
              <w:ind w:left="108"/>
              <w:jc w:val="center"/>
              <w:rPr>
                <w:rFonts w:eastAsia="宋体"/>
                <w:sz w:val="21"/>
                <w:szCs w:val="21"/>
              </w:rPr>
            </w:pPr>
            <w:r>
              <w:rPr>
                <w:rFonts w:eastAsia="宋体"/>
                <w:spacing w:val="-5"/>
                <w:sz w:val="21"/>
                <w:szCs w:val="21"/>
              </w:rPr>
              <w:t>0.4</w:t>
            </w:r>
          </w:p>
          <w:p>
            <w:pPr>
              <w:pStyle w:val="12"/>
              <w:spacing w:before="1"/>
              <w:ind w:left="108"/>
              <w:jc w:val="center"/>
              <w:rPr>
                <w:rFonts w:eastAsia="宋体"/>
                <w:sz w:val="21"/>
                <w:szCs w:val="21"/>
              </w:rPr>
            </w:pPr>
            <w:r>
              <w:rPr>
                <w:rFonts w:eastAsia="宋体"/>
                <w:spacing w:val="-5"/>
                <w:sz w:val="21"/>
                <w:szCs w:val="21"/>
              </w:rPr>
              <w:t>0.4</w:t>
            </w:r>
          </w:p>
          <w:p>
            <w:pPr>
              <w:pStyle w:val="12"/>
              <w:ind w:left="0"/>
              <w:jc w:val="center"/>
              <w:rPr>
                <w:rFonts w:eastAsia="宋体"/>
                <w:sz w:val="21"/>
                <w:szCs w:val="21"/>
              </w:rPr>
            </w:pPr>
          </w:p>
          <w:p>
            <w:pPr>
              <w:pStyle w:val="12"/>
              <w:spacing w:before="1"/>
              <w:ind w:left="108"/>
              <w:jc w:val="center"/>
              <w:rPr>
                <w:rFonts w:eastAsia="宋体"/>
                <w:sz w:val="21"/>
                <w:szCs w:val="21"/>
              </w:rPr>
            </w:pPr>
            <w:r>
              <w:rPr>
                <w:rFonts w:eastAsia="宋体"/>
                <w:spacing w:val="-5"/>
                <w:sz w:val="21"/>
                <w:szCs w:val="21"/>
              </w:rPr>
              <w:t>0.2</w:t>
            </w:r>
          </w:p>
        </w:tc>
        <w:tc>
          <w:tcPr>
            <w:tcW w:w="1253" w:type="dxa"/>
            <w:vAlign w:val="center"/>
          </w:tcPr>
          <w:p>
            <w:pPr>
              <w:pStyle w:val="12"/>
              <w:ind w:left="108"/>
              <w:jc w:val="center"/>
              <w:rPr>
                <w:rFonts w:eastAsia="宋体"/>
                <w:b/>
                <w:sz w:val="21"/>
                <w:szCs w:val="21"/>
              </w:rPr>
            </w:pPr>
            <w:r>
              <w:rPr>
                <w:rFonts w:eastAsia="宋体"/>
                <w:b/>
                <w:w w:val="99"/>
                <w:sz w:val="21"/>
                <w:szCs w:val="21"/>
              </w:rPr>
              <w:t>2</w:t>
            </w:r>
          </w:p>
          <w:p>
            <w:pPr>
              <w:pStyle w:val="12"/>
              <w:ind w:left="108"/>
              <w:jc w:val="center"/>
              <w:rPr>
                <w:rFonts w:eastAsia="宋体"/>
                <w:sz w:val="21"/>
                <w:szCs w:val="21"/>
              </w:rPr>
            </w:pPr>
            <w:r>
              <w:rPr>
                <w:rFonts w:eastAsia="宋体"/>
                <w:spacing w:val="-5"/>
                <w:sz w:val="21"/>
                <w:szCs w:val="21"/>
              </w:rPr>
              <w:t>0.8</w:t>
            </w:r>
          </w:p>
          <w:p>
            <w:pPr>
              <w:pStyle w:val="12"/>
              <w:spacing w:before="1"/>
              <w:ind w:left="108"/>
              <w:jc w:val="center"/>
              <w:rPr>
                <w:rFonts w:eastAsia="宋体"/>
                <w:sz w:val="21"/>
                <w:szCs w:val="21"/>
              </w:rPr>
            </w:pPr>
            <w:r>
              <w:rPr>
                <w:rFonts w:eastAsia="宋体"/>
                <w:spacing w:val="-5"/>
                <w:sz w:val="21"/>
                <w:szCs w:val="21"/>
              </w:rPr>
              <w:t>0.8</w:t>
            </w:r>
          </w:p>
          <w:p>
            <w:pPr>
              <w:pStyle w:val="12"/>
              <w:ind w:left="0"/>
              <w:jc w:val="center"/>
              <w:rPr>
                <w:rFonts w:eastAsia="宋体"/>
                <w:sz w:val="21"/>
                <w:szCs w:val="21"/>
              </w:rPr>
            </w:pPr>
          </w:p>
          <w:p>
            <w:pPr>
              <w:pStyle w:val="12"/>
              <w:spacing w:before="1"/>
              <w:ind w:left="108"/>
              <w:jc w:val="center"/>
              <w:rPr>
                <w:rFonts w:eastAsia="宋体"/>
                <w:sz w:val="21"/>
                <w:szCs w:val="21"/>
              </w:rPr>
            </w:pPr>
            <w:r>
              <w:rPr>
                <w:rFonts w:eastAsia="宋体"/>
                <w:spacing w:val="-5"/>
                <w:sz w:val="21"/>
                <w:szCs w:val="21"/>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960" w:type="dxa"/>
            <w:tcBorders>
              <w:bottom w:val="nil"/>
            </w:tcBorders>
            <w:vAlign w:val="center"/>
          </w:tcPr>
          <w:p>
            <w:pPr>
              <w:pStyle w:val="12"/>
              <w:spacing w:line="215" w:lineRule="exact"/>
              <w:jc w:val="both"/>
              <w:rPr>
                <w:rFonts w:eastAsia="宋体"/>
                <w:b/>
                <w:sz w:val="21"/>
                <w:szCs w:val="21"/>
              </w:rPr>
            </w:pPr>
            <w:r>
              <w:rPr>
                <w:rFonts w:eastAsia="宋体"/>
                <w:b/>
                <w:sz w:val="21"/>
                <w:szCs w:val="21"/>
              </w:rPr>
              <w:t>数据范围</w:t>
            </w:r>
          </w:p>
        </w:tc>
        <w:tc>
          <w:tcPr>
            <w:tcW w:w="1075" w:type="dxa"/>
            <w:tcBorders>
              <w:bottom w:val="nil"/>
            </w:tcBorders>
            <w:vAlign w:val="center"/>
          </w:tcPr>
          <w:p>
            <w:pPr>
              <w:pStyle w:val="12"/>
              <w:spacing w:line="215" w:lineRule="exact"/>
              <w:jc w:val="center"/>
              <w:rPr>
                <w:rFonts w:eastAsia="宋体"/>
                <w:b/>
                <w:sz w:val="21"/>
                <w:szCs w:val="21"/>
              </w:rPr>
            </w:pPr>
            <w:r>
              <w:rPr>
                <w:rFonts w:eastAsia="宋体"/>
                <w:b/>
                <w:w w:val="99"/>
                <w:sz w:val="21"/>
                <w:szCs w:val="21"/>
              </w:rPr>
              <w:t>1</w:t>
            </w:r>
          </w:p>
        </w:tc>
        <w:tc>
          <w:tcPr>
            <w:tcW w:w="1159" w:type="dxa"/>
            <w:tcBorders>
              <w:bottom w:val="nil"/>
            </w:tcBorders>
            <w:vAlign w:val="center"/>
          </w:tcPr>
          <w:p>
            <w:pPr>
              <w:pStyle w:val="12"/>
              <w:spacing w:line="215" w:lineRule="exact"/>
              <w:ind w:left="108"/>
              <w:jc w:val="center"/>
              <w:rPr>
                <w:rFonts w:eastAsia="宋体"/>
                <w:b/>
                <w:sz w:val="21"/>
                <w:szCs w:val="21"/>
              </w:rPr>
            </w:pPr>
            <w:r>
              <w:rPr>
                <w:rFonts w:eastAsia="宋体"/>
                <w:b/>
                <w:w w:val="99"/>
                <w:sz w:val="21"/>
                <w:szCs w:val="21"/>
              </w:rPr>
              <w:t>1</w:t>
            </w:r>
          </w:p>
        </w:tc>
        <w:tc>
          <w:tcPr>
            <w:tcW w:w="1253" w:type="dxa"/>
            <w:tcBorders>
              <w:bottom w:val="nil"/>
            </w:tcBorders>
            <w:vAlign w:val="center"/>
          </w:tcPr>
          <w:p>
            <w:pPr>
              <w:pStyle w:val="12"/>
              <w:spacing w:line="215" w:lineRule="exact"/>
              <w:ind w:left="108"/>
              <w:jc w:val="center"/>
              <w:rPr>
                <w:rFonts w:eastAsia="宋体"/>
                <w:b/>
                <w:sz w:val="21"/>
                <w:szCs w:val="21"/>
              </w:rPr>
            </w:pPr>
            <w:r>
              <w:rPr>
                <w:rFonts w:eastAsia="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5960" w:type="dxa"/>
            <w:tcBorders>
              <w:top w:val="nil"/>
              <w:bottom w:val="nil"/>
            </w:tcBorders>
            <w:vAlign w:val="center"/>
          </w:tcPr>
          <w:p>
            <w:pPr>
              <w:pStyle w:val="12"/>
              <w:tabs>
                <w:tab w:val="left" w:pos="467"/>
              </w:tabs>
              <w:spacing w:line="216"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正面信用信息和负面信用信息都是共享的</w:t>
            </w:r>
          </w:p>
        </w:tc>
        <w:tc>
          <w:tcPr>
            <w:tcW w:w="1075" w:type="dxa"/>
            <w:tcBorders>
              <w:top w:val="nil"/>
              <w:bottom w:val="nil"/>
            </w:tcBorders>
            <w:vAlign w:val="center"/>
          </w:tcPr>
          <w:p>
            <w:pPr>
              <w:pStyle w:val="12"/>
              <w:spacing w:line="216" w:lineRule="exact"/>
              <w:jc w:val="center"/>
              <w:rPr>
                <w:rFonts w:eastAsia="宋体"/>
                <w:sz w:val="21"/>
                <w:szCs w:val="21"/>
              </w:rPr>
            </w:pPr>
            <w:r>
              <w:rPr>
                <w:rFonts w:eastAsia="宋体"/>
                <w:spacing w:val="-4"/>
                <w:sz w:val="21"/>
                <w:szCs w:val="21"/>
              </w:rPr>
              <w:t>0.34</w:t>
            </w:r>
          </w:p>
        </w:tc>
        <w:tc>
          <w:tcPr>
            <w:tcW w:w="1159" w:type="dxa"/>
            <w:tcBorders>
              <w:top w:val="nil"/>
              <w:bottom w:val="nil"/>
            </w:tcBorders>
            <w:vAlign w:val="center"/>
          </w:tcPr>
          <w:p>
            <w:pPr>
              <w:pStyle w:val="12"/>
              <w:spacing w:line="216" w:lineRule="exact"/>
              <w:ind w:left="108"/>
              <w:jc w:val="center"/>
              <w:rPr>
                <w:rFonts w:eastAsia="宋体"/>
                <w:sz w:val="21"/>
                <w:szCs w:val="21"/>
              </w:rPr>
            </w:pPr>
            <w:r>
              <w:rPr>
                <w:rFonts w:eastAsia="宋体"/>
                <w:spacing w:val="-4"/>
                <w:sz w:val="21"/>
                <w:szCs w:val="21"/>
              </w:rPr>
              <w:t>0.34</w:t>
            </w:r>
          </w:p>
        </w:tc>
        <w:tc>
          <w:tcPr>
            <w:tcW w:w="1253" w:type="dxa"/>
            <w:tcBorders>
              <w:top w:val="nil"/>
              <w:bottom w:val="nil"/>
            </w:tcBorders>
            <w:vAlign w:val="center"/>
          </w:tcPr>
          <w:p>
            <w:pPr>
              <w:pStyle w:val="12"/>
              <w:spacing w:line="216" w:lineRule="exact"/>
              <w:ind w:left="108"/>
              <w:jc w:val="center"/>
              <w:rPr>
                <w:rFonts w:eastAsia="宋体"/>
                <w:sz w:val="21"/>
                <w:szCs w:val="21"/>
              </w:rPr>
            </w:pPr>
            <w:r>
              <w:rPr>
                <w:rFonts w:eastAsia="宋体"/>
                <w:spacing w:val="-4"/>
                <w:sz w:val="21"/>
                <w:szCs w:val="21"/>
              </w:rPr>
              <w:t>0.68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5960" w:type="dxa"/>
            <w:tcBorders>
              <w:top w:val="nil"/>
              <w:bottom w:val="nil"/>
            </w:tcBorders>
            <w:vAlign w:val="center"/>
          </w:tcPr>
          <w:p>
            <w:pPr>
              <w:pStyle w:val="12"/>
              <w:spacing w:line="206" w:lineRule="exact"/>
              <w:ind w:left="467"/>
              <w:jc w:val="both"/>
              <w:rPr>
                <w:rFonts w:eastAsia="宋体"/>
                <w:sz w:val="21"/>
                <w:szCs w:val="21"/>
              </w:rPr>
            </w:pPr>
            <w:r>
              <w:rPr>
                <w:rFonts w:eastAsia="宋体"/>
                <w:sz w:val="21"/>
                <w:szCs w:val="21"/>
              </w:rPr>
              <w:t>(169</w:t>
            </w:r>
            <w:r>
              <w:rPr>
                <w:rFonts w:eastAsia="宋体"/>
                <w:spacing w:val="-3"/>
                <w:sz w:val="21"/>
                <w:szCs w:val="21"/>
              </w:rPr>
              <w:t xml:space="preserve"> </w:t>
            </w:r>
            <w:r>
              <w:rPr>
                <w:rFonts w:eastAsia="宋体"/>
                <w:spacing w:val="-3"/>
                <w:sz w:val="21"/>
                <w:szCs w:val="21"/>
                <w:lang w:eastAsia="zh-CN"/>
              </w:rPr>
              <w:t>、</w:t>
            </w:r>
            <w:r>
              <w:rPr>
                <w:rFonts w:eastAsia="宋体"/>
                <w:sz w:val="21"/>
                <w:szCs w:val="21"/>
              </w:rPr>
              <w:t>170</w:t>
            </w:r>
            <w:r>
              <w:rPr>
                <w:rFonts w:eastAsia="宋体"/>
                <w:sz w:val="21"/>
                <w:szCs w:val="21"/>
                <w:lang w:eastAsia="zh-CN"/>
              </w:rPr>
              <w:t>、</w:t>
            </w:r>
            <w:r>
              <w:rPr>
                <w:rFonts w:eastAsia="宋体"/>
                <w:sz w:val="21"/>
                <w:szCs w:val="21"/>
              </w:rPr>
              <w:t>174</w:t>
            </w:r>
            <w:r>
              <w:rPr>
                <w:rFonts w:eastAsia="宋体"/>
                <w:spacing w:val="-3"/>
                <w:sz w:val="21"/>
                <w:szCs w:val="21"/>
              </w:rPr>
              <w:t xml:space="preserve"> </w:t>
            </w:r>
            <w:r>
              <w:rPr>
                <w:rFonts w:eastAsia="宋体"/>
                <w:spacing w:val="-3"/>
                <w:sz w:val="21"/>
                <w:szCs w:val="21"/>
                <w:lang w:eastAsia="zh-CN"/>
              </w:rPr>
              <w:t>和</w:t>
            </w:r>
            <w:r>
              <w:rPr>
                <w:rFonts w:eastAsia="宋体"/>
                <w:spacing w:val="-4"/>
                <w:sz w:val="21"/>
                <w:szCs w:val="21"/>
              </w:rPr>
              <w:t>175)</w:t>
            </w:r>
          </w:p>
        </w:tc>
        <w:tc>
          <w:tcPr>
            <w:tcW w:w="1075" w:type="dxa"/>
            <w:tcBorders>
              <w:top w:val="nil"/>
              <w:bottom w:val="nil"/>
            </w:tcBorders>
            <w:vAlign w:val="center"/>
          </w:tcPr>
          <w:p>
            <w:pPr>
              <w:pStyle w:val="12"/>
              <w:ind w:left="0"/>
              <w:jc w:val="center"/>
              <w:rPr>
                <w:rFonts w:eastAsia="宋体"/>
                <w:sz w:val="21"/>
                <w:szCs w:val="21"/>
              </w:rPr>
            </w:pPr>
          </w:p>
        </w:tc>
        <w:tc>
          <w:tcPr>
            <w:tcW w:w="1159" w:type="dxa"/>
            <w:tcBorders>
              <w:top w:val="nil"/>
              <w:bottom w:val="nil"/>
            </w:tcBorders>
            <w:vAlign w:val="center"/>
          </w:tcPr>
          <w:p>
            <w:pPr>
              <w:pStyle w:val="12"/>
              <w:ind w:left="0"/>
              <w:jc w:val="center"/>
              <w:rPr>
                <w:rFonts w:eastAsia="宋体"/>
                <w:sz w:val="21"/>
                <w:szCs w:val="21"/>
              </w:rPr>
            </w:pPr>
          </w:p>
        </w:tc>
        <w:tc>
          <w:tcPr>
            <w:tcW w:w="1253" w:type="dxa"/>
            <w:tcBorders>
              <w:top w:val="nil"/>
              <w:bottom w:val="nil"/>
            </w:tcBorders>
            <w:vAlign w:val="center"/>
          </w:tcPr>
          <w:p>
            <w:pPr>
              <w:pStyle w:val="12"/>
              <w:ind w:left="0"/>
              <w:jc w:val="center"/>
              <w:rPr>
                <w:rFonts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5960" w:type="dxa"/>
            <w:tcBorders>
              <w:top w:val="nil"/>
              <w:bottom w:val="nil"/>
            </w:tcBorders>
            <w:vAlign w:val="center"/>
          </w:tcPr>
          <w:p>
            <w:pPr>
              <w:pStyle w:val="12"/>
              <w:tabs>
                <w:tab w:val="left" w:pos="467"/>
              </w:tabs>
              <w:spacing w:line="214"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共享至少两年的历史数据(184和185)</w:t>
            </w:r>
          </w:p>
        </w:tc>
        <w:tc>
          <w:tcPr>
            <w:tcW w:w="1075" w:type="dxa"/>
            <w:tcBorders>
              <w:top w:val="nil"/>
              <w:bottom w:val="nil"/>
            </w:tcBorders>
            <w:vAlign w:val="center"/>
          </w:tcPr>
          <w:p>
            <w:pPr>
              <w:pStyle w:val="12"/>
              <w:spacing w:line="214" w:lineRule="exact"/>
              <w:jc w:val="center"/>
              <w:rPr>
                <w:rFonts w:eastAsia="宋体"/>
                <w:sz w:val="21"/>
                <w:szCs w:val="21"/>
              </w:rPr>
            </w:pPr>
            <w:r>
              <w:rPr>
                <w:rFonts w:eastAsia="宋体"/>
                <w:spacing w:val="-4"/>
                <w:sz w:val="21"/>
                <w:szCs w:val="21"/>
              </w:rPr>
              <w:t>0.33</w:t>
            </w:r>
          </w:p>
        </w:tc>
        <w:tc>
          <w:tcPr>
            <w:tcW w:w="1159" w:type="dxa"/>
            <w:tcBorders>
              <w:top w:val="nil"/>
              <w:bottom w:val="nil"/>
            </w:tcBorders>
            <w:vAlign w:val="center"/>
          </w:tcPr>
          <w:p>
            <w:pPr>
              <w:pStyle w:val="12"/>
              <w:spacing w:line="214" w:lineRule="exact"/>
              <w:ind w:left="108"/>
              <w:jc w:val="center"/>
              <w:rPr>
                <w:rFonts w:eastAsia="宋体"/>
                <w:sz w:val="21"/>
                <w:szCs w:val="21"/>
              </w:rPr>
            </w:pPr>
            <w:r>
              <w:rPr>
                <w:rFonts w:eastAsia="宋体"/>
                <w:spacing w:val="-4"/>
                <w:sz w:val="21"/>
                <w:szCs w:val="21"/>
              </w:rPr>
              <w:t>0.33</w:t>
            </w:r>
          </w:p>
        </w:tc>
        <w:tc>
          <w:tcPr>
            <w:tcW w:w="1253" w:type="dxa"/>
            <w:tcBorders>
              <w:top w:val="nil"/>
              <w:bottom w:val="nil"/>
            </w:tcBorders>
            <w:vAlign w:val="center"/>
          </w:tcPr>
          <w:p>
            <w:pPr>
              <w:pStyle w:val="12"/>
              <w:spacing w:line="214" w:lineRule="exact"/>
              <w:ind w:left="108"/>
              <w:jc w:val="center"/>
              <w:rPr>
                <w:rFonts w:eastAsia="宋体"/>
                <w:sz w:val="21"/>
                <w:szCs w:val="21"/>
              </w:rPr>
            </w:pPr>
            <w:r>
              <w:rPr>
                <w:rFonts w:eastAsia="宋体"/>
                <w:spacing w:val="-4"/>
                <w:sz w:val="21"/>
                <w:szCs w:val="21"/>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960" w:type="dxa"/>
            <w:tcBorders>
              <w:top w:val="nil"/>
              <w:bottom w:val="nil"/>
            </w:tcBorders>
            <w:vAlign w:val="center"/>
          </w:tcPr>
          <w:p>
            <w:pPr>
              <w:pStyle w:val="12"/>
              <w:tabs>
                <w:tab w:val="left" w:pos="467"/>
              </w:tabs>
              <w:spacing w:line="219" w:lineRule="exact"/>
              <w:jc w:val="both"/>
              <w:rPr>
                <w:rFonts w:eastAsia="宋体"/>
                <w:sz w:val="21"/>
                <w:szCs w:val="21"/>
                <w:lang w:eastAsia="zh-CN"/>
              </w:rPr>
            </w:pPr>
            <w:r>
              <w:rPr>
                <w:rFonts w:eastAsia="宋体"/>
                <w:b/>
                <w:spacing w:val="-10"/>
                <w:sz w:val="21"/>
                <w:szCs w:val="21"/>
                <w:lang w:eastAsia="zh-CN"/>
              </w:rPr>
              <w:t>-</w:t>
            </w:r>
            <w:r>
              <w:rPr>
                <w:rFonts w:eastAsia="宋体"/>
                <w:b/>
                <w:sz w:val="21"/>
                <w:szCs w:val="21"/>
                <w:lang w:eastAsia="zh-CN"/>
              </w:rPr>
              <w:tab/>
            </w:r>
            <w:r>
              <w:rPr>
                <w:rFonts w:eastAsia="宋体"/>
                <w:sz w:val="21"/>
                <w:szCs w:val="21"/>
                <w:lang w:eastAsia="zh-CN"/>
              </w:rPr>
              <w:t>人均收入1%以下的贷款额数据共享</w:t>
            </w:r>
            <w:r>
              <w:rPr>
                <w:rFonts w:eastAsia="宋体"/>
                <w:spacing w:val="-4"/>
                <w:sz w:val="21"/>
                <w:szCs w:val="21"/>
                <w:lang w:eastAsia="zh-CN"/>
              </w:rPr>
              <w:t>(29)</w:t>
            </w:r>
          </w:p>
        </w:tc>
        <w:tc>
          <w:tcPr>
            <w:tcW w:w="1075" w:type="dxa"/>
            <w:tcBorders>
              <w:top w:val="nil"/>
              <w:bottom w:val="nil"/>
            </w:tcBorders>
            <w:vAlign w:val="center"/>
          </w:tcPr>
          <w:p>
            <w:pPr>
              <w:pStyle w:val="12"/>
              <w:spacing w:line="219" w:lineRule="exact"/>
              <w:jc w:val="center"/>
              <w:rPr>
                <w:rFonts w:eastAsia="宋体"/>
                <w:sz w:val="21"/>
                <w:szCs w:val="21"/>
              </w:rPr>
            </w:pPr>
            <w:r>
              <w:rPr>
                <w:rFonts w:eastAsia="宋体"/>
                <w:spacing w:val="-4"/>
                <w:sz w:val="21"/>
                <w:szCs w:val="21"/>
              </w:rPr>
              <w:t>0.33</w:t>
            </w:r>
          </w:p>
        </w:tc>
        <w:tc>
          <w:tcPr>
            <w:tcW w:w="1159" w:type="dxa"/>
            <w:tcBorders>
              <w:top w:val="nil"/>
              <w:bottom w:val="nil"/>
            </w:tcBorders>
            <w:vAlign w:val="center"/>
          </w:tcPr>
          <w:p>
            <w:pPr>
              <w:pStyle w:val="12"/>
              <w:spacing w:line="219" w:lineRule="exact"/>
              <w:ind w:left="108"/>
              <w:jc w:val="center"/>
              <w:rPr>
                <w:rFonts w:eastAsia="宋体"/>
                <w:sz w:val="21"/>
                <w:szCs w:val="21"/>
              </w:rPr>
            </w:pPr>
            <w:r>
              <w:rPr>
                <w:rFonts w:eastAsia="宋体"/>
                <w:spacing w:val="-4"/>
                <w:sz w:val="21"/>
                <w:szCs w:val="21"/>
              </w:rPr>
              <w:t>0.33</w:t>
            </w:r>
          </w:p>
        </w:tc>
        <w:tc>
          <w:tcPr>
            <w:tcW w:w="1253" w:type="dxa"/>
            <w:tcBorders>
              <w:top w:val="nil"/>
              <w:bottom w:val="nil"/>
            </w:tcBorders>
            <w:vAlign w:val="center"/>
          </w:tcPr>
          <w:p>
            <w:pPr>
              <w:pStyle w:val="12"/>
              <w:spacing w:line="219" w:lineRule="exact"/>
              <w:ind w:left="108"/>
              <w:jc w:val="center"/>
              <w:rPr>
                <w:rFonts w:eastAsia="宋体"/>
                <w:sz w:val="21"/>
                <w:szCs w:val="21"/>
              </w:rPr>
            </w:pPr>
            <w:r>
              <w:rPr>
                <w:rFonts w:eastAsia="宋体"/>
                <w:spacing w:val="-4"/>
                <w:sz w:val="21"/>
                <w:szCs w:val="21"/>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93" w:hRule="atLeast"/>
        </w:trPr>
        <w:tc>
          <w:tcPr>
            <w:tcW w:w="5960" w:type="dxa"/>
            <w:vAlign w:val="center"/>
          </w:tcPr>
          <w:p>
            <w:pPr>
              <w:pStyle w:val="12"/>
              <w:spacing w:line="230" w:lineRule="exact"/>
              <w:jc w:val="both"/>
              <w:rPr>
                <w:rFonts w:eastAsia="宋体"/>
                <w:b/>
                <w:sz w:val="21"/>
                <w:szCs w:val="21"/>
                <w:lang w:eastAsia="zh-CN"/>
              </w:rPr>
            </w:pPr>
            <w:r>
              <w:rPr>
                <w:rFonts w:eastAsia="宋体"/>
                <w:b/>
                <w:sz w:val="21"/>
                <w:szCs w:val="21"/>
                <w:lang w:eastAsia="zh-CN"/>
              </w:rPr>
              <w:t>附加服务和借款人获取信息的途径</w:t>
            </w:r>
          </w:p>
          <w:p>
            <w:pPr>
              <w:pStyle w:val="12"/>
              <w:numPr>
                <w:ilvl w:val="0"/>
                <w:numId w:val="14"/>
              </w:numPr>
              <w:tabs>
                <w:tab w:val="left" w:pos="468"/>
              </w:tabs>
              <w:spacing w:before="3" w:line="235" w:lineRule="auto"/>
              <w:ind w:right="185"/>
              <w:jc w:val="both"/>
              <w:rPr>
                <w:rFonts w:eastAsia="宋体"/>
                <w:sz w:val="21"/>
                <w:szCs w:val="21"/>
                <w:lang w:eastAsia="zh-CN"/>
              </w:rPr>
            </w:pPr>
            <w:r>
              <w:rPr>
                <w:rFonts w:eastAsia="宋体"/>
                <w:sz w:val="21"/>
                <w:szCs w:val="21"/>
                <w:lang w:eastAsia="zh-CN"/>
              </w:rPr>
              <w:t>根据法律规定，借款人有权访问经济中最大的信用局或登记处的数据(190和191和192和193和195)。</w:t>
            </w:r>
          </w:p>
          <w:p>
            <w:pPr>
              <w:pStyle w:val="12"/>
              <w:numPr>
                <w:ilvl w:val="0"/>
                <w:numId w:val="14"/>
              </w:numPr>
              <w:tabs>
                <w:tab w:val="left" w:pos="467"/>
                <w:tab w:val="left" w:pos="468"/>
              </w:tabs>
              <w:spacing w:before="8" w:line="230" w:lineRule="auto"/>
              <w:ind w:right="248"/>
              <w:jc w:val="both"/>
              <w:rPr>
                <w:rFonts w:eastAsia="宋体"/>
                <w:sz w:val="21"/>
                <w:szCs w:val="21"/>
                <w:lang w:eastAsia="zh-CN"/>
              </w:rPr>
            </w:pPr>
            <w:r>
              <w:rPr>
                <w:rFonts w:eastAsia="宋体"/>
                <w:sz w:val="21"/>
                <w:szCs w:val="21"/>
                <w:lang w:eastAsia="zh-CN"/>
              </w:rPr>
              <w:t>银行和其他金融机构可以在线访问信用信息(195和196)</w:t>
            </w:r>
          </w:p>
          <w:p>
            <w:pPr>
              <w:pStyle w:val="12"/>
              <w:numPr>
                <w:ilvl w:val="0"/>
                <w:numId w:val="14"/>
              </w:numPr>
              <w:tabs>
                <w:tab w:val="left" w:pos="467"/>
                <w:tab w:val="left" w:pos="468"/>
              </w:tabs>
              <w:spacing w:line="230" w:lineRule="exact"/>
              <w:ind w:right="281"/>
              <w:jc w:val="both"/>
              <w:rPr>
                <w:rFonts w:eastAsia="宋体"/>
                <w:sz w:val="21"/>
                <w:szCs w:val="21"/>
                <w:lang w:eastAsia="zh-CN"/>
              </w:rPr>
            </w:pPr>
            <w:r>
              <w:rPr>
                <w:rFonts w:eastAsia="宋体"/>
                <w:sz w:val="21"/>
                <w:szCs w:val="21"/>
                <w:lang w:eastAsia="zh-CN"/>
              </w:rPr>
              <w:t>提供局或登记处将信用评分作为增值服务，并在实践中核实借款人的信用信息(199和15和16)</w:t>
            </w:r>
          </w:p>
        </w:tc>
        <w:tc>
          <w:tcPr>
            <w:tcW w:w="1075" w:type="dxa"/>
            <w:vAlign w:val="center"/>
          </w:tcPr>
          <w:p>
            <w:pPr>
              <w:pStyle w:val="12"/>
              <w:jc w:val="center"/>
              <w:rPr>
                <w:rFonts w:eastAsia="宋体"/>
                <w:b/>
                <w:sz w:val="21"/>
                <w:szCs w:val="21"/>
              </w:rPr>
            </w:pPr>
            <w:r>
              <w:rPr>
                <w:rFonts w:eastAsia="宋体"/>
                <w:b/>
                <w:w w:val="99"/>
                <w:sz w:val="21"/>
                <w:szCs w:val="21"/>
              </w:rPr>
              <w:t>1</w:t>
            </w:r>
          </w:p>
          <w:p>
            <w:pPr>
              <w:pStyle w:val="12"/>
              <w:jc w:val="center"/>
              <w:rPr>
                <w:rFonts w:eastAsia="宋体"/>
                <w:sz w:val="21"/>
                <w:szCs w:val="21"/>
              </w:rPr>
            </w:pPr>
            <w:r>
              <w:rPr>
                <w:rFonts w:eastAsia="宋体"/>
                <w:spacing w:val="-5"/>
                <w:sz w:val="21"/>
                <w:szCs w:val="21"/>
              </w:rPr>
              <w:t>0.3</w:t>
            </w:r>
          </w:p>
          <w:p>
            <w:pPr>
              <w:pStyle w:val="12"/>
              <w:ind w:left="0"/>
              <w:jc w:val="center"/>
              <w:rPr>
                <w:rFonts w:eastAsia="宋体"/>
                <w:sz w:val="21"/>
                <w:szCs w:val="21"/>
              </w:rPr>
            </w:pPr>
          </w:p>
          <w:p>
            <w:pPr>
              <w:pStyle w:val="12"/>
              <w:jc w:val="center"/>
              <w:rPr>
                <w:rFonts w:eastAsia="宋体"/>
                <w:sz w:val="21"/>
                <w:szCs w:val="21"/>
              </w:rPr>
            </w:pPr>
            <w:r>
              <w:rPr>
                <w:rFonts w:eastAsia="宋体"/>
                <w:spacing w:val="-5"/>
                <w:sz w:val="21"/>
                <w:szCs w:val="21"/>
              </w:rPr>
              <w:t>0.3</w:t>
            </w:r>
          </w:p>
          <w:p>
            <w:pPr>
              <w:pStyle w:val="12"/>
              <w:ind w:left="0"/>
              <w:jc w:val="center"/>
              <w:rPr>
                <w:rFonts w:eastAsia="宋体"/>
                <w:sz w:val="21"/>
                <w:szCs w:val="21"/>
              </w:rPr>
            </w:pPr>
          </w:p>
          <w:p>
            <w:pPr>
              <w:pStyle w:val="12"/>
              <w:spacing w:before="1"/>
              <w:jc w:val="center"/>
              <w:rPr>
                <w:rFonts w:eastAsia="宋体"/>
                <w:sz w:val="21"/>
                <w:szCs w:val="21"/>
              </w:rPr>
            </w:pPr>
            <w:r>
              <w:rPr>
                <w:rFonts w:eastAsia="宋体"/>
                <w:spacing w:val="-5"/>
                <w:sz w:val="21"/>
                <w:szCs w:val="21"/>
              </w:rPr>
              <w:t>0.4</w:t>
            </w:r>
          </w:p>
        </w:tc>
        <w:tc>
          <w:tcPr>
            <w:tcW w:w="1159" w:type="dxa"/>
            <w:vAlign w:val="center"/>
          </w:tcPr>
          <w:p>
            <w:pPr>
              <w:pStyle w:val="12"/>
              <w:ind w:left="108"/>
              <w:jc w:val="center"/>
              <w:rPr>
                <w:rFonts w:eastAsia="宋体"/>
                <w:b/>
                <w:sz w:val="21"/>
                <w:szCs w:val="21"/>
              </w:rPr>
            </w:pPr>
            <w:r>
              <w:rPr>
                <w:rFonts w:eastAsia="宋体"/>
                <w:b/>
                <w:w w:val="99"/>
                <w:sz w:val="21"/>
                <w:szCs w:val="21"/>
              </w:rPr>
              <w:t>1</w:t>
            </w:r>
          </w:p>
          <w:p>
            <w:pPr>
              <w:pStyle w:val="12"/>
              <w:ind w:left="108"/>
              <w:jc w:val="center"/>
              <w:rPr>
                <w:rFonts w:eastAsia="宋体"/>
                <w:sz w:val="21"/>
                <w:szCs w:val="21"/>
              </w:rPr>
            </w:pPr>
            <w:r>
              <w:rPr>
                <w:rFonts w:eastAsia="宋体"/>
                <w:spacing w:val="-5"/>
                <w:sz w:val="21"/>
                <w:szCs w:val="21"/>
              </w:rPr>
              <w:t>0.3</w:t>
            </w:r>
          </w:p>
          <w:p>
            <w:pPr>
              <w:pStyle w:val="12"/>
              <w:ind w:left="0"/>
              <w:jc w:val="center"/>
              <w:rPr>
                <w:rFonts w:eastAsia="宋体"/>
                <w:sz w:val="21"/>
                <w:szCs w:val="21"/>
              </w:rPr>
            </w:pPr>
          </w:p>
          <w:p>
            <w:pPr>
              <w:pStyle w:val="12"/>
              <w:ind w:left="108"/>
              <w:jc w:val="center"/>
              <w:rPr>
                <w:rFonts w:eastAsia="宋体"/>
                <w:sz w:val="21"/>
                <w:szCs w:val="21"/>
              </w:rPr>
            </w:pPr>
            <w:r>
              <w:rPr>
                <w:rFonts w:eastAsia="宋体"/>
                <w:spacing w:val="-5"/>
                <w:sz w:val="21"/>
                <w:szCs w:val="21"/>
              </w:rPr>
              <w:t>0.3</w:t>
            </w:r>
          </w:p>
          <w:p>
            <w:pPr>
              <w:pStyle w:val="12"/>
              <w:ind w:left="0"/>
              <w:jc w:val="center"/>
              <w:rPr>
                <w:rFonts w:eastAsia="宋体"/>
                <w:sz w:val="21"/>
                <w:szCs w:val="21"/>
              </w:rPr>
            </w:pPr>
          </w:p>
          <w:p>
            <w:pPr>
              <w:pStyle w:val="12"/>
              <w:spacing w:before="1"/>
              <w:ind w:left="108"/>
              <w:jc w:val="center"/>
              <w:rPr>
                <w:rFonts w:eastAsia="宋体"/>
                <w:sz w:val="21"/>
                <w:szCs w:val="21"/>
              </w:rPr>
            </w:pPr>
            <w:r>
              <w:rPr>
                <w:rFonts w:eastAsia="宋体"/>
                <w:spacing w:val="-5"/>
                <w:sz w:val="21"/>
                <w:szCs w:val="21"/>
              </w:rPr>
              <w:t>0.4</w:t>
            </w:r>
          </w:p>
        </w:tc>
        <w:tc>
          <w:tcPr>
            <w:tcW w:w="1253" w:type="dxa"/>
            <w:vAlign w:val="center"/>
          </w:tcPr>
          <w:p>
            <w:pPr>
              <w:pStyle w:val="12"/>
              <w:ind w:left="108"/>
              <w:jc w:val="center"/>
              <w:rPr>
                <w:rFonts w:eastAsia="宋体"/>
                <w:b/>
                <w:sz w:val="21"/>
                <w:szCs w:val="21"/>
              </w:rPr>
            </w:pPr>
            <w:r>
              <w:rPr>
                <w:rFonts w:eastAsia="宋体"/>
                <w:b/>
                <w:w w:val="99"/>
                <w:sz w:val="21"/>
                <w:szCs w:val="21"/>
              </w:rPr>
              <w:t>2</w:t>
            </w:r>
          </w:p>
          <w:p>
            <w:pPr>
              <w:pStyle w:val="12"/>
              <w:ind w:left="108"/>
              <w:jc w:val="center"/>
              <w:rPr>
                <w:rFonts w:eastAsia="宋体"/>
                <w:sz w:val="21"/>
                <w:szCs w:val="21"/>
              </w:rPr>
            </w:pPr>
            <w:r>
              <w:rPr>
                <w:rFonts w:eastAsia="宋体"/>
                <w:spacing w:val="-5"/>
                <w:sz w:val="21"/>
                <w:szCs w:val="21"/>
              </w:rPr>
              <w:t>0.6</w:t>
            </w:r>
          </w:p>
          <w:p>
            <w:pPr>
              <w:pStyle w:val="12"/>
              <w:ind w:left="0"/>
              <w:jc w:val="center"/>
              <w:rPr>
                <w:rFonts w:eastAsia="宋体"/>
                <w:sz w:val="21"/>
                <w:szCs w:val="21"/>
              </w:rPr>
            </w:pPr>
          </w:p>
          <w:p>
            <w:pPr>
              <w:pStyle w:val="12"/>
              <w:ind w:left="108"/>
              <w:jc w:val="center"/>
              <w:rPr>
                <w:rFonts w:eastAsia="宋体"/>
                <w:sz w:val="21"/>
                <w:szCs w:val="21"/>
              </w:rPr>
            </w:pPr>
            <w:r>
              <w:rPr>
                <w:rFonts w:eastAsia="宋体"/>
                <w:spacing w:val="-5"/>
                <w:sz w:val="21"/>
                <w:szCs w:val="21"/>
              </w:rPr>
              <w:t>0.6</w:t>
            </w:r>
          </w:p>
          <w:p>
            <w:pPr>
              <w:pStyle w:val="12"/>
              <w:ind w:left="0"/>
              <w:jc w:val="center"/>
              <w:rPr>
                <w:rFonts w:eastAsia="宋体"/>
                <w:sz w:val="21"/>
                <w:szCs w:val="21"/>
              </w:rPr>
            </w:pPr>
          </w:p>
          <w:p>
            <w:pPr>
              <w:pStyle w:val="12"/>
              <w:spacing w:before="1"/>
              <w:ind w:left="108"/>
              <w:jc w:val="center"/>
              <w:rPr>
                <w:rFonts w:eastAsia="宋体"/>
                <w:sz w:val="21"/>
                <w:szCs w:val="21"/>
              </w:rPr>
            </w:pPr>
            <w:r>
              <w:rPr>
                <w:rFonts w:eastAsia="宋体"/>
                <w:spacing w:val="-5"/>
                <w:sz w:val="21"/>
                <w:szCs w:val="21"/>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60" w:type="dxa"/>
            <w:shd w:val="clear" w:color="auto" w:fill="FFC000"/>
            <w:vAlign w:val="center"/>
          </w:tcPr>
          <w:p>
            <w:pPr>
              <w:pStyle w:val="12"/>
              <w:spacing w:before="26"/>
              <w:jc w:val="both"/>
              <w:rPr>
                <w:rFonts w:eastAsia="宋体"/>
                <w:b/>
                <w:sz w:val="21"/>
                <w:szCs w:val="21"/>
                <w:lang w:eastAsia="zh-CN"/>
              </w:rPr>
            </w:pPr>
            <w:r>
              <w:rPr>
                <w:rFonts w:hint="eastAsia" w:eastAsia="宋体"/>
                <w:b/>
                <w:sz w:val="21"/>
                <w:szCs w:val="21"/>
                <w:lang w:eastAsia="zh-CN"/>
              </w:rPr>
              <w:t>总计</w:t>
            </w:r>
          </w:p>
        </w:tc>
        <w:tc>
          <w:tcPr>
            <w:tcW w:w="1075" w:type="dxa"/>
            <w:shd w:val="clear" w:color="auto" w:fill="FFC000"/>
            <w:vAlign w:val="center"/>
          </w:tcPr>
          <w:p>
            <w:pPr>
              <w:pStyle w:val="12"/>
              <w:spacing w:before="26"/>
              <w:jc w:val="center"/>
              <w:rPr>
                <w:rFonts w:eastAsia="宋体"/>
                <w:b/>
                <w:sz w:val="21"/>
                <w:szCs w:val="21"/>
              </w:rPr>
            </w:pPr>
            <w:r>
              <w:rPr>
                <w:rFonts w:eastAsia="宋体"/>
                <w:b/>
                <w:w w:val="99"/>
                <w:sz w:val="21"/>
                <w:szCs w:val="21"/>
              </w:rPr>
              <w:t>3.</w:t>
            </w:r>
          </w:p>
        </w:tc>
        <w:tc>
          <w:tcPr>
            <w:tcW w:w="1159" w:type="dxa"/>
            <w:shd w:val="clear" w:color="auto" w:fill="FFC000"/>
            <w:vAlign w:val="center"/>
          </w:tcPr>
          <w:p>
            <w:pPr>
              <w:pStyle w:val="12"/>
              <w:spacing w:before="26"/>
              <w:ind w:left="108"/>
              <w:jc w:val="center"/>
              <w:rPr>
                <w:rFonts w:eastAsia="宋体"/>
                <w:b/>
                <w:sz w:val="21"/>
                <w:szCs w:val="21"/>
              </w:rPr>
            </w:pPr>
            <w:r>
              <w:rPr>
                <w:rFonts w:eastAsia="宋体"/>
                <w:b/>
                <w:w w:val="99"/>
                <w:sz w:val="21"/>
                <w:szCs w:val="21"/>
              </w:rPr>
              <w:t>3.</w:t>
            </w:r>
          </w:p>
        </w:tc>
        <w:tc>
          <w:tcPr>
            <w:tcW w:w="1253" w:type="dxa"/>
            <w:shd w:val="clear" w:color="auto" w:fill="FFC000"/>
            <w:vAlign w:val="center"/>
          </w:tcPr>
          <w:p>
            <w:pPr>
              <w:pStyle w:val="12"/>
              <w:spacing w:before="26"/>
              <w:ind w:left="108"/>
              <w:jc w:val="center"/>
              <w:rPr>
                <w:rFonts w:eastAsia="宋体"/>
                <w:b/>
                <w:sz w:val="21"/>
                <w:szCs w:val="21"/>
              </w:rPr>
            </w:pPr>
            <w:r>
              <w:rPr>
                <w:rFonts w:eastAsia="宋体"/>
                <w:b/>
                <w:w w:val="99"/>
                <w:sz w:val="21"/>
                <w:szCs w:val="21"/>
              </w:rPr>
              <w:t>6</w:t>
            </w:r>
          </w:p>
        </w:tc>
      </w:tr>
    </w:tbl>
    <w:p>
      <w:pPr>
        <w:spacing w:line="400" w:lineRule="exact"/>
        <w:ind w:firstLine="420" w:firstLineChars="200"/>
        <w:rPr>
          <w:rFonts w:eastAsia="宋体"/>
          <w:sz w:val="21"/>
          <w:szCs w:val="21"/>
          <w:lang w:eastAsia="zh-CN"/>
        </w:rPr>
      </w:pPr>
      <w:r>
        <w:rPr>
          <w:rFonts w:eastAsia="宋体"/>
          <w:i/>
          <w:sz w:val="21"/>
          <w:szCs w:val="21"/>
          <w:lang w:eastAsia="zh-CN"/>
        </w:rPr>
        <w:t>注</w:t>
      </w:r>
      <w:r>
        <w:rPr>
          <w:rFonts w:hint="eastAsia" w:eastAsia="宋体"/>
          <w:i/>
          <w:sz w:val="21"/>
          <w:szCs w:val="21"/>
          <w:lang w:eastAsia="zh-CN"/>
        </w:rPr>
        <w:t>：</w:t>
      </w:r>
      <w:r>
        <w:rPr>
          <w:rFonts w:eastAsia="宋体"/>
          <w:sz w:val="21"/>
          <w:szCs w:val="21"/>
          <w:lang w:eastAsia="zh-CN"/>
        </w:rPr>
        <w:t>FFP =企业灵活度得分</w:t>
      </w:r>
      <w:r>
        <w:rPr>
          <w:rFonts w:hint="eastAsia" w:eastAsia="宋体"/>
          <w:sz w:val="21"/>
          <w:szCs w:val="21"/>
          <w:lang w:eastAsia="zh-CN"/>
        </w:rPr>
        <w:t>；</w:t>
      </w:r>
      <w:r>
        <w:rPr>
          <w:rFonts w:eastAsia="宋体"/>
          <w:sz w:val="21"/>
          <w:szCs w:val="21"/>
          <w:lang w:eastAsia="zh-CN"/>
        </w:rPr>
        <w:t>SBP =社会效益得分。</w:t>
      </w:r>
    </w:p>
    <w:p>
      <w:pPr>
        <w:spacing w:line="400" w:lineRule="exact"/>
        <w:ind w:firstLine="420" w:firstLineChars="200"/>
        <w:rPr>
          <w:rFonts w:eastAsia="宋体"/>
          <w:sz w:val="21"/>
          <w:szCs w:val="21"/>
          <w:lang w:eastAsia="zh-CN"/>
        </w:rPr>
      </w:pPr>
      <w:r>
        <w:rPr>
          <w:rFonts w:eastAsia="宋体"/>
          <w:sz w:val="21"/>
          <w:szCs w:val="21"/>
          <w:lang w:eastAsia="zh-CN"/>
        </w:rPr>
        <w:t>**如果征信局或征信登记处不运作或覆盖的成年人口(15岁至64岁)不到5%，则得分为0。如果征信局或征信局处于运行状态，但未在B-READY截止日期前发布信用报告，则得分也为0。如果有两个或两个以上的征信局(登记处)，则考虑对工作年龄人口覆盖率最高的局(登记处)(得分)。</w:t>
      </w:r>
    </w:p>
    <w:p>
      <w:pPr>
        <w:rPr>
          <w:sz w:val="20"/>
          <w:lang w:eastAsia="zh-CN"/>
        </w:rPr>
        <w:sectPr>
          <w:pgSz w:w="12240" w:h="15840"/>
          <w:pgMar w:top="1440" w:right="1240" w:bottom="280" w:left="1240" w:header="720" w:footer="720" w:gutter="0"/>
          <w:cols w:space="720" w:num="1"/>
        </w:sectPr>
      </w:pPr>
    </w:p>
    <w:p>
      <w:pPr>
        <w:pStyle w:val="5"/>
        <w:ind w:left="104"/>
        <w:rPr>
          <w:sz w:val="20"/>
        </w:rPr>
      </w:pPr>
      <w:r>
        <w:rPr>
          <w:sz w:val="20"/>
        </w:rPr>
        <mc:AlternateContent>
          <mc:Choice Requires="wps">
            <w:drawing>
              <wp:inline distT="0" distB="0" distL="114300" distR="114300">
                <wp:extent cx="6050280" cy="372110"/>
                <wp:effectExtent l="4445" t="4445" r="15875" b="17145"/>
                <wp:docPr id="9" name="文本框 9"/>
                <wp:cNvGraphicFramePr/>
                <a:graphic xmlns:a="http://schemas.openxmlformats.org/drawingml/2006/main">
                  <a:graphicData uri="http://schemas.microsoft.com/office/word/2010/wordprocessingShape">
                    <wps:wsp>
                      <wps:cNvSpPr txBox="1"/>
                      <wps:spPr>
                        <a:xfrm>
                          <a:off x="0" y="0"/>
                          <a:ext cx="6050280" cy="372110"/>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173"/>
                              <w:ind w:left="103"/>
                              <w:rPr>
                                <w:rFonts w:eastAsia="宋体"/>
                                <w:b/>
                                <w:color w:val="000000"/>
                                <w:sz w:val="28"/>
                                <w:szCs w:val="28"/>
                                <w:lang w:eastAsia="zh-CN"/>
                              </w:rPr>
                            </w:pPr>
                            <w:r>
                              <w:rPr>
                                <w:rFonts w:eastAsia="宋体"/>
                                <w:b/>
                                <w:color w:val="FFFFFF"/>
                                <w:sz w:val="28"/>
                                <w:szCs w:val="28"/>
                                <w:lang w:eastAsia="zh-CN"/>
                              </w:rPr>
                              <w:t>维度III——在实践中接受金融服务的效率</w:t>
                            </w:r>
                          </w:p>
                        </w:txbxContent>
                      </wps:txbx>
                      <wps:bodyPr lIns="0" tIns="0" rIns="0" bIns="0" upright="1"/>
                    </wps:wsp>
                  </a:graphicData>
                </a:graphic>
              </wp:inline>
            </w:drawing>
          </mc:Choice>
          <mc:Fallback>
            <w:pict>
              <v:shape id="_x0000_s1026" o:spid="_x0000_s1026" o:spt="202" type="#_x0000_t202" style="height:29.3pt;width:476.4pt;" fillcolor="#0F6EC5" filled="t" stroked="t" coordsize="21600,21600" o:gfxdata="UEsDBAoAAAAAAIdO4kAAAAAAAAAAAAAAAAAEAAAAZHJzL1BLAwQUAAAACACHTuJAfrHStdQAAAAE&#10;AQAADwAAAGRycy9kb3ducmV2LnhtbE2PwU7DMBBE70j8g7VI3KjToJYS4vQAQiAuVQPivImXJBCv&#10;Q+yk5e9ZuMBlpNWsZt7k26Pr1Uxj6DwbWC4SUMS1tx03Bl6e7y82oEJEtth7JgNfFGBbnJ7kmFl/&#10;4D3NZWyUhHDI0EAb45BpHeqWHIaFH4jFe/Ojwyjn2Gg74kHCXa/TJFlrhx1LQ4sD3bZUf5STMzBV&#10;KX6mD4+Xr09hLq+Ydne799mY87NlcgMq0jH+PcMPvqBDIUyVn9gG1RuQIfFXxbtepTKjMrDarEEX&#10;uf4PX3wDUEsDBBQAAAAIAIdO4kBlm9sgHQIAAFoEAAAOAAAAZHJzL2Uyb0RvYy54bWytVM2O0zAQ&#10;viPxDpbvNGnRlm3UdCW2W4SEAGnhAVzbSSz5Tx63SV8A3oATF+481z7Hjt2fpQuHHsghGXvG38z3&#10;zTjzm8FospUBlLM1HY9KSqTlTijb1vTrl9Wra0ogMiuYdlbWdCeB3ixevpj3vpIT1zktZCAIYqHq&#10;fU27GH1VFMA7aRiMnJcWnY0LhkVchrYQgfWIbnQxKctp0bsgfHBcAuDucu+kB8RwCaBrGsXl0vGN&#10;kTbuUYPULCIl6JQHusjVNo3k8VPTgIxE1xSZxvzGJGiv07tYzFnVBuY7xQ8lsEtKeMbJMGUx6Qlq&#10;ySIjm6D+gjKKBweuiSPuTLEnkhVBFuPymTb3HfMyc0GpwZ9Eh/8Hyz9uPweiRE1nlFhmsOEPP74/&#10;/Pz98OsbmSV5eg8VRt17jIvDWzfg0Bz3ATcT66EJJn2RD0E/irs7iSuHSDhuTsurcnKNLo6+128m&#10;43FWv3g67QPEd9IZkoyaBmxe1pRtP0DESjD0GJKSgdNKrJTWeRHa9a0OZMtSo1fTu9urVCQeOQvT&#10;lvSplNkU62A4vQ1ODZrGowJg25zv7AScAZfp+RdwKmzJoNsXkBFSGKuMijJkq5NM3FlB4s6jyhYv&#10;F03FGCko0RLvYrJyZGRKXxKJ7LRFkqlF+1YkKw7rAWGSuXZih23T7y2OTBr/oxGOxvpobHxQbYey&#10;5+ZmSBy5rODheqSZ/nOdEz/9Eha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frHStdQAAAAEAQAA&#10;DwAAAAAAAAABACAAAAAiAAAAZHJzL2Rvd25yZXYueG1sUEsBAhQAFAAAAAgAh07iQGWb2yAdAgAA&#10;WgQAAA4AAAAAAAAAAQAgAAAAIwEAAGRycy9lMm9Eb2MueG1sUEsFBgAAAAAGAAYAWQEAALIFAAAA&#10;AA==&#10;">
                <v:fill on="t" focussize="0,0"/>
                <v:stroke weight="0.48pt" color="#000000" joinstyle="miter"/>
                <v:imagedata o:title=""/>
                <o:lock v:ext="edit" aspectratio="f"/>
                <v:textbox inset="0mm,0mm,0mm,0mm">
                  <w:txbxContent>
                    <w:p>
                      <w:pPr>
                        <w:spacing w:before="173"/>
                        <w:ind w:left="103"/>
                        <w:rPr>
                          <w:rFonts w:eastAsia="宋体"/>
                          <w:b/>
                          <w:color w:val="000000"/>
                          <w:sz w:val="28"/>
                          <w:szCs w:val="28"/>
                          <w:lang w:eastAsia="zh-CN"/>
                        </w:rPr>
                      </w:pPr>
                      <w:r>
                        <w:rPr>
                          <w:rFonts w:eastAsia="宋体"/>
                          <w:b/>
                          <w:color w:val="FFFFFF"/>
                          <w:sz w:val="28"/>
                          <w:szCs w:val="28"/>
                          <w:lang w:eastAsia="zh-CN"/>
                        </w:rPr>
                        <w:t>维度III——在实践中接受金融服务的效率</w:t>
                      </w:r>
                    </w:p>
                  </w:txbxContent>
                </v:textbox>
                <w10:wrap type="none"/>
                <w10:anchorlock/>
              </v:shape>
            </w:pict>
          </mc:Fallback>
        </mc:AlternateContent>
      </w:r>
    </w:p>
    <w:p>
      <w:pPr>
        <w:pStyle w:val="5"/>
        <w:spacing w:before="5"/>
        <w:rPr>
          <w:sz w:val="11"/>
        </w:rPr>
      </w:pPr>
    </w:p>
    <w:p>
      <w:pPr>
        <w:pStyle w:val="5"/>
        <w:spacing w:line="400" w:lineRule="exact"/>
        <w:ind w:firstLine="560" w:firstLineChars="200"/>
        <w:jc w:val="both"/>
        <w:rPr>
          <w:rFonts w:eastAsia="宋体"/>
          <w:sz w:val="28"/>
          <w:szCs w:val="28"/>
          <w:lang w:eastAsia="zh-CN"/>
        </w:rPr>
      </w:pPr>
      <w:r>
        <w:rPr>
          <w:rFonts w:eastAsia="宋体"/>
          <w:sz w:val="28"/>
          <w:szCs w:val="28"/>
          <w:lang w:eastAsia="zh-CN"/>
        </w:rPr>
        <w:t>第三维度的指标得分将通过使用接近前沿方法来确定，并将在0到100分的范围内归一化为共同单位，其中0代表最低，100代表最佳表现。反过来，最佳(最差)值将从收集的数据中获取，并可能分别由统计分布的适当的顶部和底部百分位数定义，以避免长尾带来的扭曲。</w:t>
      </w:r>
    </w:p>
    <w:p>
      <w:pPr>
        <w:pStyle w:val="5"/>
        <w:spacing w:line="400" w:lineRule="exact"/>
        <w:ind w:firstLine="560" w:firstLineChars="200"/>
        <w:rPr>
          <w:rFonts w:eastAsia="宋体"/>
          <w:sz w:val="28"/>
          <w:szCs w:val="28"/>
          <w:lang w:eastAsia="zh-CN"/>
        </w:rPr>
      </w:pPr>
    </w:p>
    <w:p>
      <w:pPr>
        <w:spacing w:line="400" w:lineRule="exact"/>
        <w:ind w:firstLine="562" w:firstLineChars="200"/>
        <w:jc w:val="both"/>
        <w:rPr>
          <w:rFonts w:eastAsia="宋体"/>
          <w:b/>
          <w:sz w:val="28"/>
          <w:szCs w:val="28"/>
          <w:lang w:eastAsia="zh-CN"/>
        </w:rPr>
      </w:pPr>
      <w:r>
        <w:rPr>
          <w:rFonts w:eastAsia="宋体"/>
          <w:b/>
          <w:color w:val="4471C4"/>
          <w:sz w:val="28"/>
          <w:szCs w:val="28"/>
          <w:lang w:eastAsia="zh-CN"/>
        </w:rPr>
        <w:t>第三维度关于在实践中接受金融服务的效率的数据是通过公司层面的调查收集的，通过以下问题</w:t>
      </w:r>
      <w:r>
        <w:rPr>
          <w:rFonts w:hint="eastAsia" w:eastAsia="宋体"/>
          <w:b/>
          <w:color w:val="4471C4"/>
          <w:sz w:val="28"/>
          <w:szCs w:val="28"/>
          <w:lang w:eastAsia="zh-CN"/>
        </w:rPr>
        <w:t>：</w:t>
      </w:r>
    </w:p>
    <w:p>
      <w:pPr>
        <w:pStyle w:val="5"/>
        <w:spacing w:line="400" w:lineRule="exact"/>
        <w:ind w:firstLine="562" w:firstLineChars="200"/>
        <w:rPr>
          <w:rFonts w:eastAsia="宋体"/>
          <w:b/>
          <w:sz w:val="28"/>
          <w:szCs w:val="28"/>
          <w:lang w:eastAsia="zh-CN"/>
        </w:rPr>
      </w:pPr>
    </w:p>
    <w:p>
      <w:pPr>
        <w:pStyle w:val="11"/>
        <w:tabs>
          <w:tab w:val="left" w:pos="652"/>
        </w:tabs>
        <w:spacing w:line="400" w:lineRule="exact"/>
        <w:ind w:left="0" w:firstLine="562" w:firstLineChars="200"/>
        <w:rPr>
          <w:rFonts w:eastAsia="宋体"/>
          <w:sz w:val="28"/>
          <w:szCs w:val="28"/>
          <w:lang w:eastAsia="zh-CN"/>
        </w:rPr>
      </w:pPr>
      <w:r>
        <w:rPr>
          <w:rFonts w:eastAsia="宋体"/>
          <w:b/>
          <w:bCs/>
          <w:sz w:val="28"/>
          <w:szCs w:val="28"/>
          <w:lang w:eastAsia="zh-CN"/>
        </w:rPr>
        <w:t>202.</w:t>
      </w:r>
      <w:r>
        <w:rPr>
          <w:rFonts w:eastAsia="宋体"/>
          <w:b/>
          <w:sz w:val="28"/>
          <w:szCs w:val="28"/>
          <w:lang w:eastAsia="zh-CN"/>
        </w:rPr>
        <w:t>获得贷款的时间</w:t>
      </w:r>
      <w:r>
        <w:rPr>
          <w:rFonts w:hint="eastAsia" w:eastAsia="宋体"/>
          <w:sz w:val="28"/>
          <w:szCs w:val="28"/>
          <w:lang w:eastAsia="zh-CN"/>
        </w:rPr>
        <w:t>：</w:t>
      </w:r>
      <w:r>
        <w:rPr>
          <w:rFonts w:eastAsia="宋体"/>
          <w:sz w:val="28"/>
          <w:szCs w:val="28"/>
          <w:lang w:eastAsia="zh-CN"/>
        </w:rPr>
        <w:t>从提交申请到通知决定需要多少天?</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rPr>
          <w:rFonts w:eastAsia="宋体"/>
          <w:sz w:val="28"/>
          <w:szCs w:val="28"/>
          <w:lang w:eastAsia="zh-CN"/>
        </w:rPr>
      </w:pPr>
      <w:r>
        <w:rPr>
          <w:rFonts w:eastAsia="宋体"/>
          <w:b/>
          <w:bCs/>
          <w:sz w:val="28"/>
          <w:szCs w:val="28"/>
          <w:lang w:eastAsia="zh-CN"/>
        </w:rPr>
        <w:t>203.</w:t>
      </w:r>
      <w:r>
        <w:rPr>
          <w:rFonts w:eastAsia="宋体"/>
          <w:b/>
          <w:sz w:val="28"/>
          <w:szCs w:val="28"/>
          <w:lang w:eastAsia="zh-CN"/>
        </w:rPr>
        <w:t>获得贷款的成本</w:t>
      </w:r>
      <w:r>
        <w:rPr>
          <w:rFonts w:hint="eastAsia" w:eastAsia="宋体"/>
          <w:b/>
          <w:sz w:val="28"/>
          <w:szCs w:val="28"/>
          <w:lang w:eastAsia="zh-CN"/>
        </w:rPr>
        <w:t>：</w:t>
      </w:r>
      <w:r>
        <w:rPr>
          <w:rFonts w:eastAsia="宋体"/>
          <w:sz w:val="28"/>
          <w:szCs w:val="28"/>
          <w:lang w:eastAsia="zh-CN"/>
        </w:rPr>
        <w:t>为申请贷款而支付的所有费用总额是多少，包括包括申请费、服务费、处理费和保险费？</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jc w:val="left"/>
        <w:rPr>
          <w:rFonts w:eastAsia="宋体"/>
          <w:b/>
          <w:sz w:val="28"/>
          <w:szCs w:val="28"/>
          <w:lang w:eastAsia="zh-CN"/>
        </w:rPr>
      </w:pPr>
      <w:r>
        <w:rPr>
          <w:rFonts w:eastAsia="宋体"/>
          <w:b/>
          <w:bCs/>
          <w:sz w:val="28"/>
          <w:szCs w:val="28"/>
          <w:lang w:eastAsia="zh-CN"/>
        </w:rPr>
        <w:t>204.</w:t>
      </w:r>
      <w:r>
        <w:rPr>
          <w:rFonts w:eastAsia="宋体"/>
          <w:b/>
          <w:sz w:val="28"/>
          <w:szCs w:val="28"/>
          <w:lang w:eastAsia="zh-CN"/>
        </w:rPr>
        <w:t>接收电子付款的成本</w:t>
      </w:r>
      <w:r>
        <w:rPr>
          <w:rFonts w:hint="eastAsia" w:eastAsia="宋体"/>
          <w:b/>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204a.每笔交易的成本</w:t>
      </w:r>
      <w:r>
        <w:rPr>
          <w:rFonts w:hint="eastAsia" w:eastAsia="宋体"/>
          <w:sz w:val="28"/>
          <w:szCs w:val="28"/>
          <w:lang w:eastAsia="zh-CN"/>
        </w:rPr>
        <w:t>：</w:t>
      </w:r>
      <w:r>
        <w:rPr>
          <w:rFonts w:eastAsia="宋体"/>
          <w:sz w:val="28"/>
          <w:szCs w:val="28"/>
          <w:lang w:eastAsia="zh-CN"/>
        </w:rPr>
        <w:t>作为典型交易的一个百分比，接受付款的成本是多少？</w:t>
      </w:r>
    </w:p>
    <w:p>
      <w:pPr>
        <w:pStyle w:val="5"/>
        <w:spacing w:line="400" w:lineRule="exact"/>
        <w:ind w:firstLine="560" w:firstLineChars="200"/>
        <w:rPr>
          <w:rFonts w:eastAsia="宋体"/>
          <w:sz w:val="28"/>
          <w:szCs w:val="28"/>
          <w:lang w:eastAsia="zh-CN"/>
        </w:rPr>
      </w:pPr>
      <w:r>
        <w:rPr>
          <w:rFonts w:eastAsia="宋体"/>
          <w:sz w:val="28"/>
          <w:szCs w:val="28"/>
          <w:lang w:eastAsia="zh-CN"/>
        </w:rPr>
        <w:t>204b.其他费用</w:t>
      </w:r>
      <w:r>
        <w:rPr>
          <w:rFonts w:hint="eastAsia" w:eastAsia="宋体"/>
          <w:sz w:val="28"/>
          <w:szCs w:val="28"/>
          <w:lang w:eastAsia="zh-CN"/>
        </w:rPr>
        <w:t>：</w:t>
      </w:r>
      <w:r>
        <w:rPr>
          <w:rFonts w:eastAsia="宋体"/>
          <w:sz w:val="28"/>
          <w:szCs w:val="28"/>
          <w:lang w:eastAsia="zh-CN"/>
        </w:rPr>
        <w:t>每月接受付款的费用是多少？请包括所有月费、订阅费用、销售点终端费用、维护和其他费用。</w:t>
      </w:r>
    </w:p>
    <w:p>
      <w:pPr>
        <w:pStyle w:val="11"/>
        <w:tabs>
          <w:tab w:val="left" w:pos="652"/>
        </w:tabs>
        <w:spacing w:line="400" w:lineRule="exact"/>
        <w:ind w:left="0" w:firstLine="562" w:firstLineChars="200"/>
        <w:jc w:val="left"/>
        <w:rPr>
          <w:rFonts w:eastAsia="宋体"/>
          <w:b/>
          <w:bCs/>
          <w:sz w:val="28"/>
          <w:szCs w:val="28"/>
          <w:lang w:eastAsia="zh-CN"/>
        </w:rPr>
      </w:pPr>
    </w:p>
    <w:p>
      <w:pPr>
        <w:pStyle w:val="11"/>
        <w:tabs>
          <w:tab w:val="left" w:pos="652"/>
        </w:tabs>
        <w:spacing w:line="400" w:lineRule="exact"/>
        <w:ind w:left="0" w:firstLine="562" w:firstLineChars="200"/>
        <w:jc w:val="left"/>
        <w:rPr>
          <w:rFonts w:eastAsia="宋体"/>
          <w:sz w:val="28"/>
          <w:szCs w:val="28"/>
          <w:lang w:eastAsia="zh-CN"/>
        </w:rPr>
      </w:pPr>
      <w:r>
        <w:rPr>
          <w:rFonts w:eastAsia="宋体"/>
          <w:b/>
          <w:bCs/>
          <w:sz w:val="28"/>
          <w:szCs w:val="28"/>
          <w:lang w:eastAsia="zh-CN"/>
        </w:rPr>
        <w:t>205.</w:t>
      </w:r>
      <w:r>
        <w:rPr>
          <w:rFonts w:eastAsia="宋体"/>
          <w:b/>
          <w:sz w:val="28"/>
          <w:szCs w:val="28"/>
          <w:lang w:eastAsia="zh-CN"/>
        </w:rPr>
        <w:t>进行电子</w:t>
      </w:r>
      <w:r>
        <w:rPr>
          <w:rFonts w:eastAsia="宋体"/>
          <w:b/>
          <w:spacing w:val="-1"/>
          <w:sz w:val="28"/>
          <w:szCs w:val="28"/>
          <w:lang w:eastAsia="zh-CN"/>
        </w:rPr>
        <w:t>支付的成本</w:t>
      </w:r>
      <w:r>
        <w:rPr>
          <w:rFonts w:hint="eastAsia" w:eastAsia="宋体"/>
          <w:sz w:val="28"/>
          <w:szCs w:val="28"/>
          <w:lang w:eastAsia="zh-CN"/>
        </w:rPr>
        <w:t>：</w:t>
      </w:r>
      <w:r>
        <w:rPr>
          <w:rFonts w:eastAsia="宋体"/>
          <w:spacing w:val="-4"/>
          <w:sz w:val="28"/>
          <w:szCs w:val="28"/>
          <w:lang w:eastAsia="zh-CN"/>
        </w:rPr>
        <w:t>按典型交易的百分比计算，支付的成本是多少?</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rPr>
          <w:rFonts w:eastAsia="宋体"/>
          <w:sz w:val="28"/>
          <w:szCs w:val="28"/>
          <w:lang w:eastAsia="zh-CN"/>
        </w:rPr>
      </w:pPr>
      <w:r>
        <w:rPr>
          <w:rFonts w:eastAsia="宋体"/>
          <w:b/>
          <w:bCs/>
          <w:sz w:val="28"/>
          <w:szCs w:val="28"/>
          <w:lang w:eastAsia="zh-CN"/>
        </w:rPr>
        <w:t>206.</w:t>
      </w:r>
      <w:r>
        <w:rPr>
          <w:rFonts w:eastAsia="宋体"/>
          <w:b/>
          <w:sz w:val="28"/>
          <w:szCs w:val="28"/>
          <w:lang w:eastAsia="zh-CN"/>
        </w:rPr>
        <w:t>收到</w:t>
      </w:r>
      <w:r>
        <w:rPr>
          <w:rFonts w:eastAsia="宋体"/>
          <w:b/>
          <w:spacing w:val="-11"/>
          <w:sz w:val="28"/>
          <w:szCs w:val="28"/>
          <w:lang w:eastAsia="zh-CN"/>
        </w:rPr>
        <w:t>电子</w:t>
      </w:r>
      <w:r>
        <w:rPr>
          <w:rFonts w:eastAsia="宋体"/>
          <w:sz w:val="28"/>
          <w:szCs w:val="28"/>
          <w:lang w:eastAsia="zh-CN"/>
        </w:rPr>
        <w:t>付款的</w:t>
      </w:r>
      <w:r>
        <w:rPr>
          <w:rFonts w:eastAsia="宋体"/>
          <w:b/>
          <w:sz w:val="28"/>
          <w:szCs w:val="28"/>
          <w:lang w:eastAsia="zh-CN"/>
        </w:rPr>
        <w:t>时间</w:t>
      </w:r>
      <w:r>
        <w:rPr>
          <w:rFonts w:hint="eastAsia" w:eastAsia="宋体"/>
          <w:spacing w:val="-10"/>
          <w:sz w:val="28"/>
          <w:szCs w:val="28"/>
          <w:lang w:eastAsia="zh-CN"/>
        </w:rPr>
        <w:t>：</w:t>
      </w:r>
      <w:r>
        <w:rPr>
          <w:rFonts w:eastAsia="宋体"/>
          <w:sz w:val="28"/>
          <w:szCs w:val="28"/>
          <w:lang w:eastAsia="zh-CN"/>
        </w:rPr>
        <w:t>从下订单</w:t>
      </w:r>
      <w:r>
        <w:rPr>
          <w:rFonts w:eastAsia="宋体"/>
          <w:b/>
          <w:spacing w:val="-9"/>
          <w:sz w:val="28"/>
          <w:szCs w:val="28"/>
          <w:lang w:eastAsia="zh-CN"/>
        </w:rPr>
        <w:t>到</w:t>
      </w:r>
      <w:r>
        <w:rPr>
          <w:rFonts w:eastAsia="宋体"/>
          <w:spacing w:val="-8"/>
          <w:sz w:val="28"/>
          <w:szCs w:val="28"/>
          <w:lang w:eastAsia="zh-CN"/>
        </w:rPr>
        <w:t>收到款项平均需要多少天?</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rPr>
          <w:rFonts w:eastAsia="宋体"/>
          <w:sz w:val="28"/>
          <w:szCs w:val="28"/>
          <w:lang w:eastAsia="zh-CN"/>
        </w:rPr>
      </w:pPr>
      <w:r>
        <w:rPr>
          <w:rFonts w:eastAsia="宋体"/>
          <w:b/>
          <w:bCs/>
          <w:sz w:val="28"/>
          <w:szCs w:val="28"/>
          <w:lang w:eastAsia="zh-CN"/>
        </w:rPr>
        <w:t>207.</w:t>
      </w:r>
      <w:r>
        <w:rPr>
          <w:rFonts w:eastAsia="宋体"/>
          <w:b/>
          <w:sz w:val="28"/>
          <w:szCs w:val="28"/>
          <w:lang w:eastAsia="zh-CN"/>
        </w:rPr>
        <w:t>接受电子支付的</w:t>
      </w:r>
      <w:r>
        <w:rPr>
          <w:rFonts w:eastAsia="宋体"/>
          <w:b/>
          <w:spacing w:val="-1"/>
          <w:sz w:val="28"/>
          <w:szCs w:val="28"/>
          <w:lang w:eastAsia="zh-CN"/>
        </w:rPr>
        <w:t>使用水平</w:t>
      </w:r>
      <w:r>
        <w:rPr>
          <w:rFonts w:hint="eastAsia" w:eastAsia="宋体"/>
          <w:sz w:val="28"/>
          <w:szCs w:val="28"/>
          <w:lang w:eastAsia="zh-CN"/>
        </w:rPr>
        <w:t>：</w:t>
      </w:r>
      <w:r>
        <w:rPr>
          <w:rFonts w:eastAsia="宋体"/>
          <w:spacing w:val="-1"/>
          <w:sz w:val="28"/>
          <w:szCs w:val="28"/>
          <w:lang w:eastAsia="zh-CN"/>
        </w:rPr>
        <w:t>这家机构通过电子支付(即现金或支票支付以外的支付)从客户那里收到的销售额占一个月总销售额的百分比是多少?</w:t>
      </w:r>
    </w:p>
    <w:p>
      <w:pPr>
        <w:pStyle w:val="5"/>
        <w:spacing w:line="400" w:lineRule="exact"/>
        <w:ind w:firstLine="560" w:firstLineChars="200"/>
        <w:rPr>
          <w:rFonts w:eastAsia="宋体"/>
          <w:sz w:val="28"/>
          <w:szCs w:val="28"/>
          <w:lang w:eastAsia="zh-CN"/>
        </w:rPr>
      </w:pPr>
    </w:p>
    <w:p>
      <w:pPr>
        <w:pStyle w:val="11"/>
        <w:tabs>
          <w:tab w:val="left" w:pos="652"/>
        </w:tabs>
        <w:spacing w:line="400" w:lineRule="exact"/>
        <w:ind w:left="0" w:firstLine="562" w:firstLineChars="200"/>
        <w:rPr>
          <w:rFonts w:eastAsia="宋体"/>
          <w:sz w:val="28"/>
          <w:szCs w:val="28"/>
          <w:lang w:eastAsia="zh-CN"/>
        </w:rPr>
      </w:pPr>
      <w:r>
        <w:rPr>
          <w:rFonts w:eastAsia="宋体"/>
          <w:b/>
          <w:bCs/>
          <w:sz w:val="28"/>
          <w:szCs w:val="28"/>
          <w:lang w:eastAsia="zh-CN"/>
        </w:rPr>
        <w:t>208.</w:t>
      </w:r>
      <w:r>
        <w:rPr>
          <w:rFonts w:eastAsia="宋体"/>
          <w:b/>
          <w:sz w:val="28"/>
          <w:szCs w:val="28"/>
          <w:lang w:eastAsia="zh-CN"/>
        </w:rPr>
        <w:t>电子</w:t>
      </w:r>
      <w:r>
        <w:rPr>
          <w:rFonts w:eastAsia="宋体"/>
          <w:b/>
          <w:bCs/>
          <w:sz w:val="28"/>
          <w:szCs w:val="28"/>
          <w:lang w:eastAsia="zh-CN"/>
        </w:rPr>
        <w:t>支付的</w:t>
      </w:r>
      <w:r>
        <w:rPr>
          <w:rFonts w:eastAsia="宋体"/>
          <w:b/>
          <w:spacing w:val="-4"/>
          <w:sz w:val="28"/>
          <w:szCs w:val="28"/>
          <w:lang w:eastAsia="zh-CN"/>
        </w:rPr>
        <w:t>使用</w:t>
      </w:r>
      <w:r>
        <w:rPr>
          <w:rFonts w:eastAsia="宋体"/>
          <w:b/>
          <w:sz w:val="28"/>
          <w:szCs w:val="28"/>
          <w:lang w:eastAsia="zh-CN"/>
        </w:rPr>
        <w:t>水平</w:t>
      </w:r>
      <w:r>
        <w:rPr>
          <w:rFonts w:hint="eastAsia" w:eastAsia="宋体"/>
          <w:spacing w:val="-1"/>
          <w:sz w:val="28"/>
          <w:szCs w:val="28"/>
          <w:lang w:eastAsia="zh-CN"/>
        </w:rPr>
        <w:t>：</w:t>
      </w:r>
      <w:r>
        <w:rPr>
          <w:rFonts w:eastAsia="宋体"/>
          <w:sz w:val="28"/>
          <w:szCs w:val="28"/>
          <w:lang w:eastAsia="zh-CN"/>
        </w:rPr>
        <w:t>除现金或支票支付外，电子支付</w:t>
      </w:r>
      <w:r>
        <w:rPr>
          <w:rFonts w:eastAsia="宋体"/>
          <w:b/>
          <w:spacing w:val="-3"/>
          <w:sz w:val="28"/>
          <w:szCs w:val="28"/>
          <w:lang w:eastAsia="zh-CN"/>
        </w:rPr>
        <w:t>占</w:t>
      </w:r>
      <w:r>
        <w:rPr>
          <w:rFonts w:eastAsia="宋体"/>
          <w:spacing w:val="-2"/>
          <w:sz w:val="28"/>
          <w:szCs w:val="28"/>
          <w:lang w:eastAsia="zh-CN"/>
        </w:rPr>
        <w:t>该机构每月支付总额的百分比是多少，不包括对政府和工资的支付?</w:t>
      </w:r>
    </w:p>
    <w:p>
      <w:pPr>
        <w:pStyle w:val="11"/>
        <w:tabs>
          <w:tab w:val="left" w:pos="652"/>
        </w:tabs>
        <w:spacing w:line="400" w:lineRule="exact"/>
        <w:ind w:left="0" w:firstLine="562" w:firstLineChars="200"/>
        <w:jc w:val="left"/>
        <w:outlineLvl w:val="0"/>
        <w:rPr>
          <w:rFonts w:eastAsia="宋体"/>
          <w:b/>
          <w:sz w:val="28"/>
          <w:szCs w:val="28"/>
          <w:lang w:eastAsia="zh-CN"/>
        </w:rPr>
      </w:pPr>
      <w:r>
        <w:rPr>
          <w:rFonts w:eastAsia="宋体"/>
          <w:b/>
          <w:bCs/>
          <w:sz w:val="28"/>
          <w:szCs w:val="28"/>
          <w:lang w:eastAsia="zh-CN"/>
        </w:rPr>
        <w:t>209.</w:t>
      </w:r>
      <w:r>
        <w:rPr>
          <w:rFonts w:eastAsia="宋体"/>
          <w:b/>
          <w:sz w:val="28"/>
          <w:szCs w:val="28"/>
          <w:lang w:eastAsia="zh-CN"/>
        </w:rPr>
        <w:t>获得正规金融服务的性别差异</w:t>
      </w:r>
    </w:p>
    <w:p>
      <w:pPr>
        <w:pStyle w:val="5"/>
        <w:spacing w:line="400" w:lineRule="exact"/>
        <w:ind w:firstLine="560" w:firstLineChars="200"/>
        <w:rPr>
          <w:rFonts w:eastAsia="宋体"/>
          <w:sz w:val="28"/>
          <w:szCs w:val="28"/>
          <w:lang w:eastAsia="zh-CN"/>
        </w:rPr>
      </w:pPr>
      <w:r>
        <w:rPr>
          <w:rFonts w:eastAsia="宋体"/>
          <w:sz w:val="28"/>
          <w:szCs w:val="28"/>
          <w:lang w:eastAsia="zh-CN"/>
        </w:rPr>
        <w:t>209a.目前，该机构是否有支票（活期）或储蓄账户？ (Y/N)</w:t>
      </w:r>
    </w:p>
    <w:p>
      <w:pPr>
        <w:pStyle w:val="5"/>
        <w:spacing w:line="400" w:lineRule="exact"/>
        <w:ind w:firstLine="560" w:firstLineChars="200"/>
        <w:rPr>
          <w:rFonts w:eastAsia="宋体"/>
          <w:sz w:val="28"/>
          <w:szCs w:val="28"/>
          <w:lang w:eastAsia="zh-CN"/>
        </w:rPr>
      </w:pPr>
      <w:r>
        <w:rPr>
          <w:rFonts w:eastAsia="宋体"/>
          <w:sz w:val="28"/>
          <w:szCs w:val="28"/>
          <w:lang w:eastAsia="zh-CN"/>
        </w:rPr>
        <w:t>209b.该机构是否有透支设施？(是/否)</w:t>
      </w:r>
    </w:p>
    <w:p>
      <w:pPr>
        <w:pStyle w:val="5"/>
        <w:spacing w:line="400" w:lineRule="exact"/>
        <w:ind w:firstLine="560" w:firstLineChars="200"/>
        <w:rPr>
          <w:rFonts w:eastAsia="宋体"/>
          <w:sz w:val="28"/>
          <w:szCs w:val="28"/>
          <w:lang w:eastAsia="zh-CN"/>
        </w:rPr>
      </w:pPr>
      <w:r>
        <w:rPr>
          <w:rFonts w:eastAsia="宋体"/>
          <w:sz w:val="28"/>
          <w:szCs w:val="28"/>
          <w:lang w:eastAsia="zh-CN"/>
        </w:rPr>
        <w:t>209c.该机构是否有从金融机构获得的信贷额度或贷款？(是/否)</w:t>
      </w:r>
    </w:p>
    <w:p>
      <w:pPr>
        <w:pStyle w:val="11"/>
        <w:tabs>
          <w:tab w:val="left" w:pos="652"/>
        </w:tabs>
        <w:spacing w:line="400" w:lineRule="exact"/>
        <w:ind w:left="0" w:firstLine="562" w:firstLineChars="200"/>
        <w:outlineLvl w:val="0"/>
        <w:rPr>
          <w:rFonts w:eastAsia="宋体"/>
          <w:b/>
          <w:bCs/>
          <w:sz w:val="28"/>
          <w:szCs w:val="28"/>
          <w:lang w:eastAsia="zh-CN"/>
        </w:rPr>
      </w:pPr>
    </w:p>
    <w:p>
      <w:pPr>
        <w:pStyle w:val="11"/>
        <w:tabs>
          <w:tab w:val="left" w:pos="652"/>
        </w:tabs>
        <w:spacing w:line="400" w:lineRule="exact"/>
        <w:ind w:left="0" w:firstLine="562" w:firstLineChars="200"/>
        <w:outlineLvl w:val="0"/>
        <w:rPr>
          <w:rFonts w:eastAsia="宋体"/>
          <w:b/>
          <w:sz w:val="28"/>
          <w:szCs w:val="28"/>
          <w:lang w:eastAsia="zh-CN"/>
        </w:rPr>
      </w:pPr>
      <w:r>
        <w:rPr>
          <w:rFonts w:eastAsia="宋体"/>
          <w:b/>
          <w:bCs/>
          <w:sz w:val="28"/>
          <w:szCs w:val="28"/>
          <w:lang w:eastAsia="zh-CN"/>
        </w:rPr>
        <w:t>210.</w:t>
      </w:r>
      <w:r>
        <w:rPr>
          <w:rFonts w:eastAsia="宋体"/>
          <w:b/>
          <w:sz w:val="28"/>
          <w:szCs w:val="28"/>
          <w:lang w:eastAsia="zh-CN"/>
        </w:rPr>
        <w:t>使用电子支付的性别差异</w:t>
      </w:r>
    </w:p>
    <w:p>
      <w:pPr>
        <w:pStyle w:val="5"/>
        <w:spacing w:line="400" w:lineRule="exact"/>
        <w:ind w:firstLine="560" w:firstLineChars="200"/>
        <w:rPr>
          <w:rFonts w:eastAsia="宋体"/>
          <w:sz w:val="28"/>
          <w:szCs w:val="28"/>
          <w:lang w:eastAsia="zh-CN"/>
        </w:rPr>
      </w:pPr>
      <w:r>
        <w:rPr>
          <w:rFonts w:eastAsia="宋体"/>
          <w:sz w:val="28"/>
          <w:szCs w:val="28"/>
          <w:lang w:eastAsia="zh-CN"/>
        </w:rPr>
        <w:t>210a.一般来说，这家机构每月通过电子支付(即现金或支票支付以外的支付)从顾客那里获得的销售额占总销售额的百分比是多少?</w:t>
      </w:r>
    </w:p>
    <w:p>
      <w:pPr>
        <w:pStyle w:val="5"/>
        <w:spacing w:line="400" w:lineRule="exact"/>
        <w:ind w:firstLine="560" w:firstLineChars="200"/>
        <w:rPr>
          <w:rFonts w:eastAsia="宋体"/>
          <w:sz w:val="28"/>
          <w:szCs w:val="28"/>
          <w:lang w:eastAsia="zh-CN"/>
        </w:rPr>
      </w:pPr>
      <w:r>
        <w:rPr>
          <w:rFonts w:eastAsia="宋体"/>
          <w:sz w:val="28"/>
          <w:szCs w:val="28"/>
          <w:lang w:eastAsia="zh-CN"/>
        </w:rPr>
        <w:t>210b.该机构在一个典型的月份中，通过电子支付完成的总付款的百分比是多少</w:t>
      </w:r>
      <w:r>
        <w:rPr>
          <w:rFonts w:hint="eastAsia" w:eastAsia="宋体"/>
          <w:sz w:val="28"/>
          <w:szCs w:val="28"/>
          <w:lang w:eastAsia="zh-CN"/>
        </w:rPr>
        <w:t>：</w:t>
      </w:r>
      <w:r>
        <w:rPr>
          <w:rFonts w:eastAsia="宋体"/>
          <w:sz w:val="28"/>
          <w:szCs w:val="28"/>
          <w:lang w:eastAsia="zh-CN"/>
        </w:rPr>
        <w:t>也就是说，除了现金或支票付款，不包括  向政府支付的款项和工资?</w:t>
      </w:r>
    </w:p>
    <w:p>
      <w:pPr>
        <w:spacing w:line="400" w:lineRule="exact"/>
        <w:ind w:firstLine="560" w:firstLineChars="200"/>
        <w:jc w:val="both"/>
        <w:rPr>
          <w:rFonts w:eastAsia="宋体"/>
          <w:sz w:val="28"/>
          <w:szCs w:val="28"/>
          <w:lang w:eastAsia="zh-CN"/>
        </w:rPr>
        <w:sectPr>
          <w:pgSz w:w="12240" w:h="15840"/>
          <w:pgMar w:top="1440" w:right="1800" w:bottom="1440" w:left="1800" w:header="720" w:footer="720" w:gutter="0"/>
          <w:cols w:space="720" w:num="1"/>
        </w:sectPr>
      </w:pPr>
    </w:p>
    <w:p>
      <w:pPr>
        <w:spacing w:line="400" w:lineRule="exact"/>
        <w:ind w:firstLine="562" w:firstLineChars="200"/>
        <w:rPr>
          <w:rFonts w:eastAsia="宋体"/>
          <w:b/>
          <w:sz w:val="28"/>
          <w:szCs w:val="28"/>
          <w:lang w:eastAsia="zh-CN"/>
        </w:rPr>
      </w:pPr>
      <w:r>
        <w:rPr>
          <w:rFonts w:eastAsia="宋体"/>
          <w:b/>
          <w:color w:val="4471C4"/>
          <w:sz w:val="28"/>
          <w:szCs w:val="28"/>
          <w:lang w:eastAsia="zh-CN"/>
        </w:rPr>
        <w:t>维度III</w:t>
      </w:r>
      <w:r>
        <w:rPr>
          <w:rFonts w:hint="eastAsia" w:eastAsia="宋体"/>
          <w:b/>
          <w:color w:val="4471C4"/>
          <w:sz w:val="28"/>
          <w:szCs w:val="28"/>
          <w:lang w:eastAsia="zh-CN"/>
        </w:rPr>
        <w:t>“</w:t>
      </w:r>
      <w:r>
        <w:rPr>
          <w:rFonts w:eastAsia="宋体"/>
          <w:b/>
          <w:color w:val="4471C4"/>
          <w:sz w:val="28"/>
          <w:szCs w:val="28"/>
          <w:lang w:eastAsia="zh-CN"/>
        </w:rPr>
        <w:t>担保权益效率</w:t>
      </w:r>
      <w:r>
        <w:rPr>
          <w:rFonts w:hint="eastAsia" w:eastAsia="宋体"/>
          <w:b/>
          <w:color w:val="4471C4"/>
          <w:sz w:val="28"/>
          <w:szCs w:val="28"/>
          <w:lang w:eastAsia="zh-CN"/>
        </w:rPr>
        <w:t>”</w:t>
      </w:r>
      <w:r>
        <w:rPr>
          <w:rFonts w:eastAsia="宋体"/>
          <w:b/>
          <w:color w:val="4471C4"/>
          <w:sz w:val="28"/>
          <w:szCs w:val="28"/>
          <w:lang w:eastAsia="zh-CN"/>
        </w:rPr>
        <w:t>和</w:t>
      </w:r>
      <w:r>
        <w:rPr>
          <w:rFonts w:hint="eastAsia" w:eastAsia="宋体"/>
          <w:b/>
          <w:color w:val="4471C4"/>
          <w:sz w:val="28"/>
          <w:szCs w:val="28"/>
          <w:lang w:eastAsia="zh-CN"/>
        </w:rPr>
        <w:t>“</w:t>
      </w:r>
      <w:r>
        <w:rPr>
          <w:rFonts w:eastAsia="宋体"/>
          <w:b/>
          <w:color w:val="4471C4"/>
          <w:sz w:val="28"/>
          <w:szCs w:val="28"/>
          <w:lang w:eastAsia="zh-CN"/>
        </w:rPr>
        <w:t>信用数据更新</w:t>
      </w:r>
      <w:r>
        <w:rPr>
          <w:rFonts w:hint="eastAsia" w:eastAsia="宋体"/>
          <w:b/>
          <w:color w:val="4471C4"/>
          <w:sz w:val="28"/>
          <w:szCs w:val="28"/>
          <w:lang w:eastAsia="zh-CN"/>
        </w:rPr>
        <w:t>”</w:t>
      </w:r>
      <w:r>
        <w:rPr>
          <w:rFonts w:eastAsia="宋体"/>
          <w:b/>
          <w:color w:val="4471C4"/>
          <w:sz w:val="28"/>
          <w:szCs w:val="28"/>
          <w:lang w:eastAsia="zh-CN"/>
        </w:rPr>
        <w:t>的数据是通过专家咨询收集的，使用以下问题</w:t>
      </w:r>
      <w:r>
        <w:rPr>
          <w:rFonts w:hint="eastAsia" w:eastAsia="宋体"/>
          <w:b/>
          <w:color w:val="4471C4"/>
          <w:sz w:val="28"/>
          <w:szCs w:val="28"/>
          <w:lang w:eastAsia="zh-CN"/>
        </w:rPr>
        <w:t>：</w:t>
      </w:r>
    </w:p>
    <w:p>
      <w:pPr>
        <w:pStyle w:val="5"/>
        <w:spacing w:line="400" w:lineRule="exact"/>
        <w:ind w:firstLine="562" w:firstLineChars="200"/>
        <w:rPr>
          <w:rFonts w:eastAsia="宋体"/>
          <w:b/>
          <w:sz w:val="28"/>
          <w:szCs w:val="28"/>
          <w:lang w:eastAsia="zh-CN"/>
        </w:rPr>
      </w:pPr>
    </w:p>
    <w:p>
      <w:pPr>
        <w:pStyle w:val="11"/>
        <w:tabs>
          <w:tab w:val="left" w:pos="647"/>
        </w:tabs>
        <w:spacing w:line="400" w:lineRule="exact"/>
        <w:ind w:left="0" w:firstLine="562" w:firstLineChars="200"/>
        <w:rPr>
          <w:rFonts w:eastAsia="宋体"/>
          <w:sz w:val="28"/>
          <w:szCs w:val="28"/>
          <w:lang w:eastAsia="zh-CN"/>
        </w:rPr>
      </w:pPr>
      <w:r>
        <w:rPr>
          <w:rFonts w:eastAsia="宋体"/>
          <w:b/>
          <w:bCs/>
          <w:sz w:val="28"/>
          <w:szCs w:val="28"/>
          <w:lang w:eastAsia="zh-CN"/>
        </w:rPr>
        <w:t>211.</w:t>
      </w:r>
      <w:r>
        <w:rPr>
          <w:rFonts w:eastAsia="宋体"/>
          <w:b/>
          <w:sz w:val="28"/>
          <w:szCs w:val="28"/>
          <w:lang w:eastAsia="zh-CN"/>
        </w:rPr>
        <w:t>担保权益和信用数据更新效率</w:t>
      </w:r>
      <w:r>
        <w:rPr>
          <w:rFonts w:hint="eastAsia" w:eastAsia="宋体"/>
          <w:spacing w:val="-2"/>
          <w:sz w:val="28"/>
          <w:szCs w:val="28"/>
          <w:lang w:eastAsia="zh-CN"/>
        </w:rPr>
        <w:t>：</w:t>
      </w:r>
    </w:p>
    <w:p>
      <w:pPr>
        <w:pStyle w:val="5"/>
        <w:spacing w:line="400" w:lineRule="exact"/>
        <w:ind w:firstLine="560" w:firstLineChars="200"/>
        <w:rPr>
          <w:rFonts w:eastAsia="宋体"/>
          <w:sz w:val="28"/>
          <w:szCs w:val="28"/>
          <w:lang w:eastAsia="zh-CN"/>
        </w:rPr>
      </w:pPr>
      <w:r>
        <w:rPr>
          <w:rFonts w:eastAsia="宋体"/>
          <w:sz w:val="28"/>
          <w:szCs w:val="28"/>
          <w:lang w:eastAsia="zh-CN"/>
        </w:rPr>
        <w:t>211a.新的登记何时在数据库中得到反映并可检索？请提供一个估计。(例如，实时、1小时内、24小时内、3个工作日内等。 如果不是实时的，请提供延迟的原因。 </w:t>
      </w:r>
    </w:p>
    <w:p>
      <w:pPr>
        <w:pStyle w:val="5"/>
        <w:spacing w:line="400" w:lineRule="exact"/>
        <w:ind w:firstLine="560" w:firstLineChars="200"/>
        <w:rPr>
          <w:rFonts w:eastAsia="宋体"/>
          <w:sz w:val="28"/>
          <w:szCs w:val="28"/>
          <w:lang w:eastAsia="zh-CN"/>
        </w:rPr>
      </w:pPr>
      <w:r>
        <w:rPr>
          <w:rFonts w:eastAsia="宋体"/>
          <w:sz w:val="28"/>
          <w:szCs w:val="28"/>
          <w:lang w:eastAsia="zh-CN"/>
        </w:rPr>
        <w:t>211b.在抵押品登记处登记担保权益是否有相关费用？(Y/N)（不计分）</w:t>
      </w:r>
    </w:p>
    <w:p>
      <w:pPr>
        <w:pStyle w:val="5"/>
        <w:spacing w:line="400" w:lineRule="exact"/>
        <w:ind w:firstLine="560" w:firstLineChars="200"/>
        <w:rPr>
          <w:rFonts w:eastAsia="宋体"/>
          <w:sz w:val="28"/>
          <w:szCs w:val="28"/>
          <w:lang w:eastAsia="zh-CN"/>
        </w:rPr>
      </w:pPr>
      <w:r>
        <w:rPr>
          <w:rFonts w:eastAsia="宋体"/>
          <w:sz w:val="28"/>
          <w:szCs w:val="28"/>
          <w:lang w:eastAsia="zh-CN"/>
        </w:rPr>
        <w:t>211c.如果是，请说明以当地货币计算的费用。</w:t>
      </w:r>
    </w:p>
    <w:p>
      <w:pPr>
        <w:pStyle w:val="5"/>
        <w:spacing w:line="400" w:lineRule="exact"/>
        <w:ind w:firstLine="560" w:firstLineChars="200"/>
        <w:rPr>
          <w:rFonts w:eastAsia="宋体"/>
          <w:sz w:val="28"/>
          <w:szCs w:val="28"/>
          <w:lang w:eastAsia="zh-CN"/>
        </w:rPr>
      </w:pPr>
      <w:r>
        <w:rPr>
          <w:rFonts w:eastAsia="宋体"/>
          <w:sz w:val="28"/>
          <w:szCs w:val="28"/>
          <w:lang w:eastAsia="zh-CN"/>
        </w:rPr>
        <w:t>211d.在实践中，从信息提交给信贷局/登记处开始，需要多长时间？从提交给信用局/登记处到反映在用于信用报告的数据库中，实际上需要多长时间？ 请输入天数。</w:t>
      </w:r>
    </w:p>
    <w:tbl>
      <w:tblPr>
        <w:tblStyle w:val="8"/>
        <w:tblW w:w="8814"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49"/>
        <w:gridCol w:w="1544"/>
        <w:gridCol w:w="1018"/>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4849" w:type="dxa"/>
            <w:shd w:val="clear" w:color="auto" w:fill="CCD4EA"/>
            <w:vAlign w:val="center"/>
          </w:tcPr>
          <w:p>
            <w:pPr>
              <w:pStyle w:val="12"/>
              <w:spacing w:before="101"/>
              <w:jc w:val="both"/>
              <w:rPr>
                <w:rFonts w:eastAsia="宋体"/>
                <w:b/>
                <w:sz w:val="21"/>
                <w:szCs w:val="21"/>
              </w:rPr>
            </w:pPr>
            <w:r>
              <w:rPr>
                <w:rFonts w:eastAsia="宋体"/>
                <w:b/>
                <w:color w:val="2E5395"/>
                <w:sz w:val="21"/>
                <w:szCs w:val="21"/>
              </w:rPr>
              <w:t>3.1贷款</w:t>
            </w:r>
          </w:p>
        </w:tc>
        <w:tc>
          <w:tcPr>
            <w:tcW w:w="1544" w:type="dxa"/>
            <w:shd w:val="clear" w:color="auto" w:fill="CCD4EA"/>
            <w:vAlign w:val="center"/>
          </w:tcPr>
          <w:p>
            <w:pPr>
              <w:pStyle w:val="12"/>
              <w:spacing w:before="101"/>
              <w:jc w:val="center"/>
              <w:rPr>
                <w:rFonts w:eastAsia="宋体"/>
                <w:b/>
                <w:sz w:val="21"/>
                <w:szCs w:val="21"/>
              </w:rPr>
            </w:pPr>
            <w:r>
              <w:rPr>
                <w:rFonts w:eastAsia="宋体"/>
                <w:b/>
                <w:color w:val="2E5395"/>
                <w:spacing w:val="-5"/>
                <w:sz w:val="21"/>
                <w:szCs w:val="21"/>
              </w:rPr>
              <w:t>FFP</w:t>
            </w:r>
          </w:p>
        </w:tc>
        <w:tc>
          <w:tcPr>
            <w:tcW w:w="1018" w:type="dxa"/>
            <w:shd w:val="clear" w:color="auto" w:fill="CCD4EA"/>
            <w:vAlign w:val="center"/>
          </w:tcPr>
          <w:p>
            <w:pPr>
              <w:pStyle w:val="12"/>
              <w:spacing w:before="101"/>
              <w:jc w:val="center"/>
              <w:rPr>
                <w:rFonts w:eastAsia="宋体"/>
                <w:b/>
                <w:sz w:val="21"/>
                <w:szCs w:val="21"/>
              </w:rPr>
            </w:pPr>
            <w:r>
              <w:rPr>
                <w:rFonts w:eastAsia="宋体"/>
                <w:b/>
                <w:color w:val="2E5395"/>
                <w:spacing w:val="-5"/>
                <w:sz w:val="21"/>
                <w:szCs w:val="21"/>
              </w:rPr>
              <w:t>SBP</w:t>
            </w:r>
          </w:p>
        </w:tc>
        <w:tc>
          <w:tcPr>
            <w:tcW w:w="1403" w:type="dxa"/>
            <w:shd w:val="clear" w:color="auto" w:fill="CCD4EA"/>
            <w:vAlign w:val="center"/>
          </w:tcPr>
          <w:p>
            <w:pPr>
              <w:pStyle w:val="12"/>
              <w:spacing w:before="101"/>
              <w:ind w:left="105"/>
              <w:jc w:val="center"/>
              <w:rPr>
                <w:rFonts w:eastAsia="宋体"/>
                <w:b/>
                <w:sz w:val="21"/>
                <w:szCs w:val="21"/>
              </w:rPr>
            </w:pPr>
            <w:r>
              <w:rPr>
                <w:rFonts w:hint="eastAsia" w:eastAsia="宋体"/>
                <w:b/>
                <w:color w:val="2E5395"/>
                <w:sz w:val="21"/>
                <w:szCs w:val="21"/>
                <w:lang w:eastAsia="zh-CN"/>
              </w:rPr>
              <w:t>总</w:t>
            </w:r>
            <w:r>
              <w:rPr>
                <w:rFonts w:eastAsia="宋体"/>
                <w:b/>
                <w:color w:val="2E5395"/>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49" w:type="dxa"/>
            <w:vAlign w:val="center"/>
          </w:tcPr>
          <w:p>
            <w:pPr>
              <w:pStyle w:val="12"/>
              <w:tabs>
                <w:tab w:val="left" w:pos="813"/>
              </w:tabs>
              <w:spacing w:before="26"/>
              <w:jc w:val="both"/>
              <w:rPr>
                <w:rFonts w:eastAsia="宋体"/>
                <w:sz w:val="21"/>
                <w:szCs w:val="21"/>
              </w:rPr>
            </w:pPr>
            <w:r>
              <w:rPr>
                <w:rFonts w:eastAsia="宋体"/>
                <w:b/>
                <w:spacing w:val="-2"/>
                <w:sz w:val="21"/>
                <w:szCs w:val="21"/>
              </w:rPr>
              <w:t>3.1.1</w:t>
            </w:r>
            <w:r>
              <w:rPr>
                <w:rFonts w:eastAsia="宋体"/>
                <w:b/>
                <w:sz w:val="21"/>
                <w:szCs w:val="21"/>
              </w:rPr>
              <w:tab/>
            </w:r>
            <w:r>
              <w:rPr>
                <w:rFonts w:eastAsia="宋体"/>
                <w:b/>
                <w:sz w:val="21"/>
                <w:szCs w:val="21"/>
              </w:rPr>
              <w:t>获得贷款的时间</w:t>
            </w:r>
            <w:r>
              <w:rPr>
                <w:rFonts w:eastAsia="宋体"/>
                <w:spacing w:val="-4"/>
                <w:sz w:val="21"/>
                <w:szCs w:val="21"/>
              </w:rPr>
              <w:t>(202)</w:t>
            </w:r>
          </w:p>
        </w:tc>
        <w:tc>
          <w:tcPr>
            <w:tcW w:w="1544" w:type="dxa"/>
            <w:vAlign w:val="center"/>
          </w:tcPr>
          <w:p>
            <w:pPr>
              <w:pStyle w:val="12"/>
              <w:spacing w:before="26"/>
              <w:jc w:val="both"/>
              <w:rPr>
                <w:rFonts w:eastAsia="宋体"/>
                <w:b/>
                <w:sz w:val="21"/>
                <w:szCs w:val="21"/>
              </w:rPr>
            </w:pPr>
            <w:r>
              <w:rPr>
                <w:rFonts w:eastAsia="宋体"/>
                <w:b/>
                <w:sz w:val="21"/>
                <w:szCs w:val="21"/>
              </w:rPr>
              <w:t>100 (25%)</w:t>
            </w:r>
          </w:p>
        </w:tc>
        <w:tc>
          <w:tcPr>
            <w:tcW w:w="1018" w:type="dxa"/>
            <w:vAlign w:val="center"/>
          </w:tcPr>
          <w:p>
            <w:pPr>
              <w:pStyle w:val="12"/>
              <w:spacing w:before="26"/>
              <w:jc w:val="both"/>
              <w:rPr>
                <w:rFonts w:eastAsia="宋体"/>
                <w:b/>
                <w:sz w:val="21"/>
                <w:szCs w:val="21"/>
                <w:lang w:eastAsia="zh-CN"/>
              </w:rPr>
            </w:pPr>
            <w:r>
              <w:rPr>
                <w:rFonts w:eastAsia="宋体"/>
                <w:b/>
                <w:spacing w:val="-4"/>
                <w:sz w:val="21"/>
                <w:szCs w:val="21"/>
                <w:lang w:eastAsia="zh-CN"/>
              </w:rPr>
              <w:t>不适用</w:t>
            </w:r>
          </w:p>
        </w:tc>
        <w:tc>
          <w:tcPr>
            <w:tcW w:w="1403" w:type="dxa"/>
            <w:vAlign w:val="center"/>
          </w:tcPr>
          <w:p>
            <w:pPr>
              <w:pStyle w:val="12"/>
              <w:spacing w:before="26"/>
              <w:ind w:left="105"/>
              <w:jc w:val="both"/>
              <w:rPr>
                <w:rFonts w:eastAsia="宋体"/>
                <w:b/>
                <w:sz w:val="21"/>
                <w:szCs w:val="21"/>
              </w:rPr>
            </w:pPr>
            <w:r>
              <w:rPr>
                <w:rFonts w:eastAsia="宋体"/>
                <w:b/>
                <w:sz w:val="21"/>
                <w:szCs w:val="21"/>
              </w:rPr>
              <w:t>100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49" w:type="dxa"/>
            <w:vAlign w:val="center"/>
          </w:tcPr>
          <w:p>
            <w:pPr>
              <w:pStyle w:val="12"/>
              <w:tabs>
                <w:tab w:val="left" w:pos="813"/>
              </w:tabs>
              <w:spacing w:before="26"/>
              <w:jc w:val="both"/>
              <w:rPr>
                <w:rFonts w:eastAsia="宋体"/>
                <w:sz w:val="21"/>
                <w:szCs w:val="21"/>
              </w:rPr>
            </w:pPr>
            <w:r>
              <w:rPr>
                <w:rFonts w:eastAsia="宋体"/>
                <w:b/>
                <w:spacing w:val="-2"/>
                <w:sz w:val="21"/>
                <w:szCs w:val="21"/>
              </w:rPr>
              <w:t>3.1.2</w:t>
            </w:r>
            <w:r>
              <w:rPr>
                <w:rFonts w:eastAsia="宋体"/>
                <w:b/>
                <w:sz w:val="21"/>
                <w:szCs w:val="21"/>
              </w:rPr>
              <w:tab/>
            </w:r>
            <w:r>
              <w:rPr>
                <w:rFonts w:eastAsia="宋体"/>
                <w:b/>
                <w:sz w:val="21"/>
                <w:szCs w:val="21"/>
              </w:rPr>
              <w:t>获得贷款的成本</w:t>
            </w:r>
            <w:r>
              <w:rPr>
                <w:rFonts w:eastAsia="宋体"/>
                <w:spacing w:val="-4"/>
                <w:sz w:val="21"/>
                <w:szCs w:val="21"/>
              </w:rPr>
              <w:t>(203)</w:t>
            </w:r>
          </w:p>
        </w:tc>
        <w:tc>
          <w:tcPr>
            <w:tcW w:w="1544" w:type="dxa"/>
            <w:vAlign w:val="center"/>
          </w:tcPr>
          <w:p>
            <w:pPr>
              <w:pStyle w:val="12"/>
              <w:spacing w:before="26"/>
              <w:jc w:val="both"/>
              <w:rPr>
                <w:rFonts w:eastAsia="宋体"/>
                <w:b/>
                <w:sz w:val="21"/>
                <w:szCs w:val="21"/>
              </w:rPr>
            </w:pPr>
            <w:r>
              <w:rPr>
                <w:rFonts w:eastAsia="宋体"/>
                <w:b/>
                <w:sz w:val="21"/>
                <w:szCs w:val="21"/>
              </w:rPr>
              <w:t>100 (25%)</w:t>
            </w:r>
          </w:p>
        </w:tc>
        <w:tc>
          <w:tcPr>
            <w:tcW w:w="1018" w:type="dxa"/>
            <w:vAlign w:val="center"/>
          </w:tcPr>
          <w:p>
            <w:pPr>
              <w:pStyle w:val="12"/>
              <w:jc w:val="both"/>
              <w:rPr>
                <w:rFonts w:eastAsia="宋体"/>
                <w:b/>
                <w:sz w:val="21"/>
                <w:szCs w:val="21"/>
                <w:lang w:eastAsia="zh-CN"/>
              </w:rPr>
            </w:pPr>
            <w:r>
              <w:rPr>
                <w:rFonts w:eastAsia="宋体"/>
                <w:b/>
                <w:spacing w:val="-4"/>
                <w:sz w:val="21"/>
                <w:szCs w:val="21"/>
                <w:lang w:eastAsia="zh-CN"/>
              </w:rPr>
              <w:t>不适用</w:t>
            </w:r>
          </w:p>
        </w:tc>
        <w:tc>
          <w:tcPr>
            <w:tcW w:w="1403" w:type="dxa"/>
            <w:vAlign w:val="center"/>
          </w:tcPr>
          <w:p>
            <w:pPr>
              <w:pStyle w:val="12"/>
              <w:spacing w:before="26"/>
              <w:ind w:left="105"/>
              <w:jc w:val="both"/>
              <w:rPr>
                <w:rFonts w:eastAsia="宋体"/>
                <w:b/>
                <w:sz w:val="21"/>
                <w:szCs w:val="21"/>
              </w:rPr>
            </w:pPr>
            <w:r>
              <w:rPr>
                <w:rFonts w:eastAsia="宋体"/>
                <w:b/>
                <w:sz w:val="21"/>
                <w:szCs w:val="21"/>
              </w:rPr>
              <w:t>100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849" w:type="dxa"/>
            <w:vAlign w:val="center"/>
          </w:tcPr>
          <w:p>
            <w:pPr>
              <w:pStyle w:val="12"/>
              <w:tabs>
                <w:tab w:val="left" w:pos="813"/>
              </w:tabs>
              <w:spacing w:line="230" w:lineRule="atLeast"/>
              <w:ind w:left="813" w:right="575" w:hanging="706"/>
              <w:jc w:val="both"/>
              <w:rPr>
                <w:rFonts w:eastAsia="宋体"/>
                <w:sz w:val="21"/>
                <w:szCs w:val="21"/>
                <w:lang w:eastAsia="zh-CN"/>
              </w:rPr>
            </w:pPr>
            <w:r>
              <w:rPr>
                <w:rFonts w:eastAsia="宋体"/>
                <w:b/>
                <w:spacing w:val="-2"/>
                <w:sz w:val="21"/>
                <w:szCs w:val="21"/>
                <w:lang w:eastAsia="zh-CN"/>
              </w:rPr>
              <w:t>3.1.3</w:t>
            </w:r>
            <w:r>
              <w:rPr>
                <w:rFonts w:eastAsia="宋体"/>
                <w:b/>
                <w:sz w:val="21"/>
                <w:szCs w:val="21"/>
                <w:lang w:eastAsia="zh-CN"/>
              </w:rPr>
              <w:tab/>
            </w:r>
            <w:r>
              <w:rPr>
                <w:rFonts w:eastAsia="宋体"/>
                <w:b/>
                <w:sz w:val="21"/>
                <w:szCs w:val="21"/>
                <w:lang w:eastAsia="zh-CN"/>
              </w:rPr>
              <w:t>担保权益与信用数据更新效率</w:t>
            </w:r>
            <w:r>
              <w:rPr>
                <w:rFonts w:eastAsia="宋体"/>
                <w:sz w:val="21"/>
                <w:szCs w:val="21"/>
                <w:lang w:eastAsia="zh-CN"/>
              </w:rPr>
              <w:t>(211)</w:t>
            </w:r>
          </w:p>
        </w:tc>
        <w:tc>
          <w:tcPr>
            <w:tcW w:w="1544" w:type="dxa"/>
            <w:vAlign w:val="center"/>
          </w:tcPr>
          <w:p>
            <w:pPr>
              <w:pStyle w:val="12"/>
              <w:spacing w:before="115"/>
              <w:jc w:val="both"/>
              <w:rPr>
                <w:rFonts w:eastAsia="宋体"/>
                <w:b/>
                <w:sz w:val="21"/>
                <w:szCs w:val="21"/>
              </w:rPr>
            </w:pPr>
            <w:r>
              <w:rPr>
                <w:rFonts w:eastAsia="宋体"/>
                <w:b/>
                <w:sz w:val="21"/>
                <w:szCs w:val="21"/>
              </w:rPr>
              <w:t>100 (25%)</w:t>
            </w:r>
          </w:p>
        </w:tc>
        <w:tc>
          <w:tcPr>
            <w:tcW w:w="1018" w:type="dxa"/>
            <w:vAlign w:val="center"/>
          </w:tcPr>
          <w:p>
            <w:pPr>
              <w:pStyle w:val="12"/>
              <w:jc w:val="both"/>
              <w:rPr>
                <w:rFonts w:eastAsia="宋体"/>
                <w:b/>
                <w:sz w:val="21"/>
                <w:szCs w:val="21"/>
                <w:lang w:eastAsia="zh-CN"/>
              </w:rPr>
            </w:pPr>
            <w:r>
              <w:rPr>
                <w:rFonts w:eastAsia="宋体"/>
                <w:b/>
                <w:spacing w:val="-4"/>
                <w:sz w:val="21"/>
                <w:szCs w:val="21"/>
                <w:lang w:eastAsia="zh-CN"/>
              </w:rPr>
              <w:t>不适用</w:t>
            </w:r>
          </w:p>
        </w:tc>
        <w:tc>
          <w:tcPr>
            <w:tcW w:w="1403" w:type="dxa"/>
            <w:vAlign w:val="center"/>
          </w:tcPr>
          <w:p>
            <w:pPr>
              <w:pStyle w:val="12"/>
              <w:spacing w:before="115"/>
              <w:ind w:left="105"/>
              <w:jc w:val="both"/>
              <w:rPr>
                <w:rFonts w:eastAsia="宋体"/>
                <w:b/>
                <w:sz w:val="21"/>
                <w:szCs w:val="21"/>
              </w:rPr>
            </w:pPr>
            <w:r>
              <w:rPr>
                <w:rFonts w:eastAsia="宋体"/>
                <w:b/>
                <w:sz w:val="21"/>
                <w:szCs w:val="21"/>
              </w:rPr>
              <w:t>100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849" w:type="dxa"/>
            <w:vAlign w:val="center"/>
          </w:tcPr>
          <w:p>
            <w:pPr>
              <w:pStyle w:val="12"/>
              <w:tabs>
                <w:tab w:val="left" w:pos="813"/>
              </w:tabs>
              <w:spacing w:line="230" w:lineRule="atLeast"/>
              <w:ind w:left="813" w:right="428" w:hanging="706"/>
              <w:jc w:val="both"/>
              <w:rPr>
                <w:rFonts w:eastAsia="宋体"/>
                <w:sz w:val="21"/>
                <w:szCs w:val="21"/>
                <w:lang w:eastAsia="zh-CN"/>
              </w:rPr>
            </w:pPr>
            <w:r>
              <w:rPr>
                <w:rFonts w:eastAsia="宋体"/>
                <w:b/>
                <w:spacing w:val="-2"/>
                <w:sz w:val="21"/>
                <w:szCs w:val="21"/>
                <w:lang w:eastAsia="zh-CN"/>
              </w:rPr>
              <w:t>3.1.4</w:t>
            </w:r>
            <w:r>
              <w:rPr>
                <w:rFonts w:eastAsia="宋体"/>
                <w:b/>
                <w:sz w:val="21"/>
                <w:szCs w:val="21"/>
                <w:lang w:eastAsia="zh-CN"/>
              </w:rPr>
              <w:tab/>
            </w:r>
            <w:r>
              <w:rPr>
                <w:rFonts w:eastAsia="宋体"/>
                <w:b/>
                <w:sz w:val="21"/>
                <w:szCs w:val="21"/>
                <w:lang w:eastAsia="zh-CN"/>
              </w:rPr>
              <w:t>在获得贷款和其他银行服务方面的性别差距</w:t>
            </w:r>
            <w:r>
              <w:rPr>
                <w:rFonts w:eastAsia="宋体"/>
                <w:sz w:val="21"/>
                <w:szCs w:val="21"/>
                <w:lang w:eastAsia="zh-CN"/>
              </w:rPr>
              <w:t>(209)</w:t>
            </w:r>
          </w:p>
        </w:tc>
        <w:tc>
          <w:tcPr>
            <w:tcW w:w="1544" w:type="dxa"/>
            <w:vAlign w:val="center"/>
          </w:tcPr>
          <w:p>
            <w:pPr>
              <w:pStyle w:val="12"/>
              <w:spacing w:before="115"/>
              <w:jc w:val="both"/>
              <w:rPr>
                <w:rFonts w:eastAsia="宋体"/>
                <w:b/>
                <w:sz w:val="21"/>
                <w:szCs w:val="21"/>
              </w:rPr>
            </w:pPr>
            <w:r>
              <w:rPr>
                <w:rFonts w:eastAsia="宋体"/>
                <w:b/>
                <w:sz w:val="21"/>
                <w:szCs w:val="21"/>
              </w:rPr>
              <w:t>100 (25%)</w:t>
            </w:r>
          </w:p>
        </w:tc>
        <w:tc>
          <w:tcPr>
            <w:tcW w:w="1018" w:type="dxa"/>
            <w:vAlign w:val="center"/>
          </w:tcPr>
          <w:p>
            <w:pPr>
              <w:pStyle w:val="12"/>
              <w:jc w:val="both"/>
              <w:rPr>
                <w:rFonts w:eastAsia="宋体"/>
                <w:b/>
                <w:sz w:val="21"/>
                <w:szCs w:val="21"/>
                <w:lang w:eastAsia="zh-CN"/>
              </w:rPr>
            </w:pPr>
            <w:r>
              <w:rPr>
                <w:rFonts w:eastAsia="宋体"/>
                <w:b/>
                <w:spacing w:val="-4"/>
                <w:sz w:val="21"/>
                <w:szCs w:val="21"/>
                <w:lang w:eastAsia="zh-CN"/>
              </w:rPr>
              <w:t>不适用</w:t>
            </w:r>
          </w:p>
        </w:tc>
        <w:tc>
          <w:tcPr>
            <w:tcW w:w="1403" w:type="dxa"/>
            <w:vAlign w:val="center"/>
          </w:tcPr>
          <w:p>
            <w:pPr>
              <w:pStyle w:val="12"/>
              <w:spacing w:before="115"/>
              <w:ind w:left="105"/>
              <w:jc w:val="both"/>
              <w:rPr>
                <w:rFonts w:eastAsia="宋体"/>
                <w:b/>
                <w:sz w:val="21"/>
                <w:szCs w:val="21"/>
              </w:rPr>
            </w:pPr>
            <w:r>
              <w:rPr>
                <w:rFonts w:eastAsia="宋体"/>
                <w:b/>
                <w:sz w:val="21"/>
                <w:szCs w:val="21"/>
              </w:rPr>
              <w:t>100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49" w:type="dxa"/>
            <w:shd w:val="clear" w:color="auto" w:fill="FFC000"/>
            <w:vAlign w:val="center"/>
          </w:tcPr>
          <w:p>
            <w:pPr>
              <w:pStyle w:val="12"/>
              <w:spacing w:before="26"/>
              <w:jc w:val="both"/>
              <w:rPr>
                <w:rFonts w:eastAsia="宋体"/>
                <w:b/>
                <w:sz w:val="21"/>
                <w:szCs w:val="21"/>
              </w:rPr>
            </w:pPr>
            <w:r>
              <w:rPr>
                <w:rFonts w:hint="eastAsia" w:eastAsia="宋体"/>
                <w:b/>
                <w:sz w:val="21"/>
                <w:szCs w:val="21"/>
                <w:lang w:eastAsia="zh-CN"/>
              </w:rPr>
              <w:t>总计</w:t>
            </w:r>
          </w:p>
        </w:tc>
        <w:tc>
          <w:tcPr>
            <w:tcW w:w="1544" w:type="dxa"/>
            <w:shd w:val="clear" w:color="auto" w:fill="FFC000"/>
            <w:vAlign w:val="center"/>
          </w:tcPr>
          <w:p>
            <w:pPr>
              <w:pStyle w:val="12"/>
              <w:spacing w:before="26"/>
              <w:jc w:val="center"/>
              <w:rPr>
                <w:rFonts w:eastAsia="宋体"/>
                <w:b/>
                <w:sz w:val="21"/>
                <w:szCs w:val="21"/>
                <w:lang w:eastAsia="zh-CN"/>
              </w:rPr>
            </w:pPr>
            <w:r>
              <w:rPr>
                <w:rFonts w:eastAsia="宋体"/>
                <w:b/>
                <w:spacing w:val="-5"/>
                <w:sz w:val="21"/>
                <w:szCs w:val="21"/>
                <w:lang w:eastAsia="zh-CN"/>
              </w:rPr>
              <w:t>100</w:t>
            </w:r>
          </w:p>
        </w:tc>
        <w:tc>
          <w:tcPr>
            <w:tcW w:w="1018" w:type="dxa"/>
            <w:shd w:val="clear" w:color="auto" w:fill="FFC000"/>
            <w:vAlign w:val="center"/>
          </w:tcPr>
          <w:p>
            <w:pPr>
              <w:pStyle w:val="12"/>
              <w:jc w:val="center"/>
              <w:rPr>
                <w:rFonts w:eastAsia="宋体"/>
                <w:b/>
                <w:sz w:val="21"/>
                <w:szCs w:val="21"/>
                <w:lang w:eastAsia="zh-CN"/>
              </w:rPr>
            </w:pPr>
            <w:r>
              <w:rPr>
                <w:rFonts w:eastAsia="宋体"/>
                <w:b/>
                <w:spacing w:val="-4"/>
                <w:sz w:val="21"/>
                <w:szCs w:val="21"/>
                <w:lang w:eastAsia="zh-CN"/>
              </w:rPr>
              <w:t>不适用</w:t>
            </w:r>
          </w:p>
        </w:tc>
        <w:tc>
          <w:tcPr>
            <w:tcW w:w="1403" w:type="dxa"/>
            <w:shd w:val="clear" w:color="auto" w:fill="FFC000"/>
            <w:vAlign w:val="center"/>
          </w:tcPr>
          <w:p>
            <w:pPr>
              <w:pStyle w:val="12"/>
              <w:spacing w:before="26"/>
              <w:ind w:left="105"/>
              <w:jc w:val="center"/>
              <w:rPr>
                <w:rFonts w:eastAsia="宋体"/>
                <w:b/>
                <w:sz w:val="21"/>
                <w:szCs w:val="21"/>
                <w:lang w:eastAsia="zh-CN"/>
              </w:rPr>
            </w:pPr>
            <w:r>
              <w:rPr>
                <w:rFonts w:eastAsia="宋体"/>
                <w:b/>
                <w:spacing w:val="-5"/>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8814" w:type="dxa"/>
            <w:gridSpan w:val="4"/>
            <w:shd w:val="clear" w:color="auto" w:fill="CCD4EA"/>
            <w:vAlign w:val="center"/>
          </w:tcPr>
          <w:p>
            <w:pPr>
              <w:pStyle w:val="12"/>
              <w:tabs>
                <w:tab w:val="left" w:pos="902"/>
              </w:tabs>
              <w:spacing w:before="65"/>
              <w:ind w:left="273"/>
              <w:jc w:val="both"/>
              <w:rPr>
                <w:rFonts w:eastAsia="宋体"/>
                <w:b/>
                <w:sz w:val="21"/>
                <w:szCs w:val="21"/>
              </w:rPr>
            </w:pPr>
            <w:r>
              <w:rPr>
                <w:rFonts w:eastAsia="宋体"/>
                <w:b/>
                <w:spacing w:val="-5"/>
                <w:sz w:val="21"/>
                <w:szCs w:val="21"/>
              </w:rPr>
              <w:t>3.2</w:t>
            </w:r>
            <w:r>
              <w:rPr>
                <w:rFonts w:eastAsia="宋体"/>
                <w:b/>
                <w:sz w:val="21"/>
                <w:szCs w:val="21"/>
              </w:rPr>
              <w:tab/>
            </w:r>
            <w:r>
              <w:rPr>
                <w:rFonts w:eastAsia="宋体"/>
                <w:b/>
                <w:sz w:val="21"/>
                <w:szCs w:val="21"/>
                <w:lang w:eastAsia="zh-CN"/>
              </w:rPr>
              <w:t>电子</w:t>
            </w:r>
            <w:r>
              <w:rPr>
                <w:rFonts w:eastAsia="宋体"/>
                <w:b/>
                <w:w w:val="95"/>
                <w:sz w:val="21"/>
                <w:szCs w:val="21"/>
              </w:rPr>
              <w:t>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49" w:type="dxa"/>
            <w:vAlign w:val="center"/>
          </w:tcPr>
          <w:p>
            <w:pPr>
              <w:pStyle w:val="12"/>
              <w:tabs>
                <w:tab w:val="left" w:pos="827"/>
              </w:tabs>
              <w:spacing w:before="26"/>
              <w:jc w:val="both"/>
              <w:rPr>
                <w:rFonts w:eastAsia="宋体"/>
                <w:sz w:val="21"/>
                <w:szCs w:val="21"/>
              </w:rPr>
            </w:pPr>
            <w:r>
              <w:rPr>
                <w:rFonts w:eastAsia="宋体"/>
                <w:b/>
                <w:spacing w:val="-2"/>
                <w:sz w:val="21"/>
                <w:szCs w:val="21"/>
              </w:rPr>
              <w:t>3.2.1</w:t>
            </w:r>
            <w:r>
              <w:rPr>
                <w:rFonts w:eastAsia="宋体"/>
                <w:b/>
                <w:sz w:val="21"/>
                <w:szCs w:val="21"/>
              </w:rPr>
              <w:tab/>
            </w:r>
            <w:r>
              <w:rPr>
                <w:rFonts w:eastAsia="宋体"/>
                <w:b/>
                <w:sz w:val="21"/>
                <w:szCs w:val="21"/>
              </w:rPr>
              <w:t>接收电子支付的费用</w:t>
            </w:r>
            <w:r>
              <w:rPr>
                <w:rFonts w:eastAsia="宋体"/>
                <w:spacing w:val="-4"/>
                <w:sz w:val="21"/>
                <w:szCs w:val="21"/>
              </w:rPr>
              <w:t>(204)</w:t>
            </w:r>
          </w:p>
        </w:tc>
        <w:tc>
          <w:tcPr>
            <w:tcW w:w="1544" w:type="dxa"/>
            <w:vAlign w:val="center"/>
          </w:tcPr>
          <w:p>
            <w:pPr>
              <w:pStyle w:val="12"/>
              <w:spacing w:before="26"/>
              <w:jc w:val="both"/>
              <w:rPr>
                <w:rFonts w:eastAsia="宋体"/>
                <w:b/>
                <w:sz w:val="21"/>
                <w:szCs w:val="21"/>
              </w:rPr>
            </w:pPr>
            <w:r>
              <w:rPr>
                <w:rFonts w:eastAsia="宋体"/>
                <w:b/>
                <w:sz w:val="21"/>
                <w:szCs w:val="21"/>
              </w:rPr>
              <w:t>100 (16.7%)</w:t>
            </w:r>
          </w:p>
        </w:tc>
        <w:tc>
          <w:tcPr>
            <w:tcW w:w="1018" w:type="dxa"/>
            <w:vAlign w:val="center"/>
          </w:tcPr>
          <w:p>
            <w:pPr>
              <w:pStyle w:val="12"/>
              <w:spacing w:line="228" w:lineRule="exact"/>
              <w:jc w:val="both"/>
              <w:rPr>
                <w:rFonts w:eastAsia="宋体"/>
                <w:b/>
                <w:sz w:val="21"/>
                <w:szCs w:val="21"/>
                <w:lang w:eastAsia="zh-CN"/>
              </w:rPr>
            </w:pPr>
            <w:r>
              <w:rPr>
                <w:rFonts w:eastAsia="宋体"/>
                <w:b/>
                <w:spacing w:val="-4"/>
                <w:sz w:val="21"/>
                <w:szCs w:val="21"/>
                <w:lang w:eastAsia="zh-CN"/>
              </w:rPr>
              <w:t>不适用</w:t>
            </w:r>
          </w:p>
        </w:tc>
        <w:tc>
          <w:tcPr>
            <w:tcW w:w="1403" w:type="dxa"/>
            <w:vAlign w:val="center"/>
          </w:tcPr>
          <w:p>
            <w:pPr>
              <w:pStyle w:val="12"/>
              <w:spacing w:before="26"/>
              <w:ind w:left="105"/>
              <w:jc w:val="both"/>
              <w:rPr>
                <w:rFonts w:eastAsia="宋体"/>
                <w:b/>
                <w:sz w:val="21"/>
                <w:szCs w:val="21"/>
              </w:rPr>
            </w:pPr>
            <w:r>
              <w:rPr>
                <w:rFonts w:eastAsia="宋体"/>
                <w:b/>
                <w:sz w:val="21"/>
                <w:szCs w:val="21"/>
              </w:rPr>
              <w:t>100 (16.7%)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49" w:type="dxa"/>
            <w:vAlign w:val="center"/>
          </w:tcPr>
          <w:p>
            <w:pPr>
              <w:pStyle w:val="12"/>
              <w:tabs>
                <w:tab w:val="left" w:pos="827"/>
              </w:tabs>
              <w:spacing w:before="26"/>
              <w:jc w:val="both"/>
              <w:rPr>
                <w:rFonts w:eastAsia="宋体"/>
                <w:sz w:val="21"/>
                <w:szCs w:val="21"/>
              </w:rPr>
            </w:pPr>
            <w:r>
              <w:rPr>
                <w:rFonts w:eastAsia="宋体"/>
                <w:b/>
                <w:spacing w:val="-2"/>
                <w:sz w:val="21"/>
                <w:szCs w:val="21"/>
              </w:rPr>
              <w:t>3.2.2</w:t>
            </w:r>
            <w:r>
              <w:rPr>
                <w:rFonts w:eastAsia="宋体"/>
                <w:b/>
                <w:sz w:val="21"/>
                <w:szCs w:val="21"/>
              </w:rPr>
              <w:tab/>
            </w:r>
            <w:r>
              <w:rPr>
                <w:rFonts w:eastAsia="宋体"/>
                <w:b/>
                <w:sz w:val="21"/>
                <w:szCs w:val="21"/>
              </w:rPr>
              <w:t>进行电子支付的成本</w:t>
            </w:r>
            <w:r>
              <w:rPr>
                <w:rFonts w:eastAsia="宋体"/>
                <w:spacing w:val="-4"/>
                <w:sz w:val="21"/>
                <w:szCs w:val="21"/>
              </w:rPr>
              <w:t>(205)</w:t>
            </w:r>
          </w:p>
        </w:tc>
        <w:tc>
          <w:tcPr>
            <w:tcW w:w="1544" w:type="dxa"/>
            <w:vAlign w:val="center"/>
          </w:tcPr>
          <w:p>
            <w:pPr>
              <w:pStyle w:val="12"/>
              <w:spacing w:before="26"/>
              <w:jc w:val="both"/>
              <w:rPr>
                <w:rFonts w:eastAsia="宋体"/>
                <w:b/>
                <w:sz w:val="21"/>
                <w:szCs w:val="21"/>
              </w:rPr>
            </w:pPr>
            <w:r>
              <w:rPr>
                <w:rFonts w:eastAsia="宋体"/>
                <w:b/>
                <w:sz w:val="21"/>
                <w:szCs w:val="21"/>
              </w:rPr>
              <w:t>100 (16.7%)</w:t>
            </w:r>
          </w:p>
        </w:tc>
        <w:tc>
          <w:tcPr>
            <w:tcW w:w="1018" w:type="dxa"/>
            <w:vAlign w:val="center"/>
          </w:tcPr>
          <w:p>
            <w:pPr>
              <w:pStyle w:val="12"/>
              <w:jc w:val="both"/>
              <w:rPr>
                <w:rFonts w:eastAsia="宋体"/>
                <w:b/>
                <w:sz w:val="21"/>
                <w:szCs w:val="21"/>
                <w:lang w:eastAsia="zh-CN"/>
              </w:rPr>
            </w:pPr>
            <w:r>
              <w:rPr>
                <w:rFonts w:eastAsia="宋体"/>
                <w:b/>
                <w:spacing w:val="-4"/>
                <w:sz w:val="21"/>
                <w:szCs w:val="21"/>
                <w:lang w:eastAsia="zh-CN"/>
              </w:rPr>
              <w:t>不适用</w:t>
            </w:r>
          </w:p>
        </w:tc>
        <w:tc>
          <w:tcPr>
            <w:tcW w:w="1403" w:type="dxa"/>
            <w:vAlign w:val="center"/>
          </w:tcPr>
          <w:p>
            <w:pPr>
              <w:pStyle w:val="12"/>
              <w:spacing w:before="26"/>
              <w:ind w:left="105"/>
              <w:jc w:val="both"/>
              <w:rPr>
                <w:rFonts w:eastAsia="宋体"/>
                <w:b/>
                <w:sz w:val="21"/>
                <w:szCs w:val="21"/>
              </w:rPr>
            </w:pPr>
            <w:r>
              <w:rPr>
                <w:rFonts w:eastAsia="宋体"/>
                <w:b/>
                <w:sz w:val="21"/>
                <w:szCs w:val="21"/>
              </w:rPr>
              <w:t>100 (16.7%)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49" w:type="dxa"/>
            <w:vAlign w:val="center"/>
          </w:tcPr>
          <w:p>
            <w:pPr>
              <w:pStyle w:val="12"/>
              <w:tabs>
                <w:tab w:val="left" w:pos="827"/>
              </w:tabs>
              <w:spacing w:before="26"/>
              <w:jc w:val="both"/>
              <w:rPr>
                <w:rFonts w:eastAsia="宋体"/>
                <w:sz w:val="21"/>
                <w:szCs w:val="21"/>
              </w:rPr>
            </w:pPr>
            <w:r>
              <w:rPr>
                <w:rFonts w:eastAsia="宋体"/>
                <w:b/>
                <w:spacing w:val="-2"/>
                <w:sz w:val="21"/>
                <w:szCs w:val="21"/>
              </w:rPr>
              <w:t>3.2.3</w:t>
            </w:r>
            <w:r>
              <w:rPr>
                <w:rFonts w:eastAsia="宋体"/>
                <w:b/>
                <w:sz w:val="21"/>
                <w:szCs w:val="21"/>
              </w:rPr>
              <w:tab/>
            </w:r>
            <w:r>
              <w:rPr>
                <w:rFonts w:eastAsia="宋体"/>
                <w:b/>
                <w:sz w:val="21"/>
                <w:szCs w:val="21"/>
              </w:rPr>
              <w:t>接收电子支付的时间</w:t>
            </w:r>
            <w:r>
              <w:rPr>
                <w:rFonts w:eastAsia="宋体"/>
                <w:spacing w:val="-4"/>
                <w:sz w:val="21"/>
                <w:szCs w:val="21"/>
              </w:rPr>
              <w:t>(206)</w:t>
            </w:r>
          </w:p>
        </w:tc>
        <w:tc>
          <w:tcPr>
            <w:tcW w:w="1544" w:type="dxa"/>
            <w:vAlign w:val="center"/>
          </w:tcPr>
          <w:p>
            <w:pPr>
              <w:pStyle w:val="12"/>
              <w:spacing w:before="26"/>
              <w:jc w:val="both"/>
              <w:rPr>
                <w:rFonts w:eastAsia="宋体"/>
                <w:b/>
                <w:sz w:val="21"/>
                <w:szCs w:val="21"/>
              </w:rPr>
            </w:pPr>
            <w:r>
              <w:rPr>
                <w:rFonts w:eastAsia="宋体"/>
                <w:b/>
                <w:sz w:val="21"/>
                <w:szCs w:val="21"/>
              </w:rPr>
              <w:t>100 (16.7%)</w:t>
            </w:r>
          </w:p>
        </w:tc>
        <w:tc>
          <w:tcPr>
            <w:tcW w:w="1018" w:type="dxa"/>
            <w:vAlign w:val="center"/>
          </w:tcPr>
          <w:p>
            <w:pPr>
              <w:pStyle w:val="12"/>
              <w:jc w:val="both"/>
              <w:rPr>
                <w:rFonts w:eastAsia="宋体"/>
                <w:b/>
                <w:sz w:val="21"/>
                <w:szCs w:val="21"/>
                <w:lang w:eastAsia="zh-CN"/>
              </w:rPr>
            </w:pPr>
            <w:r>
              <w:rPr>
                <w:rFonts w:eastAsia="宋体"/>
                <w:b/>
                <w:spacing w:val="-4"/>
                <w:sz w:val="21"/>
                <w:szCs w:val="21"/>
                <w:lang w:eastAsia="zh-CN"/>
              </w:rPr>
              <w:t>不适用</w:t>
            </w:r>
          </w:p>
        </w:tc>
        <w:tc>
          <w:tcPr>
            <w:tcW w:w="1403" w:type="dxa"/>
            <w:vAlign w:val="center"/>
          </w:tcPr>
          <w:p>
            <w:pPr>
              <w:pStyle w:val="12"/>
              <w:spacing w:before="26"/>
              <w:ind w:left="105"/>
              <w:jc w:val="both"/>
              <w:rPr>
                <w:rFonts w:eastAsia="宋体"/>
                <w:b/>
                <w:sz w:val="21"/>
                <w:szCs w:val="21"/>
              </w:rPr>
            </w:pPr>
            <w:r>
              <w:rPr>
                <w:rFonts w:eastAsia="宋体"/>
                <w:b/>
                <w:sz w:val="21"/>
                <w:szCs w:val="21"/>
              </w:rPr>
              <w:t>100 (16.7%)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49" w:type="dxa"/>
            <w:vAlign w:val="center"/>
          </w:tcPr>
          <w:p>
            <w:pPr>
              <w:pStyle w:val="12"/>
              <w:tabs>
                <w:tab w:val="left" w:pos="827"/>
              </w:tabs>
              <w:spacing w:before="26"/>
              <w:jc w:val="both"/>
              <w:rPr>
                <w:rFonts w:eastAsia="宋体"/>
                <w:sz w:val="21"/>
                <w:szCs w:val="21"/>
                <w:lang w:eastAsia="zh-CN"/>
              </w:rPr>
            </w:pPr>
            <w:r>
              <w:rPr>
                <w:rFonts w:eastAsia="宋体"/>
                <w:b/>
                <w:spacing w:val="-2"/>
                <w:sz w:val="21"/>
                <w:szCs w:val="21"/>
                <w:lang w:eastAsia="zh-CN"/>
              </w:rPr>
              <w:t>3.2.4</w:t>
            </w:r>
            <w:r>
              <w:rPr>
                <w:rFonts w:eastAsia="宋体"/>
                <w:b/>
                <w:sz w:val="21"/>
                <w:szCs w:val="21"/>
                <w:lang w:eastAsia="zh-CN"/>
              </w:rPr>
              <w:tab/>
            </w:r>
            <w:r>
              <w:rPr>
                <w:rFonts w:eastAsia="宋体"/>
                <w:b/>
                <w:sz w:val="21"/>
                <w:szCs w:val="21"/>
                <w:lang w:eastAsia="zh-CN"/>
              </w:rPr>
              <w:t>接受电子支付的使用水平</w:t>
            </w:r>
            <w:r>
              <w:rPr>
                <w:rFonts w:eastAsia="宋体"/>
                <w:spacing w:val="-4"/>
                <w:sz w:val="21"/>
                <w:szCs w:val="21"/>
                <w:lang w:eastAsia="zh-CN"/>
              </w:rPr>
              <w:t>(207)</w:t>
            </w:r>
          </w:p>
        </w:tc>
        <w:tc>
          <w:tcPr>
            <w:tcW w:w="1544" w:type="dxa"/>
            <w:vAlign w:val="center"/>
          </w:tcPr>
          <w:p>
            <w:pPr>
              <w:pStyle w:val="12"/>
              <w:spacing w:before="26"/>
              <w:jc w:val="both"/>
              <w:rPr>
                <w:rFonts w:eastAsia="宋体"/>
                <w:b/>
                <w:sz w:val="21"/>
                <w:szCs w:val="21"/>
              </w:rPr>
            </w:pPr>
            <w:r>
              <w:rPr>
                <w:rFonts w:eastAsia="宋体"/>
                <w:b/>
                <w:sz w:val="21"/>
                <w:szCs w:val="21"/>
              </w:rPr>
              <w:t>100 (16.7%)</w:t>
            </w:r>
          </w:p>
        </w:tc>
        <w:tc>
          <w:tcPr>
            <w:tcW w:w="1018" w:type="dxa"/>
            <w:vAlign w:val="center"/>
          </w:tcPr>
          <w:p>
            <w:pPr>
              <w:pStyle w:val="12"/>
              <w:jc w:val="both"/>
              <w:rPr>
                <w:rFonts w:eastAsia="宋体"/>
                <w:b/>
                <w:sz w:val="21"/>
                <w:szCs w:val="21"/>
                <w:lang w:eastAsia="zh-CN"/>
              </w:rPr>
            </w:pPr>
            <w:r>
              <w:rPr>
                <w:rFonts w:eastAsia="宋体"/>
                <w:b/>
                <w:spacing w:val="-4"/>
                <w:sz w:val="21"/>
                <w:szCs w:val="21"/>
                <w:lang w:eastAsia="zh-CN"/>
              </w:rPr>
              <w:t>不适用</w:t>
            </w:r>
          </w:p>
        </w:tc>
        <w:tc>
          <w:tcPr>
            <w:tcW w:w="1403" w:type="dxa"/>
            <w:vAlign w:val="center"/>
          </w:tcPr>
          <w:p>
            <w:pPr>
              <w:pStyle w:val="12"/>
              <w:spacing w:before="26"/>
              <w:ind w:left="105"/>
              <w:jc w:val="both"/>
              <w:rPr>
                <w:rFonts w:eastAsia="宋体"/>
                <w:b/>
                <w:sz w:val="21"/>
                <w:szCs w:val="21"/>
              </w:rPr>
            </w:pPr>
            <w:r>
              <w:rPr>
                <w:rFonts w:eastAsia="宋体"/>
                <w:b/>
                <w:sz w:val="21"/>
                <w:szCs w:val="21"/>
              </w:rPr>
              <w:t>100 (16.7%)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49" w:type="dxa"/>
            <w:vAlign w:val="center"/>
          </w:tcPr>
          <w:p>
            <w:pPr>
              <w:pStyle w:val="12"/>
              <w:tabs>
                <w:tab w:val="left" w:pos="827"/>
              </w:tabs>
              <w:spacing w:before="26"/>
              <w:jc w:val="both"/>
              <w:rPr>
                <w:rFonts w:eastAsia="宋体"/>
                <w:sz w:val="21"/>
                <w:szCs w:val="21"/>
              </w:rPr>
            </w:pPr>
            <w:r>
              <w:rPr>
                <w:rFonts w:eastAsia="宋体"/>
                <w:b/>
                <w:spacing w:val="-2"/>
                <w:sz w:val="21"/>
                <w:szCs w:val="21"/>
              </w:rPr>
              <w:t>3.2.5</w:t>
            </w:r>
            <w:r>
              <w:rPr>
                <w:rFonts w:eastAsia="宋体"/>
                <w:b/>
                <w:sz w:val="21"/>
                <w:szCs w:val="21"/>
              </w:rPr>
              <w:tab/>
            </w:r>
            <w:r>
              <w:rPr>
                <w:rFonts w:eastAsia="宋体"/>
                <w:b/>
                <w:sz w:val="21"/>
                <w:szCs w:val="21"/>
              </w:rPr>
              <w:t>电子支付的使用水平</w:t>
            </w:r>
            <w:r>
              <w:rPr>
                <w:rFonts w:eastAsia="宋体"/>
                <w:spacing w:val="-4"/>
                <w:sz w:val="21"/>
                <w:szCs w:val="21"/>
              </w:rPr>
              <w:t>(208)</w:t>
            </w:r>
          </w:p>
        </w:tc>
        <w:tc>
          <w:tcPr>
            <w:tcW w:w="1544" w:type="dxa"/>
            <w:vAlign w:val="center"/>
          </w:tcPr>
          <w:p>
            <w:pPr>
              <w:pStyle w:val="12"/>
              <w:spacing w:before="26"/>
              <w:jc w:val="both"/>
              <w:rPr>
                <w:rFonts w:eastAsia="宋体"/>
                <w:b/>
                <w:sz w:val="21"/>
                <w:szCs w:val="21"/>
              </w:rPr>
            </w:pPr>
            <w:r>
              <w:rPr>
                <w:rFonts w:eastAsia="宋体"/>
                <w:b/>
                <w:sz w:val="21"/>
                <w:szCs w:val="21"/>
              </w:rPr>
              <w:t>100 (16.7%)</w:t>
            </w:r>
          </w:p>
        </w:tc>
        <w:tc>
          <w:tcPr>
            <w:tcW w:w="1018" w:type="dxa"/>
            <w:vAlign w:val="center"/>
          </w:tcPr>
          <w:p>
            <w:pPr>
              <w:pStyle w:val="12"/>
              <w:jc w:val="both"/>
              <w:rPr>
                <w:rFonts w:eastAsia="宋体"/>
                <w:b/>
                <w:sz w:val="21"/>
                <w:szCs w:val="21"/>
                <w:lang w:eastAsia="zh-CN"/>
              </w:rPr>
            </w:pPr>
            <w:r>
              <w:rPr>
                <w:rFonts w:eastAsia="宋体"/>
                <w:b/>
                <w:spacing w:val="-4"/>
                <w:sz w:val="21"/>
                <w:szCs w:val="21"/>
                <w:lang w:eastAsia="zh-CN"/>
              </w:rPr>
              <w:t>不适用</w:t>
            </w:r>
          </w:p>
        </w:tc>
        <w:tc>
          <w:tcPr>
            <w:tcW w:w="1403" w:type="dxa"/>
            <w:vAlign w:val="center"/>
          </w:tcPr>
          <w:p>
            <w:pPr>
              <w:pStyle w:val="12"/>
              <w:spacing w:before="26"/>
              <w:ind w:left="105"/>
              <w:jc w:val="both"/>
              <w:rPr>
                <w:rFonts w:eastAsia="宋体"/>
                <w:b/>
                <w:sz w:val="21"/>
                <w:szCs w:val="21"/>
              </w:rPr>
            </w:pPr>
            <w:r>
              <w:rPr>
                <w:rFonts w:eastAsia="宋体"/>
                <w:b/>
                <w:sz w:val="21"/>
                <w:szCs w:val="21"/>
              </w:rPr>
              <w:t>100 (16.7%)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49" w:type="dxa"/>
            <w:vAlign w:val="center"/>
          </w:tcPr>
          <w:p>
            <w:pPr>
              <w:pStyle w:val="12"/>
              <w:tabs>
                <w:tab w:val="left" w:pos="827"/>
              </w:tabs>
              <w:spacing w:before="26"/>
              <w:jc w:val="both"/>
              <w:rPr>
                <w:rFonts w:eastAsia="宋体"/>
                <w:sz w:val="21"/>
                <w:szCs w:val="21"/>
                <w:lang w:eastAsia="zh-CN"/>
              </w:rPr>
            </w:pPr>
            <w:r>
              <w:rPr>
                <w:rFonts w:eastAsia="宋体"/>
                <w:b/>
                <w:spacing w:val="-2"/>
                <w:sz w:val="21"/>
                <w:szCs w:val="21"/>
                <w:lang w:eastAsia="zh-CN"/>
              </w:rPr>
              <w:t>3.2.6</w:t>
            </w:r>
            <w:r>
              <w:rPr>
                <w:rFonts w:eastAsia="宋体"/>
                <w:b/>
                <w:sz w:val="21"/>
                <w:szCs w:val="21"/>
                <w:lang w:eastAsia="zh-CN"/>
              </w:rPr>
              <w:tab/>
            </w:r>
            <w:r>
              <w:rPr>
                <w:rFonts w:eastAsia="宋体"/>
                <w:b/>
                <w:sz w:val="21"/>
                <w:szCs w:val="21"/>
                <w:lang w:eastAsia="zh-CN"/>
              </w:rPr>
              <w:t>使用电子支付的性别差异</w:t>
            </w:r>
            <w:r>
              <w:rPr>
                <w:rFonts w:eastAsia="宋体"/>
                <w:spacing w:val="-4"/>
                <w:sz w:val="21"/>
                <w:szCs w:val="21"/>
                <w:lang w:eastAsia="zh-CN"/>
              </w:rPr>
              <w:t>(210)</w:t>
            </w:r>
          </w:p>
        </w:tc>
        <w:tc>
          <w:tcPr>
            <w:tcW w:w="1544" w:type="dxa"/>
            <w:vAlign w:val="center"/>
          </w:tcPr>
          <w:p>
            <w:pPr>
              <w:pStyle w:val="12"/>
              <w:spacing w:before="26"/>
              <w:jc w:val="both"/>
              <w:rPr>
                <w:rFonts w:eastAsia="宋体"/>
                <w:b/>
                <w:sz w:val="21"/>
                <w:szCs w:val="21"/>
              </w:rPr>
            </w:pPr>
            <w:r>
              <w:rPr>
                <w:rFonts w:eastAsia="宋体"/>
                <w:b/>
                <w:sz w:val="21"/>
                <w:szCs w:val="21"/>
              </w:rPr>
              <w:t>100 (16.7%)</w:t>
            </w:r>
          </w:p>
        </w:tc>
        <w:tc>
          <w:tcPr>
            <w:tcW w:w="1018" w:type="dxa"/>
            <w:vAlign w:val="center"/>
          </w:tcPr>
          <w:p>
            <w:pPr>
              <w:pStyle w:val="12"/>
              <w:jc w:val="both"/>
              <w:rPr>
                <w:rFonts w:eastAsia="宋体"/>
                <w:b/>
                <w:sz w:val="21"/>
                <w:szCs w:val="21"/>
                <w:lang w:eastAsia="zh-CN"/>
              </w:rPr>
            </w:pPr>
            <w:r>
              <w:rPr>
                <w:rFonts w:eastAsia="宋体"/>
                <w:b/>
                <w:spacing w:val="-4"/>
                <w:sz w:val="21"/>
                <w:szCs w:val="21"/>
                <w:lang w:eastAsia="zh-CN"/>
              </w:rPr>
              <w:t>不适用</w:t>
            </w:r>
          </w:p>
        </w:tc>
        <w:tc>
          <w:tcPr>
            <w:tcW w:w="1403" w:type="dxa"/>
            <w:vAlign w:val="center"/>
          </w:tcPr>
          <w:p>
            <w:pPr>
              <w:pStyle w:val="12"/>
              <w:spacing w:before="26"/>
              <w:ind w:left="105"/>
              <w:jc w:val="both"/>
              <w:rPr>
                <w:rFonts w:eastAsia="宋体"/>
                <w:b/>
                <w:sz w:val="21"/>
                <w:szCs w:val="21"/>
              </w:rPr>
            </w:pPr>
            <w:r>
              <w:rPr>
                <w:rFonts w:eastAsia="宋体"/>
                <w:b/>
                <w:sz w:val="21"/>
                <w:szCs w:val="21"/>
              </w:rPr>
              <w:t>100 (16.7%)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49" w:type="dxa"/>
            <w:shd w:val="clear" w:color="auto" w:fill="FFC000"/>
            <w:vAlign w:val="center"/>
          </w:tcPr>
          <w:p>
            <w:pPr>
              <w:pStyle w:val="12"/>
              <w:spacing w:before="26"/>
              <w:jc w:val="both"/>
              <w:rPr>
                <w:rFonts w:eastAsia="宋体"/>
                <w:b/>
                <w:sz w:val="21"/>
                <w:szCs w:val="21"/>
              </w:rPr>
            </w:pPr>
            <w:r>
              <w:rPr>
                <w:rFonts w:hint="eastAsia" w:eastAsia="宋体"/>
                <w:b/>
                <w:sz w:val="21"/>
                <w:szCs w:val="21"/>
                <w:lang w:eastAsia="zh-CN"/>
              </w:rPr>
              <w:t>总计</w:t>
            </w:r>
          </w:p>
        </w:tc>
        <w:tc>
          <w:tcPr>
            <w:tcW w:w="1544" w:type="dxa"/>
            <w:shd w:val="clear" w:color="auto" w:fill="FFC000"/>
            <w:vAlign w:val="center"/>
          </w:tcPr>
          <w:p>
            <w:pPr>
              <w:pStyle w:val="12"/>
              <w:spacing w:before="26"/>
              <w:jc w:val="center"/>
              <w:rPr>
                <w:rFonts w:eastAsia="宋体"/>
                <w:b/>
                <w:sz w:val="21"/>
                <w:szCs w:val="21"/>
                <w:lang w:eastAsia="zh-CN"/>
              </w:rPr>
            </w:pPr>
            <w:r>
              <w:rPr>
                <w:rFonts w:eastAsia="宋体"/>
                <w:b/>
                <w:spacing w:val="-5"/>
                <w:sz w:val="21"/>
                <w:szCs w:val="21"/>
                <w:lang w:eastAsia="zh-CN"/>
              </w:rPr>
              <w:t>100</w:t>
            </w:r>
          </w:p>
        </w:tc>
        <w:tc>
          <w:tcPr>
            <w:tcW w:w="1018" w:type="dxa"/>
            <w:shd w:val="clear" w:color="auto" w:fill="FFC000"/>
            <w:vAlign w:val="center"/>
          </w:tcPr>
          <w:p>
            <w:pPr>
              <w:pStyle w:val="12"/>
              <w:jc w:val="center"/>
              <w:rPr>
                <w:rFonts w:eastAsia="宋体"/>
                <w:b/>
                <w:sz w:val="21"/>
                <w:szCs w:val="21"/>
                <w:lang w:eastAsia="zh-CN"/>
              </w:rPr>
            </w:pPr>
            <w:r>
              <w:rPr>
                <w:rFonts w:eastAsia="宋体"/>
                <w:b/>
                <w:spacing w:val="-4"/>
                <w:sz w:val="21"/>
                <w:szCs w:val="21"/>
                <w:lang w:eastAsia="zh-CN"/>
              </w:rPr>
              <w:t>不适用</w:t>
            </w:r>
          </w:p>
        </w:tc>
        <w:tc>
          <w:tcPr>
            <w:tcW w:w="1403" w:type="dxa"/>
            <w:shd w:val="clear" w:color="auto" w:fill="FFC000"/>
            <w:vAlign w:val="center"/>
          </w:tcPr>
          <w:p>
            <w:pPr>
              <w:pStyle w:val="12"/>
              <w:spacing w:before="26"/>
              <w:ind w:left="105"/>
              <w:jc w:val="center"/>
              <w:rPr>
                <w:rFonts w:eastAsia="宋体"/>
                <w:b/>
                <w:sz w:val="21"/>
                <w:szCs w:val="21"/>
                <w:lang w:eastAsia="zh-CN"/>
              </w:rPr>
            </w:pPr>
            <w:r>
              <w:rPr>
                <w:rFonts w:eastAsia="宋体"/>
                <w:b/>
                <w:spacing w:val="-5"/>
                <w:sz w:val="21"/>
                <w:szCs w:val="21"/>
                <w:lang w:eastAsia="zh-CN"/>
              </w:rPr>
              <w:t>100</w:t>
            </w:r>
          </w:p>
        </w:tc>
      </w:tr>
    </w:tbl>
    <w:p>
      <w:pPr>
        <w:rPr>
          <w:rFonts w:eastAsia="宋体"/>
          <w:sz w:val="28"/>
          <w:szCs w:val="28"/>
          <w:lang w:eastAsia="zh-CN"/>
        </w:rPr>
        <w:sectPr>
          <w:pgSz w:w="12240" w:h="15840"/>
          <w:pgMar w:top="1440" w:right="1800" w:bottom="1440" w:left="1800" w:header="720" w:footer="720" w:gutter="0"/>
          <w:cols w:space="720" w:num="1"/>
        </w:sectPr>
      </w:pPr>
      <w:r>
        <w:rPr>
          <w:rFonts w:eastAsia="宋体"/>
          <w:i/>
          <w:sz w:val="21"/>
          <w:szCs w:val="21"/>
          <w:lang w:eastAsia="zh-CN"/>
        </w:rPr>
        <w:t>注</w:t>
      </w:r>
      <w:r>
        <w:rPr>
          <w:rFonts w:hint="eastAsia" w:eastAsia="宋体"/>
          <w:i/>
          <w:sz w:val="21"/>
          <w:szCs w:val="21"/>
          <w:lang w:eastAsia="zh-CN"/>
        </w:rPr>
        <w:t>：</w:t>
      </w:r>
      <w:r>
        <w:rPr>
          <w:rFonts w:eastAsia="宋体"/>
          <w:sz w:val="21"/>
          <w:szCs w:val="21"/>
          <w:lang w:eastAsia="zh-CN"/>
        </w:rPr>
        <w:t>n.a. =不适用(指对企业或社会的影响不明确或不存在的情况)。FFP =企业灵活度得分</w:t>
      </w:r>
      <w:r>
        <w:rPr>
          <w:rFonts w:hint="eastAsia" w:eastAsia="宋体"/>
          <w:sz w:val="21"/>
          <w:szCs w:val="21"/>
          <w:lang w:eastAsia="zh-CN"/>
        </w:rPr>
        <w:t>；</w:t>
      </w:r>
      <w:r>
        <w:rPr>
          <w:rFonts w:eastAsia="宋体"/>
          <w:sz w:val="21"/>
          <w:szCs w:val="21"/>
          <w:lang w:eastAsia="zh-CN"/>
        </w:rPr>
        <w:t>SBP =社会效益得分。</w:t>
      </w:r>
    </w:p>
    <w:p>
      <w:pPr>
        <w:rPr>
          <w:rFonts w:eastAsia="宋体"/>
          <w:sz w:val="21"/>
          <w:szCs w:val="21"/>
          <w:lang w:eastAsia="zh-CN"/>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Arial">
    <w:panose1 w:val="020B0604020202020204"/>
    <w:charset w:val="00"/>
    <w:family w:val="swiss"/>
    <w:pitch w:val="default"/>
    <w:sig w:usb0="E0002EFF" w:usb1="C000785B" w:usb2="00000009" w:usb3="00000000" w:csb0="400001FF" w:csb1="FFFF0000"/>
  </w:font>
  <w:font w:name="Songti SC Bold">
    <w:altName w:val="微软雅黑"/>
    <w:panose1 w:val="000000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80000287" w:usb1="2ACF3C50" w:usb2="00000016" w:usb3="00000000" w:csb0="0004001F" w:csb1="00000000"/>
  </w:font>
  <w:font w:name="Times New Roman Bold">
    <w:altName w:val="Times New Roman"/>
    <w:panose1 w:val="02020803070505020304"/>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1523D9"/>
    <w:multiLevelType w:val="multilevel"/>
    <w:tmpl w:val="891523D9"/>
    <w:lvl w:ilvl="0" w:tentative="0">
      <w:start w:val="0"/>
      <w:numFmt w:val="bullet"/>
      <w:lvlText w:val="-"/>
      <w:lvlJc w:val="left"/>
      <w:pPr>
        <w:ind w:left="467" w:hanging="36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1005" w:hanging="360"/>
      </w:pPr>
      <w:rPr>
        <w:rFonts w:hint="default"/>
        <w:lang w:val="en-US" w:eastAsia="en-US" w:bidi="ar-SA"/>
      </w:rPr>
    </w:lvl>
    <w:lvl w:ilvl="2" w:tentative="0">
      <w:start w:val="0"/>
      <w:numFmt w:val="bullet"/>
      <w:lvlText w:val="•"/>
      <w:lvlJc w:val="left"/>
      <w:pPr>
        <w:ind w:left="1551" w:hanging="360"/>
      </w:pPr>
      <w:rPr>
        <w:rFonts w:hint="default"/>
        <w:lang w:val="en-US" w:eastAsia="en-US" w:bidi="ar-SA"/>
      </w:rPr>
    </w:lvl>
    <w:lvl w:ilvl="3" w:tentative="0">
      <w:start w:val="0"/>
      <w:numFmt w:val="bullet"/>
      <w:lvlText w:val="•"/>
      <w:lvlJc w:val="left"/>
      <w:pPr>
        <w:ind w:left="2097" w:hanging="360"/>
      </w:pPr>
      <w:rPr>
        <w:rFonts w:hint="default"/>
        <w:lang w:val="en-US" w:eastAsia="en-US" w:bidi="ar-SA"/>
      </w:rPr>
    </w:lvl>
    <w:lvl w:ilvl="4" w:tentative="0">
      <w:start w:val="0"/>
      <w:numFmt w:val="bullet"/>
      <w:lvlText w:val="•"/>
      <w:lvlJc w:val="left"/>
      <w:pPr>
        <w:ind w:left="2643" w:hanging="360"/>
      </w:pPr>
      <w:rPr>
        <w:rFonts w:hint="default"/>
        <w:lang w:val="en-US" w:eastAsia="en-US" w:bidi="ar-SA"/>
      </w:rPr>
    </w:lvl>
    <w:lvl w:ilvl="5" w:tentative="0">
      <w:start w:val="0"/>
      <w:numFmt w:val="bullet"/>
      <w:lvlText w:val="•"/>
      <w:lvlJc w:val="left"/>
      <w:pPr>
        <w:ind w:left="3189" w:hanging="360"/>
      </w:pPr>
      <w:rPr>
        <w:rFonts w:hint="default"/>
        <w:lang w:val="en-US" w:eastAsia="en-US" w:bidi="ar-SA"/>
      </w:rPr>
    </w:lvl>
    <w:lvl w:ilvl="6" w:tentative="0">
      <w:start w:val="0"/>
      <w:numFmt w:val="bullet"/>
      <w:lvlText w:val="•"/>
      <w:lvlJc w:val="left"/>
      <w:pPr>
        <w:ind w:left="3735" w:hanging="360"/>
      </w:pPr>
      <w:rPr>
        <w:rFonts w:hint="default"/>
        <w:lang w:val="en-US" w:eastAsia="en-US" w:bidi="ar-SA"/>
      </w:rPr>
    </w:lvl>
    <w:lvl w:ilvl="7" w:tentative="0">
      <w:start w:val="0"/>
      <w:numFmt w:val="bullet"/>
      <w:lvlText w:val="•"/>
      <w:lvlJc w:val="left"/>
      <w:pPr>
        <w:ind w:left="4281" w:hanging="360"/>
      </w:pPr>
      <w:rPr>
        <w:rFonts w:hint="default"/>
        <w:lang w:val="en-US" w:eastAsia="en-US" w:bidi="ar-SA"/>
      </w:rPr>
    </w:lvl>
    <w:lvl w:ilvl="8" w:tentative="0">
      <w:start w:val="0"/>
      <w:numFmt w:val="bullet"/>
      <w:lvlText w:val="•"/>
      <w:lvlJc w:val="left"/>
      <w:pPr>
        <w:ind w:left="4827" w:hanging="360"/>
      </w:pPr>
      <w:rPr>
        <w:rFonts w:hint="default"/>
        <w:lang w:val="en-US" w:eastAsia="en-US" w:bidi="ar-SA"/>
      </w:rPr>
    </w:lvl>
  </w:abstractNum>
  <w:abstractNum w:abstractNumId="1">
    <w:nsid w:val="90D96B34"/>
    <w:multiLevelType w:val="multilevel"/>
    <w:tmpl w:val="90D96B34"/>
    <w:lvl w:ilvl="0" w:tentative="0">
      <w:start w:val="0"/>
      <w:numFmt w:val="bullet"/>
      <w:lvlText w:val="-"/>
      <w:lvlJc w:val="left"/>
      <w:pPr>
        <w:ind w:left="467" w:hanging="36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1005" w:hanging="360"/>
      </w:pPr>
      <w:rPr>
        <w:rFonts w:hint="default"/>
        <w:lang w:val="en-US" w:eastAsia="en-US" w:bidi="ar-SA"/>
      </w:rPr>
    </w:lvl>
    <w:lvl w:ilvl="2" w:tentative="0">
      <w:start w:val="0"/>
      <w:numFmt w:val="bullet"/>
      <w:lvlText w:val="•"/>
      <w:lvlJc w:val="left"/>
      <w:pPr>
        <w:ind w:left="1551" w:hanging="360"/>
      </w:pPr>
      <w:rPr>
        <w:rFonts w:hint="default"/>
        <w:lang w:val="en-US" w:eastAsia="en-US" w:bidi="ar-SA"/>
      </w:rPr>
    </w:lvl>
    <w:lvl w:ilvl="3" w:tentative="0">
      <w:start w:val="0"/>
      <w:numFmt w:val="bullet"/>
      <w:lvlText w:val="•"/>
      <w:lvlJc w:val="left"/>
      <w:pPr>
        <w:ind w:left="2097" w:hanging="360"/>
      </w:pPr>
      <w:rPr>
        <w:rFonts w:hint="default"/>
        <w:lang w:val="en-US" w:eastAsia="en-US" w:bidi="ar-SA"/>
      </w:rPr>
    </w:lvl>
    <w:lvl w:ilvl="4" w:tentative="0">
      <w:start w:val="0"/>
      <w:numFmt w:val="bullet"/>
      <w:lvlText w:val="•"/>
      <w:lvlJc w:val="left"/>
      <w:pPr>
        <w:ind w:left="2643" w:hanging="360"/>
      </w:pPr>
      <w:rPr>
        <w:rFonts w:hint="default"/>
        <w:lang w:val="en-US" w:eastAsia="en-US" w:bidi="ar-SA"/>
      </w:rPr>
    </w:lvl>
    <w:lvl w:ilvl="5" w:tentative="0">
      <w:start w:val="0"/>
      <w:numFmt w:val="bullet"/>
      <w:lvlText w:val="•"/>
      <w:lvlJc w:val="left"/>
      <w:pPr>
        <w:ind w:left="3189" w:hanging="360"/>
      </w:pPr>
      <w:rPr>
        <w:rFonts w:hint="default"/>
        <w:lang w:val="en-US" w:eastAsia="en-US" w:bidi="ar-SA"/>
      </w:rPr>
    </w:lvl>
    <w:lvl w:ilvl="6" w:tentative="0">
      <w:start w:val="0"/>
      <w:numFmt w:val="bullet"/>
      <w:lvlText w:val="•"/>
      <w:lvlJc w:val="left"/>
      <w:pPr>
        <w:ind w:left="3735" w:hanging="360"/>
      </w:pPr>
      <w:rPr>
        <w:rFonts w:hint="default"/>
        <w:lang w:val="en-US" w:eastAsia="en-US" w:bidi="ar-SA"/>
      </w:rPr>
    </w:lvl>
    <w:lvl w:ilvl="7" w:tentative="0">
      <w:start w:val="0"/>
      <w:numFmt w:val="bullet"/>
      <w:lvlText w:val="•"/>
      <w:lvlJc w:val="left"/>
      <w:pPr>
        <w:ind w:left="4281" w:hanging="360"/>
      </w:pPr>
      <w:rPr>
        <w:rFonts w:hint="default"/>
        <w:lang w:val="en-US" w:eastAsia="en-US" w:bidi="ar-SA"/>
      </w:rPr>
    </w:lvl>
    <w:lvl w:ilvl="8" w:tentative="0">
      <w:start w:val="0"/>
      <w:numFmt w:val="bullet"/>
      <w:lvlText w:val="•"/>
      <w:lvlJc w:val="left"/>
      <w:pPr>
        <w:ind w:left="4827" w:hanging="360"/>
      </w:pPr>
      <w:rPr>
        <w:rFonts w:hint="default"/>
        <w:lang w:val="en-US" w:eastAsia="en-US" w:bidi="ar-SA"/>
      </w:rPr>
    </w:lvl>
  </w:abstractNum>
  <w:abstractNum w:abstractNumId="2">
    <w:nsid w:val="C4EA4DBF"/>
    <w:multiLevelType w:val="multilevel"/>
    <w:tmpl w:val="C4EA4DBF"/>
    <w:lvl w:ilvl="0" w:tentative="0">
      <w:start w:val="0"/>
      <w:numFmt w:val="bullet"/>
      <w:lvlText w:val="-"/>
      <w:lvlJc w:val="left"/>
      <w:pPr>
        <w:ind w:left="379" w:hanging="18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970" w:hanging="180"/>
      </w:pPr>
      <w:rPr>
        <w:rFonts w:hint="default"/>
        <w:lang w:val="en-US" w:eastAsia="en-US" w:bidi="ar-SA"/>
      </w:rPr>
    </w:lvl>
    <w:lvl w:ilvl="2" w:tentative="0">
      <w:start w:val="0"/>
      <w:numFmt w:val="bullet"/>
      <w:lvlText w:val="•"/>
      <w:lvlJc w:val="left"/>
      <w:pPr>
        <w:ind w:left="1560" w:hanging="180"/>
      </w:pPr>
      <w:rPr>
        <w:rFonts w:hint="default"/>
        <w:lang w:val="en-US" w:eastAsia="en-US" w:bidi="ar-SA"/>
      </w:rPr>
    </w:lvl>
    <w:lvl w:ilvl="3" w:tentative="0">
      <w:start w:val="0"/>
      <w:numFmt w:val="bullet"/>
      <w:lvlText w:val="•"/>
      <w:lvlJc w:val="left"/>
      <w:pPr>
        <w:ind w:left="2150" w:hanging="180"/>
      </w:pPr>
      <w:rPr>
        <w:rFonts w:hint="default"/>
        <w:lang w:val="en-US" w:eastAsia="en-US" w:bidi="ar-SA"/>
      </w:rPr>
    </w:lvl>
    <w:lvl w:ilvl="4" w:tentative="0">
      <w:start w:val="0"/>
      <w:numFmt w:val="bullet"/>
      <w:lvlText w:val="•"/>
      <w:lvlJc w:val="left"/>
      <w:pPr>
        <w:ind w:left="2740" w:hanging="180"/>
      </w:pPr>
      <w:rPr>
        <w:rFonts w:hint="default"/>
        <w:lang w:val="en-US" w:eastAsia="en-US" w:bidi="ar-SA"/>
      </w:rPr>
    </w:lvl>
    <w:lvl w:ilvl="5" w:tentative="0">
      <w:start w:val="0"/>
      <w:numFmt w:val="bullet"/>
      <w:lvlText w:val="•"/>
      <w:lvlJc w:val="left"/>
      <w:pPr>
        <w:ind w:left="3330" w:hanging="180"/>
      </w:pPr>
      <w:rPr>
        <w:rFonts w:hint="default"/>
        <w:lang w:val="en-US" w:eastAsia="en-US" w:bidi="ar-SA"/>
      </w:rPr>
    </w:lvl>
    <w:lvl w:ilvl="6" w:tentative="0">
      <w:start w:val="0"/>
      <w:numFmt w:val="bullet"/>
      <w:lvlText w:val="•"/>
      <w:lvlJc w:val="left"/>
      <w:pPr>
        <w:ind w:left="3920" w:hanging="180"/>
      </w:pPr>
      <w:rPr>
        <w:rFonts w:hint="default"/>
        <w:lang w:val="en-US" w:eastAsia="en-US" w:bidi="ar-SA"/>
      </w:rPr>
    </w:lvl>
    <w:lvl w:ilvl="7" w:tentative="0">
      <w:start w:val="0"/>
      <w:numFmt w:val="bullet"/>
      <w:lvlText w:val="•"/>
      <w:lvlJc w:val="left"/>
      <w:pPr>
        <w:ind w:left="4510" w:hanging="180"/>
      </w:pPr>
      <w:rPr>
        <w:rFonts w:hint="default"/>
        <w:lang w:val="en-US" w:eastAsia="en-US" w:bidi="ar-SA"/>
      </w:rPr>
    </w:lvl>
    <w:lvl w:ilvl="8" w:tentative="0">
      <w:start w:val="0"/>
      <w:numFmt w:val="bullet"/>
      <w:lvlText w:val="•"/>
      <w:lvlJc w:val="left"/>
      <w:pPr>
        <w:ind w:left="5100" w:hanging="180"/>
      </w:pPr>
      <w:rPr>
        <w:rFonts w:hint="default"/>
        <w:lang w:val="en-US" w:eastAsia="en-US" w:bidi="ar-SA"/>
      </w:rPr>
    </w:lvl>
  </w:abstractNum>
  <w:abstractNum w:abstractNumId="3">
    <w:nsid w:val="D42187FE"/>
    <w:multiLevelType w:val="multilevel"/>
    <w:tmpl w:val="D42187FE"/>
    <w:lvl w:ilvl="0" w:tentative="0">
      <w:start w:val="0"/>
      <w:numFmt w:val="bullet"/>
      <w:lvlText w:val="-"/>
      <w:lvlJc w:val="left"/>
      <w:pPr>
        <w:ind w:left="467" w:hanging="36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1009" w:hanging="360"/>
      </w:pPr>
      <w:rPr>
        <w:rFonts w:hint="default"/>
        <w:lang w:val="en-US" w:eastAsia="en-US" w:bidi="ar-SA"/>
      </w:rPr>
    </w:lvl>
    <w:lvl w:ilvl="2" w:tentative="0">
      <w:start w:val="0"/>
      <w:numFmt w:val="bullet"/>
      <w:lvlText w:val="•"/>
      <w:lvlJc w:val="left"/>
      <w:pPr>
        <w:ind w:left="1558" w:hanging="360"/>
      </w:pPr>
      <w:rPr>
        <w:rFonts w:hint="default"/>
        <w:lang w:val="en-US" w:eastAsia="en-US" w:bidi="ar-SA"/>
      </w:rPr>
    </w:lvl>
    <w:lvl w:ilvl="3" w:tentative="0">
      <w:start w:val="0"/>
      <w:numFmt w:val="bullet"/>
      <w:lvlText w:val="•"/>
      <w:lvlJc w:val="left"/>
      <w:pPr>
        <w:ind w:left="2107" w:hanging="360"/>
      </w:pPr>
      <w:rPr>
        <w:rFonts w:hint="default"/>
        <w:lang w:val="en-US" w:eastAsia="en-US" w:bidi="ar-SA"/>
      </w:rPr>
    </w:lvl>
    <w:lvl w:ilvl="4" w:tentative="0">
      <w:start w:val="0"/>
      <w:numFmt w:val="bullet"/>
      <w:lvlText w:val="•"/>
      <w:lvlJc w:val="left"/>
      <w:pPr>
        <w:ind w:left="2656" w:hanging="360"/>
      </w:pPr>
      <w:rPr>
        <w:rFonts w:hint="default"/>
        <w:lang w:val="en-US" w:eastAsia="en-US" w:bidi="ar-SA"/>
      </w:rPr>
    </w:lvl>
    <w:lvl w:ilvl="5" w:tentative="0">
      <w:start w:val="0"/>
      <w:numFmt w:val="bullet"/>
      <w:lvlText w:val="•"/>
      <w:lvlJc w:val="left"/>
      <w:pPr>
        <w:ind w:left="3205" w:hanging="360"/>
      </w:pPr>
      <w:rPr>
        <w:rFonts w:hint="default"/>
        <w:lang w:val="en-US" w:eastAsia="en-US" w:bidi="ar-SA"/>
      </w:rPr>
    </w:lvl>
    <w:lvl w:ilvl="6" w:tentative="0">
      <w:start w:val="0"/>
      <w:numFmt w:val="bullet"/>
      <w:lvlText w:val="•"/>
      <w:lvlJc w:val="left"/>
      <w:pPr>
        <w:ind w:left="3754" w:hanging="360"/>
      </w:pPr>
      <w:rPr>
        <w:rFonts w:hint="default"/>
        <w:lang w:val="en-US" w:eastAsia="en-US" w:bidi="ar-SA"/>
      </w:rPr>
    </w:lvl>
    <w:lvl w:ilvl="7" w:tentative="0">
      <w:start w:val="0"/>
      <w:numFmt w:val="bullet"/>
      <w:lvlText w:val="•"/>
      <w:lvlJc w:val="left"/>
      <w:pPr>
        <w:ind w:left="4303" w:hanging="360"/>
      </w:pPr>
      <w:rPr>
        <w:rFonts w:hint="default"/>
        <w:lang w:val="en-US" w:eastAsia="en-US" w:bidi="ar-SA"/>
      </w:rPr>
    </w:lvl>
    <w:lvl w:ilvl="8" w:tentative="0">
      <w:start w:val="0"/>
      <w:numFmt w:val="bullet"/>
      <w:lvlText w:val="•"/>
      <w:lvlJc w:val="left"/>
      <w:pPr>
        <w:ind w:left="4852" w:hanging="360"/>
      </w:pPr>
      <w:rPr>
        <w:rFonts w:hint="default"/>
        <w:lang w:val="en-US" w:eastAsia="en-US" w:bidi="ar-SA"/>
      </w:rPr>
    </w:lvl>
  </w:abstractNum>
  <w:abstractNum w:abstractNumId="4">
    <w:nsid w:val="DD02F921"/>
    <w:multiLevelType w:val="multilevel"/>
    <w:tmpl w:val="DD02F921"/>
    <w:lvl w:ilvl="0" w:tentative="0">
      <w:start w:val="0"/>
      <w:numFmt w:val="bullet"/>
      <w:lvlText w:val="-"/>
      <w:lvlJc w:val="left"/>
      <w:pPr>
        <w:ind w:left="467" w:hanging="36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1005" w:hanging="360"/>
      </w:pPr>
      <w:rPr>
        <w:rFonts w:hint="default"/>
        <w:lang w:val="en-US" w:eastAsia="en-US" w:bidi="ar-SA"/>
      </w:rPr>
    </w:lvl>
    <w:lvl w:ilvl="2" w:tentative="0">
      <w:start w:val="0"/>
      <w:numFmt w:val="bullet"/>
      <w:lvlText w:val="•"/>
      <w:lvlJc w:val="left"/>
      <w:pPr>
        <w:ind w:left="1551" w:hanging="360"/>
      </w:pPr>
      <w:rPr>
        <w:rFonts w:hint="default"/>
        <w:lang w:val="en-US" w:eastAsia="en-US" w:bidi="ar-SA"/>
      </w:rPr>
    </w:lvl>
    <w:lvl w:ilvl="3" w:tentative="0">
      <w:start w:val="0"/>
      <w:numFmt w:val="bullet"/>
      <w:lvlText w:val="•"/>
      <w:lvlJc w:val="left"/>
      <w:pPr>
        <w:ind w:left="2097" w:hanging="360"/>
      </w:pPr>
      <w:rPr>
        <w:rFonts w:hint="default"/>
        <w:lang w:val="en-US" w:eastAsia="en-US" w:bidi="ar-SA"/>
      </w:rPr>
    </w:lvl>
    <w:lvl w:ilvl="4" w:tentative="0">
      <w:start w:val="0"/>
      <w:numFmt w:val="bullet"/>
      <w:lvlText w:val="•"/>
      <w:lvlJc w:val="left"/>
      <w:pPr>
        <w:ind w:left="2643" w:hanging="360"/>
      </w:pPr>
      <w:rPr>
        <w:rFonts w:hint="default"/>
        <w:lang w:val="en-US" w:eastAsia="en-US" w:bidi="ar-SA"/>
      </w:rPr>
    </w:lvl>
    <w:lvl w:ilvl="5" w:tentative="0">
      <w:start w:val="0"/>
      <w:numFmt w:val="bullet"/>
      <w:lvlText w:val="•"/>
      <w:lvlJc w:val="left"/>
      <w:pPr>
        <w:ind w:left="3189" w:hanging="360"/>
      </w:pPr>
      <w:rPr>
        <w:rFonts w:hint="default"/>
        <w:lang w:val="en-US" w:eastAsia="en-US" w:bidi="ar-SA"/>
      </w:rPr>
    </w:lvl>
    <w:lvl w:ilvl="6" w:tentative="0">
      <w:start w:val="0"/>
      <w:numFmt w:val="bullet"/>
      <w:lvlText w:val="•"/>
      <w:lvlJc w:val="left"/>
      <w:pPr>
        <w:ind w:left="3735" w:hanging="360"/>
      </w:pPr>
      <w:rPr>
        <w:rFonts w:hint="default"/>
        <w:lang w:val="en-US" w:eastAsia="en-US" w:bidi="ar-SA"/>
      </w:rPr>
    </w:lvl>
    <w:lvl w:ilvl="7" w:tentative="0">
      <w:start w:val="0"/>
      <w:numFmt w:val="bullet"/>
      <w:lvlText w:val="•"/>
      <w:lvlJc w:val="left"/>
      <w:pPr>
        <w:ind w:left="4281" w:hanging="360"/>
      </w:pPr>
      <w:rPr>
        <w:rFonts w:hint="default"/>
        <w:lang w:val="en-US" w:eastAsia="en-US" w:bidi="ar-SA"/>
      </w:rPr>
    </w:lvl>
    <w:lvl w:ilvl="8" w:tentative="0">
      <w:start w:val="0"/>
      <w:numFmt w:val="bullet"/>
      <w:lvlText w:val="•"/>
      <w:lvlJc w:val="left"/>
      <w:pPr>
        <w:ind w:left="4827" w:hanging="360"/>
      </w:pPr>
      <w:rPr>
        <w:rFonts w:hint="default"/>
        <w:lang w:val="en-US" w:eastAsia="en-US" w:bidi="ar-SA"/>
      </w:rPr>
    </w:lvl>
  </w:abstractNum>
  <w:abstractNum w:abstractNumId="5">
    <w:nsid w:val="DD3DB379"/>
    <w:multiLevelType w:val="multilevel"/>
    <w:tmpl w:val="DD3DB379"/>
    <w:lvl w:ilvl="0" w:tentative="0">
      <w:start w:val="0"/>
      <w:numFmt w:val="bullet"/>
      <w:lvlText w:val="-"/>
      <w:lvlJc w:val="left"/>
      <w:pPr>
        <w:ind w:left="467" w:hanging="36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1005" w:hanging="360"/>
      </w:pPr>
      <w:rPr>
        <w:rFonts w:hint="default"/>
        <w:lang w:val="en-US" w:eastAsia="en-US" w:bidi="ar-SA"/>
      </w:rPr>
    </w:lvl>
    <w:lvl w:ilvl="2" w:tentative="0">
      <w:start w:val="0"/>
      <w:numFmt w:val="bullet"/>
      <w:lvlText w:val="•"/>
      <w:lvlJc w:val="left"/>
      <w:pPr>
        <w:ind w:left="1551" w:hanging="360"/>
      </w:pPr>
      <w:rPr>
        <w:rFonts w:hint="default"/>
        <w:lang w:val="en-US" w:eastAsia="en-US" w:bidi="ar-SA"/>
      </w:rPr>
    </w:lvl>
    <w:lvl w:ilvl="3" w:tentative="0">
      <w:start w:val="0"/>
      <w:numFmt w:val="bullet"/>
      <w:lvlText w:val="•"/>
      <w:lvlJc w:val="left"/>
      <w:pPr>
        <w:ind w:left="2097" w:hanging="360"/>
      </w:pPr>
      <w:rPr>
        <w:rFonts w:hint="default"/>
        <w:lang w:val="en-US" w:eastAsia="en-US" w:bidi="ar-SA"/>
      </w:rPr>
    </w:lvl>
    <w:lvl w:ilvl="4" w:tentative="0">
      <w:start w:val="0"/>
      <w:numFmt w:val="bullet"/>
      <w:lvlText w:val="•"/>
      <w:lvlJc w:val="left"/>
      <w:pPr>
        <w:ind w:left="2643" w:hanging="360"/>
      </w:pPr>
      <w:rPr>
        <w:rFonts w:hint="default"/>
        <w:lang w:val="en-US" w:eastAsia="en-US" w:bidi="ar-SA"/>
      </w:rPr>
    </w:lvl>
    <w:lvl w:ilvl="5" w:tentative="0">
      <w:start w:val="0"/>
      <w:numFmt w:val="bullet"/>
      <w:lvlText w:val="•"/>
      <w:lvlJc w:val="left"/>
      <w:pPr>
        <w:ind w:left="3189" w:hanging="360"/>
      </w:pPr>
      <w:rPr>
        <w:rFonts w:hint="default"/>
        <w:lang w:val="en-US" w:eastAsia="en-US" w:bidi="ar-SA"/>
      </w:rPr>
    </w:lvl>
    <w:lvl w:ilvl="6" w:tentative="0">
      <w:start w:val="0"/>
      <w:numFmt w:val="bullet"/>
      <w:lvlText w:val="•"/>
      <w:lvlJc w:val="left"/>
      <w:pPr>
        <w:ind w:left="3735" w:hanging="360"/>
      </w:pPr>
      <w:rPr>
        <w:rFonts w:hint="default"/>
        <w:lang w:val="en-US" w:eastAsia="en-US" w:bidi="ar-SA"/>
      </w:rPr>
    </w:lvl>
    <w:lvl w:ilvl="7" w:tentative="0">
      <w:start w:val="0"/>
      <w:numFmt w:val="bullet"/>
      <w:lvlText w:val="•"/>
      <w:lvlJc w:val="left"/>
      <w:pPr>
        <w:ind w:left="4281" w:hanging="360"/>
      </w:pPr>
      <w:rPr>
        <w:rFonts w:hint="default"/>
        <w:lang w:val="en-US" w:eastAsia="en-US" w:bidi="ar-SA"/>
      </w:rPr>
    </w:lvl>
    <w:lvl w:ilvl="8" w:tentative="0">
      <w:start w:val="0"/>
      <w:numFmt w:val="bullet"/>
      <w:lvlText w:val="•"/>
      <w:lvlJc w:val="left"/>
      <w:pPr>
        <w:ind w:left="4827" w:hanging="360"/>
      </w:pPr>
      <w:rPr>
        <w:rFonts w:hint="default"/>
        <w:lang w:val="en-US" w:eastAsia="en-US" w:bidi="ar-SA"/>
      </w:rPr>
    </w:lvl>
  </w:abstractNum>
  <w:abstractNum w:abstractNumId="6">
    <w:nsid w:val="DD474A30"/>
    <w:multiLevelType w:val="multilevel"/>
    <w:tmpl w:val="DD474A30"/>
    <w:lvl w:ilvl="0" w:tentative="0">
      <w:start w:val="0"/>
      <w:numFmt w:val="bullet"/>
      <w:lvlText w:val="-"/>
      <w:lvlJc w:val="left"/>
      <w:pPr>
        <w:ind w:left="467" w:hanging="36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1005" w:hanging="360"/>
      </w:pPr>
      <w:rPr>
        <w:rFonts w:hint="default"/>
        <w:lang w:val="en-US" w:eastAsia="en-US" w:bidi="ar-SA"/>
      </w:rPr>
    </w:lvl>
    <w:lvl w:ilvl="2" w:tentative="0">
      <w:start w:val="0"/>
      <w:numFmt w:val="bullet"/>
      <w:lvlText w:val="•"/>
      <w:lvlJc w:val="left"/>
      <w:pPr>
        <w:ind w:left="1551" w:hanging="360"/>
      </w:pPr>
      <w:rPr>
        <w:rFonts w:hint="default"/>
        <w:lang w:val="en-US" w:eastAsia="en-US" w:bidi="ar-SA"/>
      </w:rPr>
    </w:lvl>
    <w:lvl w:ilvl="3" w:tentative="0">
      <w:start w:val="0"/>
      <w:numFmt w:val="bullet"/>
      <w:lvlText w:val="•"/>
      <w:lvlJc w:val="left"/>
      <w:pPr>
        <w:ind w:left="2097" w:hanging="360"/>
      </w:pPr>
      <w:rPr>
        <w:rFonts w:hint="default"/>
        <w:lang w:val="en-US" w:eastAsia="en-US" w:bidi="ar-SA"/>
      </w:rPr>
    </w:lvl>
    <w:lvl w:ilvl="4" w:tentative="0">
      <w:start w:val="0"/>
      <w:numFmt w:val="bullet"/>
      <w:lvlText w:val="•"/>
      <w:lvlJc w:val="left"/>
      <w:pPr>
        <w:ind w:left="2643" w:hanging="360"/>
      </w:pPr>
      <w:rPr>
        <w:rFonts w:hint="default"/>
        <w:lang w:val="en-US" w:eastAsia="en-US" w:bidi="ar-SA"/>
      </w:rPr>
    </w:lvl>
    <w:lvl w:ilvl="5" w:tentative="0">
      <w:start w:val="0"/>
      <w:numFmt w:val="bullet"/>
      <w:lvlText w:val="•"/>
      <w:lvlJc w:val="left"/>
      <w:pPr>
        <w:ind w:left="3189" w:hanging="360"/>
      </w:pPr>
      <w:rPr>
        <w:rFonts w:hint="default"/>
        <w:lang w:val="en-US" w:eastAsia="en-US" w:bidi="ar-SA"/>
      </w:rPr>
    </w:lvl>
    <w:lvl w:ilvl="6" w:tentative="0">
      <w:start w:val="0"/>
      <w:numFmt w:val="bullet"/>
      <w:lvlText w:val="•"/>
      <w:lvlJc w:val="left"/>
      <w:pPr>
        <w:ind w:left="3735" w:hanging="360"/>
      </w:pPr>
      <w:rPr>
        <w:rFonts w:hint="default"/>
        <w:lang w:val="en-US" w:eastAsia="en-US" w:bidi="ar-SA"/>
      </w:rPr>
    </w:lvl>
    <w:lvl w:ilvl="7" w:tentative="0">
      <w:start w:val="0"/>
      <w:numFmt w:val="bullet"/>
      <w:lvlText w:val="•"/>
      <w:lvlJc w:val="left"/>
      <w:pPr>
        <w:ind w:left="4281" w:hanging="360"/>
      </w:pPr>
      <w:rPr>
        <w:rFonts w:hint="default"/>
        <w:lang w:val="en-US" w:eastAsia="en-US" w:bidi="ar-SA"/>
      </w:rPr>
    </w:lvl>
    <w:lvl w:ilvl="8" w:tentative="0">
      <w:start w:val="0"/>
      <w:numFmt w:val="bullet"/>
      <w:lvlText w:val="•"/>
      <w:lvlJc w:val="left"/>
      <w:pPr>
        <w:ind w:left="4827" w:hanging="360"/>
      </w:pPr>
      <w:rPr>
        <w:rFonts w:hint="default"/>
        <w:lang w:val="en-US" w:eastAsia="en-US" w:bidi="ar-SA"/>
      </w:rPr>
    </w:lvl>
  </w:abstractNum>
  <w:abstractNum w:abstractNumId="7">
    <w:nsid w:val="E887D337"/>
    <w:multiLevelType w:val="multilevel"/>
    <w:tmpl w:val="E887D337"/>
    <w:lvl w:ilvl="0" w:tentative="0">
      <w:start w:val="0"/>
      <w:numFmt w:val="bullet"/>
      <w:lvlText w:val="-"/>
      <w:lvlJc w:val="left"/>
      <w:pPr>
        <w:ind w:left="467" w:hanging="36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1009" w:hanging="360"/>
      </w:pPr>
      <w:rPr>
        <w:rFonts w:hint="default"/>
        <w:lang w:val="en-US" w:eastAsia="en-US" w:bidi="ar-SA"/>
      </w:rPr>
    </w:lvl>
    <w:lvl w:ilvl="2" w:tentative="0">
      <w:start w:val="0"/>
      <w:numFmt w:val="bullet"/>
      <w:lvlText w:val="•"/>
      <w:lvlJc w:val="left"/>
      <w:pPr>
        <w:ind w:left="1558" w:hanging="360"/>
      </w:pPr>
      <w:rPr>
        <w:rFonts w:hint="default"/>
        <w:lang w:val="en-US" w:eastAsia="en-US" w:bidi="ar-SA"/>
      </w:rPr>
    </w:lvl>
    <w:lvl w:ilvl="3" w:tentative="0">
      <w:start w:val="0"/>
      <w:numFmt w:val="bullet"/>
      <w:lvlText w:val="•"/>
      <w:lvlJc w:val="left"/>
      <w:pPr>
        <w:ind w:left="2107" w:hanging="360"/>
      </w:pPr>
      <w:rPr>
        <w:rFonts w:hint="default"/>
        <w:lang w:val="en-US" w:eastAsia="en-US" w:bidi="ar-SA"/>
      </w:rPr>
    </w:lvl>
    <w:lvl w:ilvl="4" w:tentative="0">
      <w:start w:val="0"/>
      <w:numFmt w:val="bullet"/>
      <w:lvlText w:val="•"/>
      <w:lvlJc w:val="left"/>
      <w:pPr>
        <w:ind w:left="2656" w:hanging="360"/>
      </w:pPr>
      <w:rPr>
        <w:rFonts w:hint="default"/>
        <w:lang w:val="en-US" w:eastAsia="en-US" w:bidi="ar-SA"/>
      </w:rPr>
    </w:lvl>
    <w:lvl w:ilvl="5" w:tentative="0">
      <w:start w:val="0"/>
      <w:numFmt w:val="bullet"/>
      <w:lvlText w:val="•"/>
      <w:lvlJc w:val="left"/>
      <w:pPr>
        <w:ind w:left="3205" w:hanging="360"/>
      </w:pPr>
      <w:rPr>
        <w:rFonts w:hint="default"/>
        <w:lang w:val="en-US" w:eastAsia="en-US" w:bidi="ar-SA"/>
      </w:rPr>
    </w:lvl>
    <w:lvl w:ilvl="6" w:tentative="0">
      <w:start w:val="0"/>
      <w:numFmt w:val="bullet"/>
      <w:lvlText w:val="•"/>
      <w:lvlJc w:val="left"/>
      <w:pPr>
        <w:ind w:left="3754" w:hanging="360"/>
      </w:pPr>
      <w:rPr>
        <w:rFonts w:hint="default"/>
        <w:lang w:val="en-US" w:eastAsia="en-US" w:bidi="ar-SA"/>
      </w:rPr>
    </w:lvl>
    <w:lvl w:ilvl="7" w:tentative="0">
      <w:start w:val="0"/>
      <w:numFmt w:val="bullet"/>
      <w:lvlText w:val="•"/>
      <w:lvlJc w:val="left"/>
      <w:pPr>
        <w:ind w:left="4303" w:hanging="360"/>
      </w:pPr>
      <w:rPr>
        <w:rFonts w:hint="default"/>
        <w:lang w:val="en-US" w:eastAsia="en-US" w:bidi="ar-SA"/>
      </w:rPr>
    </w:lvl>
    <w:lvl w:ilvl="8" w:tentative="0">
      <w:start w:val="0"/>
      <w:numFmt w:val="bullet"/>
      <w:lvlText w:val="•"/>
      <w:lvlJc w:val="left"/>
      <w:pPr>
        <w:ind w:left="4852" w:hanging="360"/>
      </w:pPr>
      <w:rPr>
        <w:rFonts w:hint="default"/>
        <w:lang w:val="en-US" w:eastAsia="en-US" w:bidi="ar-SA"/>
      </w:rPr>
    </w:lvl>
  </w:abstractNum>
  <w:abstractNum w:abstractNumId="8">
    <w:nsid w:val="F8949042"/>
    <w:multiLevelType w:val="multilevel"/>
    <w:tmpl w:val="F8949042"/>
    <w:lvl w:ilvl="0" w:tentative="0">
      <w:start w:val="0"/>
      <w:numFmt w:val="bullet"/>
      <w:lvlText w:val="-"/>
      <w:lvlJc w:val="left"/>
      <w:pPr>
        <w:ind w:left="379" w:hanging="18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970" w:hanging="180"/>
      </w:pPr>
      <w:rPr>
        <w:rFonts w:hint="default"/>
        <w:lang w:val="en-US" w:eastAsia="en-US" w:bidi="ar-SA"/>
      </w:rPr>
    </w:lvl>
    <w:lvl w:ilvl="2" w:tentative="0">
      <w:start w:val="0"/>
      <w:numFmt w:val="bullet"/>
      <w:lvlText w:val="•"/>
      <w:lvlJc w:val="left"/>
      <w:pPr>
        <w:ind w:left="1560" w:hanging="180"/>
      </w:pPr>
      <w:rPr>
        <w:rFonts w:hint="default"/>
        <w:lang w:val="en-US" w:eastAsia="en-US" w:bidi="ar-SA"/>
      </w:rPr>
    </w:lvl>
    <w:lvl w:ilvl="3" w:tentative="0">
      <w:start w:val="0"/>
      <w:numFmt w:val="bullet"/>
      <w:lvlText w:val="•"/>
      <w:lvlJc w:val="left"/>
      <w:pPr>
        <w:ind w:left="2150" w:hanging="180"/>
      </w:pPr>
      <w:rPr>
        <w:rFonts w:hint="default"/>
        <w:lang w:val="en-US" w:eastAsia="en-US" w:bidi="ar-SA"/>
      </w:rPr>
    </w:lvl>
    <w:lvl w:ilvl="4" w:tentative="0">
      <w:start w:val="0"/>
      <w:numFmt w:val="bullet"/>
      <w:lvlText w:val="•"/>
      <w:lvlJc w:val="left"/>
      <w:pPr>
        <w:ind w:left="2740" w:hanging="180"/>
      </w:pPr>
      <w:rPr>
        <w:rFonts w:hint="default"/>
        <w:lang w:val="en-US" w:eastAsia="en-US" w:bidi="ar-SA"/>
      </w:rPr>
    </w:lvl>
    <w:lvl w:ilvl="5" w:tentative="0">
      <w:start w:val="0"/>
      <w:numFmt w:val="bullet"/>
      <w:lvlText w:val="•"/>
      <w:lvlJc w:val="left"/>
      <w:pPr>
        <w:ind w:left="3330" w:hanging="180"/>
      </w:pPr>
      <w:rPr>
        <w:rFonts w:hint="default"/>
        <w:lang w:val="en-US" w:eastAsia="en-US" w:bidi="ar-SA"/>
      </w:rPr>
    </w:lvl>
    <w:lvl w:ilvl="6" w:tentative="0">
      <w:start w:val="0"/>
      <w:numFmt w:val="bullet"/>
      <w:lvlText w:val="•"/>
      <w:lvlJc w:val="left"/>
      <w:pPr>
        <w:ind w:left="3920" w:hanging="180"/>
      </w:pPr>
      <w:rPr>
        <w:rFonts w:hint="default"/>
        <w:lang w:val="en-US" w:eastAsia="en-US" w:bidi="ar-SA"/>
      </w:rPr>
    </w:lvl>
    <w:lvl w:ilvl="7" w:tentative="0">
      <w:start w:val="0"/>
      <w:numFmt w:val="bullet"/>
      <w:lvlText w:val="•"/>
      <w:lvlJc w:val="left"/>
      <w:pPr>
        <w:ind w:left="4510" w:hanging="180"/>
      </w:pPr>
      <w:rPr>
        <w:rFonts w:hint="default"/>
        <w:lang w:val="en-US" w:eastAsia="en-US" w:bidi="ar-SA"/>
      </w:rPr>
    </w:lvl>
    <w:lvl w:ilvl="8" w:tentative="0">
      <w:start w:val="0"/>
      <w:numFmt w:val="bullet"/>
      <w:lvlText w:val="•"/>
      <w:lvlJc w:val="left"/>
      <w:pPr>
        <w:ind w:left="5100" w:hanging="180"/>
      </w:pPr>
      <w:rPr>
        <w:rFonts w:hint="default"/>
        <w:lang w:val="en-US" w:eastAsia="en-US" w:bidi="ar-SA"/>
      </w:rPr>
    </w:lvl>
  </w:abstractNum>
  <w:abstractNum w:abstractNumId="9">
    <w:nsid w:val="025EB27A"/>
    <w:multiLevelType w:val="multilevel"/>
    <w:tmpl w:val="025EB27A"/>
    <w:lvl w:ilvl="0" w:tentative="0">
      <w:start w:val="0"/>
      <w:numFmt w:val="bullet"/>
      <w:lvlText w:val="-"/>
      <w:lvlJc w:val="left"/>
      <w:pPr>
        <w:ind w:left="379" w:hanging="18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970" w:hanging="180"/>
      </w:pPr>
      <w:rPr>
        <w:rFonts w:hint="default"/>
        <w:lang w:val="en-US" w:eastAsia="en-US" w:bidi="ar-SA"/>
      </w:rPr>
    </w:lvl>
    <w:lvl w:ilvl="2" w:tentative="0">
      <w:start w:val="0"/>
      <w:numFmt w:val="bullet"/>
      <w:lvlText w:val="•"/>
      <w:lvlJc w:val="left"/>
      <w:pPr>
        <w:ind w:left="1560" w:hanging="180"/>
      </w:pPr>
      <w:rPr>
        <w:rFonts w:hint="default"/>
        <w:lang w:val="en-US" w:eastAsia="en-US" w:bidi="ar-SA"/>
      </w:rPr>
    </w:lvl>
    <w:lvl w:ilvl="3" w:tentative="0">
      <w:start w:val="0"/>
      <w:numFmt w:val="bullet"/>
      <w:lvlText w:val="•"/>
      <w:lvlJc w:val="left"/>
      <w:pPr>
        <w:ind w:left="2150" w:hanging="180"/>
      </w:pPr>
      <w:rPr>
        <w:rFonts w:hint="default"/>
        <w:lang w:val="en-US" w:eastAsia="en-US" w:bidi="ar-SA"/>
      </w:rPr>
    </w:lvl>
    <w:lvl w:ilvl="4" w:tentative="0">
      <w:start w:val="0"/>
      <w:numFmt w:val="bullet"/>
      <w:lvlText w:val="•"/>
      <w:lvlJc w:val="left"/>
      <w:pPr>
        <w:ind w:left="2740" w:hanging="180"/>
      </w:pPr>
      <w:rPr>
        <w:rFonts w:hint="default"/>
        <w:lang w:val="en-US" w:eastAsia="en-US" w:bidi="ar-SA"/>
      </w:rPr>
    </w:lvl>
    <w:lvl w:ilvl="5" w:tentative="0">
      <w:start w:val="0"/>
      <w:numFmt w:val="bullet"/>
      <w:lvlText w:val="•"/>
      <w:lvlJc w:val="left"/>
      <w:pPr>
        <w:ind w:left="3330" w:hanging="180"/>
      </w:pPr>
      <w:rPr>
        <w:rFonts w:hint="default"/>
        <w:lang w:val="en-US" w:eastAsia="en-US" w:bidi="ar-SA"/>
      </w:rPr>
    </w:lvl>
    <w:lvl w:ilvl="6" w:tentative="0">
      <w:start w:val="0"/>
      <w:numFmt w:val="bullet"/>
      <w:lvlText w:val="•"/>
      <w:lvlJc w:val="left"/>
      <w:pPr>
        <w:ind w:left="3920" w:hanging="180"/>
      </w:pPr>
      <w:rPr>
        <w:rFonts w:hint="default"/>
        <w:lang w:val="en-US" w:eastAsia="en-US" w:bidi="ar-SA"/>
      </w:rPr>
    </w:lvl>
    <w:lvl w:ilvl="7" w:tentative="0">
      <w:start w:val="0"/>
      <w:numFmt w:val="bullet"/>
      <w:lvlText w:val="•"/>
      <w:lvlJc w:val="left"/>
      <w:pPr>
        <w:ind w:left="4510" w:hanging="180"/>
      </w:pPr>
      <w:rPr>
        <w:rFonts w:hint="default"/>
        <w:lang w:val="en-US" w:eastAsia="en-US" w:bidi="ar-SA"/>
      </w:rPr>
    </w:lvl>
    <w:lvl w:ilvl="8" w:tentative="0">
      <w:start w:val="0"/>
      <w:numFmt w:val="bullet"/>
      <w:lvlText w:val="•"/>
      <w:lvlJc w:val="left"/>
      <w:pPr>
        <w:ind w:left="5100" w:hanging="180"/>
      </w:pPr>
      <w:rPr>
        <w:rFonts w:hint="default"/>
        <w:lang w:val="en-US" w:eastAsia="en-US" w:bidi="ar-SA"/>
      </w:rPr>
    </w:lvl>
  </w:abstractNum>
  <w:abstractNum w:abstractNumId="10">
    <w:nsid w:val="17371721"/>
    <w:multiLevelType w:val="multilevel"/>
    <w:tmpl w:val="17371721"/>
    <w:lvl w:ilvl="0" w:tentative="0">
      <w:start w:val="0"/>
      <w:numFmt w:val="bullet"/>
      <w:lvlText w:val="-"/>
      <w:lvlJc w:val="left"/>
      <w:pPr>
        <w:ind w:left="379" w:hanging="18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948" w:hanging="180"/>
      </w:pPr>
      <w:rPr>
        <w:rFonts w:hint="default"/>
        <w:lang w:val="en-US" w:eastAsia="en-US" w:bidi="ar-SA"/>
      </w:rPr>
    </w:lvl>
    <w:lvl w:ilvl="2" w:tentative="0">
      <w:start w:val="0"/>
      <w:numFmt w:val="bullet"/>
      <w:lvlText w:val="•"/>
      <w:lvlJc w:val="left"/>
      <w:pPr>
        <w:ind w:left="1516" w:hanging="180"/>
      </w:pPr>
      <w:rPr>
        <w:rFonts w:hint="default"/>
        <w:lang w:val="en-US" w:eastAsia="en-US" w:bidi="ar-SA"/>
      </w:rPr>
    </w:lvl>
    <w:lvl w:ilvl="3" w:tentative="0">
      <w:start w:val="0"/>
      <w:numFmt w:val="bullet"/>
      <w:lvlText w:val="•"/>
      <w:lvlJc w:val="left"/>
      <w:pPr>
        <w:ind w:left="2084" w:hanging="180"/>
      </w:pPr>
      <w:rPr>
        <w:rFonts w:hint="default"/>
        <w:lang w:val="en-US" w:eastAsia="en-US" w:bidi="ar-SA"/>
      </w:rPr>
    </w:lvl>
    <w:lvl w:ilvl="4" w:tentative="0">
      <w:start w:val="0"/>
      <w:numFmt w:val="bullet"/>
      <w:lvlText w:val="•"/>
      <w:lvlJc w:val="left"/>
      <w:pPr>
        <w:ind w:left="2652" w:hanging="180"/>
      </w:pPr>
      <w:rPr>
        <w:rFonts w:hint="default"/>
        <w:lang w:val="en-US" w:eastAsia="en-US" w:bidi="ar-SA"/>
      </w:rPr>
    </w:lvl>
    <w:lvl w:ilvl="5" w:tentative="0">
      <w:start w:val="0"/>
      <w:numFmt w:val="bullet"/>
      <w:lvlText w:val="•"/>
      <w:lvlJc w:val="left"/>
      <w:pPr>
        <w:ind w:left="3220" w:hanging="180"/>
      </w:pPr>
      <w:rPr>
        <w:rFonts w:hint="default"/>
        <w:lang w:val="en-US" w:eastAsia="en-US" w:bidi="ar-SA"/>
      </w:rPr>
    </w:lvl>
    <w:lvl w:ilvl="6" w:tentative="0">
      <w:start w:val="0"/>
      <w:numFmt w:val="bullet"/>
      <w:lvlText w:val="•"/>
      <w:lvlJc w:val="left"/>
      <w:pPr>
        <w:ind w:left="3788" w:hanging="180"/>
      </w:pPr>
      <w:rPr>
        <w:rFonts w:hint="default"/>
        <w:lang w:val="en-US" w:eastAsia="en-US" w:bidi="ar-SA"/>
      </w:rPr>
    </w:lvl>
    <w:lvl w:ilvl="7" w:tentative="0">
      <w:start w:val="0"/>
      <w:numFmt w:val="bullet"/>
      <w:lvlText w:val="•"/>
      <w:lvlJc w:val="left"/>
      <w:pPr>
        <w:ind w:left="4356" w:hanging="180"/>
      </w:pPr>
      <w:rPr>
        <w:rFonts w:hint="default"/>
        <w:lang w:val="en-US" w:eastAsia="en-US" w:bidi="ar-SA"/>
      </w:rPr>
    </w:lvl>
    <w:lvl w:ilvl="8" w:tentative="0">
      <w:start w:val="0"/>
      <w:numFmt w:val="bullet"/>
      <w:lvlText w:val="•"/>
      <w:lvlJc w:val="left"/>
      <w:pPr>
        <w:ind w:left="4924" w:hanging="180"/>
      </w:pPr>
      <w:rPr>
        <w:rFonts w:hint="default"/>
        <w:lang w:val="en-US" w:eastAsia="en-US" w:bidi="ar-SA"/>
      </w:rPr>
    </w:lvl>
  </w:abstractNum>
  <w:abstractNum w:abstractNumId="11">
    <w:nsid w:val="568750A4"/>
    <w:multiLevelType w:val="multilevel"/>
    <w:tmpl w:val="568750A4"/>
    <w:lvl w:ilvl="0" w:tentative="0">
      <w:start w:val="0"/>
      <w:numFmt w:val="bullet"/>
      <w:lvlText w:val="-"/>
      <w:lvlJc w:val="left"/>
      <w:pPr>
        <w:ind w:left="362" w:hanging="18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930" w:hanging="180"/>
      </w:pPr>
      <w:rPr>
        <w:rFonts w:hint="default"/>
        <w:lang w:val="en-US" w:eastAsia="en-US" w:bidi="ar-SA"/>
      </w:rPr>
    </w:lvl>
    <w:lvl w:ilvl="2" w:tentative="0">
      <w:start w:val="0"/>
      <w:numFmt w:val="bullet"/>
      <w:lvlText w:val="•"/>
      <w:lvlJc w:val="left"/>
      <w:pPr>
        <w:ind w:left="1500" w:hanging="180"/>
      </w:pPr>
      <w:rPr>
        <w:rFonts w:hint="default"/>
        <w:lang w:val="en-US" w:eastAsia="en-US" w:bidi="ar-SA"/>
      </w:rPr>
    </w:lvl>
    <w:lvl w:ilvl="3" w:tentative="0">
      <w:start w:val="0"/>
      <w:numFmt w:val="bullet"/>
      <w:lvlText w:val="•"/>
      <w:lvlJc w:val="left"/>
      <w:pPr>
        <w:ind w:left="2070" w:hanging="180"/>
      </w:pPr>
      <w:rPr>
        <w:rFonts w:hint="default"/>
        <w:lang w:val="en-US" w:eastAsia="en-US" w:bidi="ar-SA"/>
      </w:rPr>
    </w:lvl>
    <w:lvl w:ilvl="4" w:tentative="0">
      <w:start w:val="0"/>
      <w:numFmt w:val="bullet"/>
      <w:lvlText w:val="•"/>
      <w:lvlJc w:val="left"/>
      <w:pPr>
        <w:ind w:left="2640" w:hanging="180"/>
      </w:pPr>
      <w:rPr>
        <w:rFonts w:hint="default"/>
        <w:lang w:val="en-US" w:eastAsia="en-US" w:bidi="ar-SA"/>
      </w:rPr>
    </w:lvl>
    <w:lvl w:ilvl="5" w:tentative="0">
      <w:start w:val="0"/>
      <w:numFmt w:val="bullet"/>
      <w:lvlText w:val="•"/>
      <w:lvlJc w:val="left"/>
      <w:pPr>
        <w:ind w:left="3210" w:hanging="180"/>
      </w:pPr>
      <w:rPr>
        <w:rFonts w:hint="default"/>
        <w:lang w:val="en-US" w:eastAsia="en-US" w:bidi="ar-SA"/>
      </w:rPr>
    </w:lvl>
    <w:lvl w:ilvl="6" w:tentative="0">
      <w:start w:val="0"/>
      <w:numFmt w:val="bullet"/>
      <w:lvlText w:val="•"/>
      <w:lvlJc w:val="left"/>
      <w:pPr>
        <w:ind w:left="3780" w:hanging="180"/>
      </w:pPr>
      <w:rPr>
        <w:rFonts w:hint="default"/>
        <w:lang w:val="en-US" w:eastAsia="en-US" w:bidi="ar-SA"/>
      </w:rPr>
    </w:lvl>
    <w:lvl w:ilvl="7" w:tentative="0">
      <w:start w:val="0"/>
      <w:numFmt w:val="bullet"/>
      <w:lvlText w:val="•"/>
      <w:lvlJc w:val="left"/>
      <w:pPr>
        <w:ind w:left="4350" w:hanging="180"/>
      </w:pPr>
      <w:rPr>
        <w:rFonts w:hint="default"/>
        <w:lang w:val="en-US" w:eastAsia="en-US" w:bidi="ar-SA"/>
      </w:rPr>
    </w:lvl>
    <w:lvl w:ilvl="8" w:tentative="0">
      <w:start w:val="0"/>
      <w:numFmt w:val="bullet"/>
      <w:lvlText w:val="•"/>
      <w:lvlJc w:val="left"/>
      <w:pPr>
        <w:ind w:left="4920" w:hanging="180"/>
      </w:pPr>
      <w:rPr>
        <w:rFonts w:hint="default"/>
        <w:lang w:val="en-US" w:eastAsia="en-US" w:bidi="ar-SA"/>
      </w:rPr>
    </w:lvl>
  </w:abstractNum>
  <w:abstractNum w:abstractNumId="12">
    <w:nsid w:val="57DED440"/>
    <w:multiLevelType w:val="multilevel"/>
    <w:tmpl w:val="57DED440"/>
    <w:lvl w:ilvl="0" w:tentative="0">
      <w:start w:val="0"/>
      <w:numFmt w:val="bullet"/>
      <w:lvlText w:val="-"/>
      <w:lvlJc w:val="left"/>
      <w:pPr>
        <w:ind w:left="199" w:hanging="18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808" w:hanging="180"/>
      </w:pPr>
      <w:rPr>
        <w:rFonts w:hint="default"/>
        <w:lang w:val="en-US" w:eastAsia="en-US" w:bidi="ar-SA"/>
      </w:rPr>
    </w:lvl>
    <w:lvl w:ilvl="2" w:tentative="0">
      <w:start w:val="0"/>
      <w:numFmt w:val="bullet"/>
      <w:lvlText w:val="•"/>
      <w:lvlJc w:val="left"/>
      <w:pPr>
        <w:ind w:left="1416" w:hanging="180"/>
      </w:pPr>
      <w:rPr>
        <w:rFonts w:hint="default"/>
        <w:lang w:val="en-US" w:eastAsia="en-US" w:bidi="ar-SA"/>
      </w:rPr>
    </w:lvl>
    <w:lvl w:ilvl="3" w:tentative="0">
      <w:start w:val="0"/>
      <w:numFmt w:val="bullet"/>
      <w:lvlText w:val="•"/>
      <w:lvlJc w:val="left"/>
      <w:pPr>
        <w:ind w:left="2024" w:hanging="180"/>
      </w:pPr>
      <w:rPr>
        <w:rFonts w:hint="default"/>
        <w:lang w:val="en-US" w:eastAsia="en-US" w:bidi="ar-SA"/>
      </w:rPr>
    </w:lvl>
    <w:lvl w:ilvl="4" w:tentative="0">
      <w:start w:val="0"/>
      <w:numFmt w:val="bullet"/>
      <w:lvlText w:val="•"/>
      <w:lvlJc w:val="left"/>
      <w:pPr>
        <w:ind w:left="2632" w:hanging="180"/>
      </w:pPr>
      <w:rPr>
        <w:rFonts w:hint="default"/>
        <w:lang w:val="en-US" w:eastAsia="en-US" w:bidi="ar-SA"/>
      </w:rPr>
    </w:lvl>
    <w:lvl w:ilvl="5" w:tentative="0">
      <w:start w:val="0"/>
      <w:numFmt w:val="bullet"/>
      <w:lvlText w:val="•"/>
      <w:lvlJc w:val="left"/>
      <w:pPr>
        <w:ind w:left="3240" w:hanging="180"/>
      </w:pPr>
      <w:rPr>
        <w:rFonts w:hint="default"/>
        <w:lang w:val="en-US" w:eastAsia="en-US" w:bidi="ar-SA"/>
      </w:rPr>
    </w:lvl>
    <w:lvl w:ilvl="6" w:tentative="0">
      <w:start w:val="0"/>
      <w:numFmt w:val="bullet"/>
      <w:lvlText w:val="•"/>
      <w:lvlJc w:val="left"/>
      <w:pPr>
        <w:ind w:left="3848" w:hanging="180"/>
      </w:pPr>
      <w:rPr>
        <w:rFonts w:hint="default"/>
        <w:lang w:val="en-US" w:eastAsia="en-US" w:bidi="ar-SA"/>
      </w:rPr>
    </w:lvl>
    <w:lvl w:ilvl="7" w:tentative="0">
      <w:start w:val="0"/>
      <w:numFmt w:val="bullet"/>
      <w:lvlText w:val="•"/>
      <w:lvlJc w:val="left"/>
      <w:pPr>
        <w:ind w:left="4456" w:hanging="180"/>
      </w:pPr>
      <w:rPr>
        <w:rFonts w:hint="default"/>
        <w:lang w:val="en-US" w:eastAsia="en-US" w:bidi="ar-SA"/>
      </w:rPr>
    </w:lvl>
    <w:lvl w:ilvl="8" w:tentative="0">
      <w:start w:val="0"/>
      <w:numFmt w:val="bullet"/>
      <w:lvlText w:val="•"/>
      <w:lvlJc w:val="left"/>
      <w:pPr>
        <w:ind w:left="5064" w:hanging="180"/>
      </w:pPr>
      <w:rPr>
        <w:rFonts w:hint="default"/>
        <w:lang w:val="en-US" w:eastAsia="en-US" w:bidi="ar-SA"/>
      </w:rPr>
    </w:lvl>
  </w:abstractNum>
  <w:abstractNum w:abstractNumId="13">
    <w:nsid w:val="773C851D"/>
    <w:multiLevelType w:val="multilevel"/>
    <w:tmpl w:val="773C851D"/>
    <w:lvl w:ilvl="0" w:tentative="0">
      <w:start w:val="0"/>
      <w:numFmt w:val="bullet"/>
      <w:lvlText w:val="-"/>
      <w:lvlJc w:val="left"/>
      <w:pPr>
        <w:ind w:left="467" w:hanging="360"/>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1005" w:hanging="360"/>
      </w:pPr>
      <w:rPr>
        <w:rFonts w:hint="default"/>
        <w:lang w:val="en-US" w:eastAsia="en-US" w:bidi="ar-SA"/>
      </w:rPr>
    </w:lvl>
    <w:lvl w:ilvl="2" w:tentative="0">
      <w:start w:val="0"/>
      <w:numFmt w:val="bullet"/>
      <w:lvlText w:val="•"/>
      <w:lvlJc w:val="left"/>
      <w:pPr>
        <w:ind w:left="1551" w:hanging="360"/>
      </w:pPr>
      <w:rPr>
        <w:rFonts w:hint="default"/>
        <w:lang w:val="en-US" w:eastAsia="en-US" w:bidi="ar-SA"/>
      </w:rPr>
    </w:lvl>
    <w:lvl w:ilvl="3" w:tentative="0">
      <w:start w:val="0"/>
      <w:numFmt w:val="bullet"/>
      <w:lvlText w:val="•"/>
      <w:lvlJc w:val="left"/>
      <w:pPr>
        <w:ind w:left="2097" w:hanging="360"/>
      </w:pPr>
      <w:rPr>
        <w:rFonts w:hint="default"/>
        <w:lang w:val="en-US" w:eastAsia="en-US" w:bidi="ar-SA"/>
      </w:rPr>
    </w:lvl>
    <w:lvl w:ilvl="4" w:tentative="0">
      <w:start w:val="0"/>
      <w:numFmt w:val="bullet"/>
      <w:lvlText w:val="•"/>
      <w:lvlJc w:val="left"/>
      <w:pPr>
        <w:ind w:left="2643" w:hanging="360"/>
      </w:pPr>
      <w:rPr>
        <w:rFonts w:hint="default"/>
        <w:lang w:val="en-US" w:eastAsia="en-US" w:bidi="ar-SA"/>
      </w:rPr>
    </w:lvl>
    <w:lvl w:ilvl="5" w:tentative="0">
      <w:start w:val="0"/>
      <w:numFmt w:val="bullet"/>
      <w:lvlText w:val="•"/>
      <w:lvlJc w:val="left"/>
      <w:pPr>
        <w:ind w:left="3189" w:hanging="360"/>
      </w:pPr>
      <w:rPr>
        <w:rFonts w:hint="default"/>
        <w:lang w:val="en-US" w:eastAsia="en-US" w:bidi="ar-SA"/>
      </w:rPr>
    </w:lvl>
    <w:lvl w:ilvl="6" w:tentative="0">
      <w:start w:val="0"/>
      <w:numFmt w:val="bullet"/>
      <w:lvlText w:val="•"/>
      <w:lvlJc w:val="left"/>
      <w:pPr>
        <w:ind w:left="3735" w:hanging="360"/>
      </w:pPr>
      <w:rPr>
        <w:rFonts w:hint="default"/>
        <w:lang w:val="en-US" w:eastAsia="en-US" w:bidi="ar-SA"/>
      </w:rPr>
    </w:lvl>
    <w:lvl w:ilvl="7" w:tentative="0">
      <w:start w:val="0"/>
      <w:numFmt w:val="bullet"/>
      <w:lvlText w:val="•"/>
      <w:lvlJc w:val="left"/>
      <w:pPr>
        <w:ind w:left="4281" w:hanging="360"/>
      </w:pPr>
      <w:rPr>
        <w:rFonts w:hint="default"/>
        <w:lang w:val="en-US" w:eastAsia="en-US" w:bidi="ar-SA"/>
      </w:rPr>
    </w:lvl>
    <w:lvl w:ilvl="8" w:tentative="0">
      <w:start w:val="0"/>
      <w:numFmt w:val="bullet"/>
      <w:lvlText w:val="•"/>
      <w:lvlJc w:val="left"/>
      <w:pPr>
        <w:ind w:left="4827" w:hanging="360"/>
      </w:pPr>
      <w:rPr>
        <w:rFonts w:hint="default"/>
        <w:lang w:val="en-US" w:eastAsia="en-US" w:bidi="ar-SA"/>
      </w:rPr>
    </w:lvl>
  </w:abstractNum>
  <w:num w:numId="1">
    <w:abstractNumId w:val="8"/>
  </w:num>
  <w:num w:numId="2">
    <w:abstractNumId w:val="2"/>
  </w:num>
  <w:num w:numId="3">
    <w:abstractNumId w:val="9"/>
  </w:num>
  <w:num w:numId="4">
    <w:abstractNumId w:val="12"/>
  </w:num>
  <w:num w:numId="5">
    <w:abstractNumId w:val="10"/>
  </w:num>
  <w:num w:numId="6">
    <w:abstractNumId w:val="11"/>
  </w:num>
  <w:num w:numId="7">
    <w:abstractNumId w:val="0"/>
  </w:num>
  <w:num w:numId="8">
    <w:abstractNumId w:val="13"/>
  </w:num>
  <w:num w:numId="9">
    <w:abstractNumId w:val="4"/>
  </w:num>
  <w:num w:numId="10">
    <w:abstractNumId w:val="1"/>
  </w:num>
  <w:num w:numId="11">
    <w:abstractNumId w:val="5"/>
  </w:num>
  <w:num w:numId="12">
    <w:abstractNumId w:val="6"/>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GNmMmQ1MGYyYzU5ODc0ZDI2MTk3Yjc5OGUxZGIxY2MifQ=="/>
  </w:docVars>
  <w:rsids>
    <w:rsidRoot w:val="0008064E"/>
    <w:rsid w:val="00013654"/>
    <w:rsid w:val="00044EF2"/>
    <w:rsid w:val="0008064E"/>
    <w:rsid w:val="0009075B"/>
    <w:rsid w:val="000A2779"/>
    <w:rsid w:val="000B44D3"/>
    <w:rsid w:val="000F5645"/>
    <w:rsid w:val="001153EC"/>
    <w:rsid w:val="00125861"/>
    <w:rsid w:val="00150EAD"/>
    <w:rsid w:val="001F0964"/>
    <w:rsid w:val="001F3ADA"/>
    <w:rsid w:val="00237A6E"/>
    <w:rsid w:val="00285085"/>
    <w:rsid w:val="003577A2"/>
    <w:rsid w:val="00362892"/>
    <w:rsid w:val="003C28DE"/>
    <w:rsid w:val="004874D5"/>
    <w:rsid w:val="00515C5E"/>
    <w:rsid w:val="00592A74"/>
    <w:rsid w:val="005A2D64"/>
    <w:rsid w:val="005E1527"/>
    <w:rsid w:val="006336EF"/>
    <w:rsid w:val="006570F0"/>
    <w:rsid w:val="006B4F71"/>
    <w:rsid w:val="00704336"/>
    <w:rsid w:val="00726300"/>
    <w:rsid w:val="00773916"/>
    <w:rsid w:val="0078143C"/>
    <w:rsid w:val="007A6F63"/>
    <w:rsid w:val="007E5726"/>
    <w:rsid w:val="008878D1"/>
    <w:rsid w:val="0089189B"/>
    <w:rsid w:val="008D313A"/>
    <w:rsid w:val="009224FE"/>
    <w:rsid w:val="009A5857"/>
    <w:rsid w:val="00A11F50"/>
    <w:rsid w:val="00A42231"/>
    <w:rsid w:val="00A44B16"/>
    <w:rsid w:val="00A641FB"/>
    <w:rsid w:val="00A77503"/>
    <w:rsid w:val="00A87F74"/>
    <w:rsid w:val="00AB1812"/>
    <w:rsid w:val="00AB7A64"/>
    <w:rsid w:val="00B95CDD"/>
    <w:rsid w:val="00C11035"/>
    <w:rsid w:val="00D9012D"/>
    <w:rsid w:val="00DE3995"/>
    <w:rsid w:val="00F52A8D"/>
    <w:rsid w:val="00FF56BA"/>
    <w:rsid w:val="0100390C"/>
    <w:rsid w:val="01042CD0"/>
    <w:rsid w:val="01080A12"/>
    <w:rsid w:val="010B22B0"/>
    <w:rsid w:val="010F1DA1"/>
    <w:rsid w:val="010F7FF3"/>
    <w:rsid w:val="011D2710"/>
    <w:rsid w:val="012F41F1"/>
    <w:rsid w:val="01323CE1"/>
    <w:rsid w:val="013712F7"/>
    <w:rsid w:val="01395070"/>
    <w:rsid w:val="013B6B5D"/>
    <w:rsid w:val="013C0D0B"/>
    <w:rsid w:val="01422176"/>
    <w:rsid w:val="014337F8"/>
    <w:rsid w:val="01453A14"/>
    <w:rsid w:val="01481555"/>
    <w:rsid w:val="01487061"/>
    <w:rsid w:val="014F4893"/>
    <w:rsid w:val="015123B9"/>
    <w:rsid w:val="01582C8E"/>
    <w:rsid w:val="01657C13"/>
    <w:rsid w:val="0168325F"/>
    <w:rsid w:val="01687703"/>
    <w:rsid w:val="016A6FD7"/>
    <w:rsid w:val="016B44FB"/>
    <w:rsid w:val="016F45ED"/>
    <w:rsid w:val="017165B7"/>
    <w:rsid w:val="017442FA"/>
    <w:rsid w:val="017B7436"/>
    <w:rsid w:val="017F5C35"/>
    <w:rsid w:val="018A7679"/>
    <w:rsid w:val="018D00A7"/>
    <w:rsid w:val="018D0F17"/>
    <w:rsid w:val="018E0D25"/>
    <w:rsid w:val="018F2EE2"/>
    <w:rsid w:val="018F4C90"/>
    <w:rsid w:val="019127B6"/>
    <w:rsid w:val="01934780"/>
    <w:rsid w:val="01987FE8"/>
    <w:rsid w:val="01997579"/>
    <w:rsid w:val="01A505DF"/>
    <w:rsid w:val="01A52705"/>
    <w:rsid w:val="01A71FD9"/>
    <w:rsid w:val="01AA7D1B"/>
    <w:rsid w:val="01AE15BA"/>
    <w:rsid w:val="01B91D0C"/>
    <w:rsid w:val="01B97F5E"/>
    <w:rsid w:val="01C04E49"/>
    <w:rsid w:val="01C40DDD"/>
    <w:rsid w:val="01CA3F1A"/>
    <w:rsid w:val="01CE57B8"/>
    <w:rsid w:val="01D134FA"/>
    <w:rsid w:val="01D552CE"/>
    <w:rsid w:val="01DC338D"/>
    <w:rsid w:val="01E50D53"/>
    <w:rsid w:val="01E74ACC"/>
    <w:rsid w:val="01E97E12"/>
    <w:rsid w:val="01F3521E"/>
    <w:rsid w:val="01F36FCC"/>
    <w:rsid w:val="01F42D45"/>
    <w:rsid w:val="01F47ED3"/>
    <w:rsid w:val="020411DA"/>
    <w:rsid w:val="021138F7"/>
    <w:rsid w:val="021653B1"/>
    <w:rsid w:val="02181129"/>
    <w:rsid w:val="022278B2"/>
    <w:rsid w:val="02290C40"/>
    <w:rsid w:val="022C24DE"/>
    <w:rsid w:val="022D17A5"/>
    <w:rsid w:val="02306EB4"/>
    <w:rsid w:val="02315D47"/>
    <w:rsid w:val="023F4471"/>
    <w:rsid w:val="02447828"/>
    <w:rsid w:val="024737BC"/>
    <w:rsid w:val="02492960"/>
    <w:rsid w:val="02511F45"/>
    <w:rsid w:val="02581A3B"/>
    <w:rsid w:val="025A529E"/>
    <w:rsid w:val="025B2DC4"/>
    <w:rsid w:val="025D08EA"/>
    <w:rsid w:val="0273010D"/>
    <w:rsid w:val="02775E4F"/>
    <w:rsid w:val="027D71DE"/>
    <w:rsid w:val="027F2F56"/>
    <w:rsid w:val="02866093"/>
    <w:rsid w:val="028916DF"/>
    <w:rsid w:val="028D7421"/>
    <w:rsid w:val="028E4F47"/>
    <w:rsid w:val="02906F11"/>
    <w:rsid w:val="02913ED0"/>
    <w:rsid w:val="02954528"/>
    <w:rsid w:val="02963DFC"/>
    <w:rsid w:val="029F0F02"/>
    <w:rsid w:val="02A227A1"/>
    <w:rsid w:val="02B1294D"/>
    <w:rsid w:val="02B47D3B"/>
    <w:rsid w:val="02B726F0"/>
    <w:rsid w:val="02BF15A4"/>
    <w:rsid w:val="02C10E79"/>
    <w:rsid w:val="02C1531D"/>
    <w:rsid w:val="02C44E0D"/>
    <w:rsid w:val="02C4662B"/>
    <w:rsid w:val="02C80459"/>
    <w:rsid w:val="02C866AB"/>
    <w:rsid w:val="02C95F7F"/>
    <w:rsid w:val="02CD5A6F"/>
    <w:rsid w:val="02D0730E"/>
    <w:rsid w:val="02DF4D9F"/>
    <w:rsid w:val="02E1151B"/>
    <w:rsid w:val="02E62FD5"/>
    <w:rsid w:val="02E828A9"/>
    <w:rsid w:val="02F23728"/>
    <w:rsid w:val="02FE031F"/>
    <w:rsid w:val="03031491"/>
    <w:rsid w:val="03092820"/>
    <w:rsid w:val="030A0A72"/>
    <w:rsid w:val="030B1F15"/>
    <w:rsid w:val="03101E00"/>
    <w:rsid w:val="03157C90"/>
    <w:rsid w:val="03190CB5"/>
    <w:rsid w:val="031C69F7"/>
    <w:rsid w:val="0321400D"/>
    <w:rsid w:val="03237D85"/>
    <w:rsid w:val="03313C30"/>
    <w:rsid w:val="0332621A"/>
    <w:rsid w:val="03343D40"/>
    <w:rsid w:val="03374F36"/>
    <w:rsid w:val="03411FB9"/>
    <w:rsid w:val="0341645D"/>
    <w:rsid w:val="034321D6"/>
    <w:rsid w:val="03433F84"/>
    <w:rsid w:val="03443858"/>
    <w:rsid w:val="034B2E38"/>
    <w:rsid w:val="034D4E02"/>
    <w:rsid w:val="034E3CB1"/>
    <w:rsid w:val="034F0B7A"/>
    <w:rsid w:val="03525F75"/>
    <w:rsid w:val="035C5045"/>
    <w:rsid w:val="036D1000"/>
    <w:rsid w:val="036D12B2"/>
    <w:rsid w:val="03771E7F"/>
    <w:rsid w:val="03802AE2"/>
    <w:rsid w:val="038334D8"/>
    <w:rsid w:val="038500F8"/>
    <w:rsid w:val="038C592B"/>
    <w:rsid w:val="038F0F77"/>
    <w:rsid w:val="03922815"/>
    <w:rsid w:val="039C5442"/>
    <w:rsid w:val="039D57BB"/>
    <w:rsid w:val="03B10EED"/>
    <w:rsid w:val="03B31109"/>
    <w:rsid w:val="03B804CE"/>
    <w:rsid w:val="03BC5198"/>
    <w:rsid w:val="03C672EC"/>
    <w:rsid w:val="03C86237"/>
    <w:rsid w:val="03CA0201"/>
    <w:rsid w:val="03CC5D27"/>
    <w:rsid w:val="03CE5F43"/>
    <w:rsid w:val="03CF27DA"/>
    <w:rsid w:val="03CF5817"/>
    <w:rsid w:val="03DA7E12"/>
    <w:rsid w:val="03DD1CE2"/>
    <w:rsid w:val="03E2379C"/>
    <w:rsid w:val="03E2554B"/>
    <w:rsid w:val="03E312C3"/>
    <w:rsid w:val="03E33071"/>
    <w:rsid w:val="03E5328D"/>
    <w:rsid w:val="03EF1A15"/>
    <w:rsid w:val="03FD05D6"/>
    <w:rsid w:val="03FD1F8B"/>
    <w:rsid w:val="040A2CF3"/>
    <w:rsid w:val="040A4D27"/>
    <w:rsid w:val="040F43A0"/>
    <w:rsid w:val="041476CE"/>
    <w:rsid w:val="04161698"/>
    <w:rsid w:val="041D6583"/>
    <w:rsid w:val="04223B99"/>
    <w:rsid w:val="04247911"/>
    <w:rsid w:val="042A6EF2"/>
    <w:rsid w:val="04367644"/>
    <w:rsid w:val="0438160E"/>
    <w:rsid w:val="04387D3E"/>
    <w:rsid w:val="043B2EAD"/>
    <w:rsid w:val="044B1342"/>
    <w:rsid w:val="044C6E68"/>
    <w:rsid w:val="04506958"/>
    <w:rsid w:val="045126D0"/>
    <w:rsid w:val="04553F6E"/>
    <w:rsid w:val="045A09FE"/>
    <w:rsid w:val="04620439"/>
    <w:rsid w:val="046441B2"/>
    <w:rsid w:val="046917C8"/>
    <w:rsid w:val="046B3792"/>
    <w:rsid w:val="04762137"/>
    <w:rsid w:val="04787C5D"/>
    <w:rsid w:val="049C7DEF"/>
    <w:rsid w:val="04AB0032"/>
    <w:rsid w:val="04AC5B58"/>
    <w:rsid w:val="04B113EE"/>
    <w:rsid w:val="04B213C1"/>
    <w:rsid w:val="04B47551"/>
    <w:rsid w:val="04B52C5F"/>
    <w:rsid w:val="04B54A0D"/>
    <w:rsid w:val="04B769D7"/>
    <w:rsid w:val="04BA2023"/>
    <w:rsid w:val="04C74740"/>
    <w:rsid w:val="04C9670A"/>
    <w:rsid w:val="04CC4E48"/>
    <w:rsid w:val="04D035F5"/>
    <w:rsid w:val="04D72BD5"/>
    <w:rsid w:val="04E946B7"/>
    <w:rsid w:val="04F217BD"/>
    <w:rsid w:val="04F512AE"/>
    <w:rsid w:val="04F96FF0"/>
    <w:rsid w:val="04FB2841"/>
    <w:rsid w:val="04FE63B4"/>
    <w:rsid w:val="050414F1"/>
    <w:rsid w:val="05085485"/>
    <w:rsid w:val="051E6510"/>
    <w:rsid w:val="051E6A43"/>
    <w:rsid w:val="051F457C"/>
    <w:rsid w:val="052027CE"/>
    <w:rsid w:val="05224E91"/>
    <w:rsid w:val="052A5AE8"/>
    <w:rsid w:val="053A13B6"/>
    <w:rsid w:val="053A3164"/>
    <w:rsid w:val="05453FE3"/>
    <w:rsid w:val="054A784B"/>
    <w:rsid w:val="05597A8E"/>
    <w:rsid w:val="05614B95"/>
    <w:rsid w:val="056974FD"/>
    <w:rsid w:val="05726DA2"/>
    <w:rsid w:val="057743B8"/>
    <w:rsid w:val="057C377D"/>
    <w:rsid w:val="058A40EC"/>
    <w:rsid w:val="058B39C0"/>
    <w:rsid w:val="05934538"/>
    <w:rsid w:val="059565ED"/>
    <w:rsid w:val="0595761D"/>
    <w:rsid w:val="05992FC3"/>
    <w:rsid w:val="05A30D0A"/>
    <w:rsid w:val="05A3373C"/>
    <w:rsid w:val="05A54A82"/>
    <w:rsid w:val="05AA2098"/>
    <w:rsid w:val="05AC22B4"/>
    <w:rsid w:val="05AC4062"/>
    <w:rsid w:val="05B178CA"/>
    <w:rsid w:val="05B747B5"/>
    <w:rsid w:val="05BC001D"/>
    <w:rsid w:val="05C55124"/>
    <w:rsid w:val="05CA273A"/>
    <w:rsid w:val="05CA44E8"/>
    <w:rsid w:val="05CC7F39"/>
    <w:rsid w:val="05D62E8D"/>
    <w:rsid w:val="05D81EC4"/>
    <w:rsid w:val="05DE0E4B"/>
    <w:rsid w:val="05DE1521"/>
    <w:rsid w:val="05E05ABA"/>
    <w:rsid w:val="05ED6429"/>
    <w:rsid w:val="05FB0B46"/>
    <w:rsid w:val="060043AE"/>
    <w:rsid w:val="06071298"/>
    <w:rsid w:val="060914B4"/>
    <w:rsid w:val="060D2627"/>
    <w:rsid w:val="06135E8F"/>
    <w:rsid w:val="06175254"/>
    <w:rsid w:val="061816F7"/>
    <w:rsid w:val="06190FCC"/>
    <w:rsid w:val="061F2A86"/>
    <w:rsid w:val="062E4A77"/>
    <w:rsid w:val="062F0E3E"/>
    <w:rsid w:val="06345E06"/>
    <w:rsid w:val="063522A9"/>
    <w:rsid w:val="06361B7E"/>
    <w:rsid w:val="063B7194"/>
    <w:rsid w:val="06400C4E"/>
    <w:rsid w:val="064047AA"/>
    <w:rsid w:val="064A5629"/>
    <w:rsid w:val="064E336B"/>
    <w:rsid w:val="065344DE"/>
    <w:rsid w:val="06611D32"/>
    <w:rsid w:val="06640499"/>
    <w:rsid w:val="06652463"/>
    <w:rsid w:val="066761DB"/>
    <w:rsid w:val="06691F53"/>
    <w:rsid w:val="066E7BB9"/>
    <w:rsid w:val="066F5090"/>
    <w:rsid w:val="06712BB6"/>
    <w:rsid w:val="06783F44"/>
    <w:rsid w:val="067F52D3"/>
    <w:rsid w:val="068428E9"/>
    <w:rsid w:val="068B1EC9"/>
    <w:rsid w:val="06905732"/>
    <w:rsid w:val="06982838"/>
    <w:rsid w:val="069A3EBB"/>
    <w:rsid w:val="069B7C33"/>
    <w:rsid w:val="069F41B1"/>
    <w:rsid w:val="06A25465"/>
    <w:rsid w:val="06A44D39"/>
    <w:rsid w:val="06AB256C"/>
    <w:rsid w:val="06B11BF2"/>
    <w:rsid w:val="06BA455D"/>
    <w:rsid w:val="06C47189"/>
    <w:rsid w:val="06C673A5"/>
    <w:rsid w:val="06D4212C"/>
    <w:rsid w:val="06D51397"/>
    <w:rsid w:val="06DD024B"/>
    <w:rsid w:val="06E94E42"/>
    <w:rsid w:val="06EB0BBA"/>
    <w:rsid w:val="06EB6E0C"/>
    <w:rsid w:val="06F72B4F"/>
    <w:rsid w:val="06FC2DC7"/>
    <w:rsid w:val="070659F4"/>
    <w:rsid w:val="07091040"/>
    <w:rsid w:val="070B6B66"/>
    <w:rsid w:val="070E48A8"/>
    <w:rsid w:val="07107CD6"/>
    <w:rsid w:val="07133C6D"/>
    <w:rsid w:val="07155C37"/>
    <w:rsid w:val="071E2D3E"/>
    <w:rsid w:val="071F0864"/>
    <w:rsid w:val="07222102"/>
    <w:rsid w:val="072E6CF9"/>
    <w:rsid w:val="0730481F"/>
    <w:rsid w:val="07342561"/>
    <w:rsid w:val="073A569E"/>
    <w:rsid w:val="073C7668"/>
    <w:rsid w:val="0744651C"/>
    <w:rsid w:val="07494150"/>
    <w:rsid w:val="074B1659"/>
    <w:rsid w:val="074B78AB"/>
    <w:rsid w:val="074D53D1"/>
    <w:rsid w:val="07593D76"/>
    <w:rsid w:val="076D7821"/>
    <w:rsid w:val="0774295E"/>
    <w:rsid w:val="077B0190"/>
    <w:rsid w:val="077E558A"/>
    <w:rsid w:val="07831C27"/>
    <w:rsid w:val="07852DBD"/>
    <w:rsid w:val="078E1545"/>
    <w:rsid w:val="07941252"/>
    <w:rsid w:val="07972AF0"/>
    <w:rsid w:val="079C0106"/>
    <w:rsid w:val="079F3753"/>
    <w:rsid w:val="07A267FC"/>
    <w:rsid w:val="07A33243"/>
    <w:rsid w:val="07AA2823"/>
    <w:rsid w:val="07AB0349"/>
    <w:rsid w:val="07B471FE"/>
    <w:rsid w:val="07B62F76"/>
    <w:rsid w:val="07C03DF5"/>
    <w:rsid w:val="07C80EFB"/>
    <w:rsid w:val="07CF4038"/>
    <w:rsid w:val="07D050E5"/>
    <w:rsid w:val="07D4164E"/>
    <w:rsid w:val="07DB0C2F"/>
    <w:rsid w:val="07E86EA8"/>
    <w:rsid w:val="07F12200"/>
    <w:rsid w:val="07F752A5"/>
    <w:rsid w:val="07F95EB8"/>
    <w:rsid w:val="080212A5"/>
    <w:rsid w:val="08055CAB"/>
    <w:rsid w:val="080A1514"/>
    <w:rsid w:val="08297BEC"/>
    <w:rsid w:val="082C5625"/>
    <w:rsid w:val="082E5202"/>
    <w:rsid w:val="082F0F7A"/>
    <w:rsid w:val="082F2D28"/>
    <w:rsid w:val="08346591"/>
    <w:rsid w:val="08362309"/>
    <w:rsid w:val="08365E65"/>
    <w:rsid w:val="08493DEA"/>
    <w:rsid w:val="084F5179"/>
    <w:rsid w:val="085409E1"/>
    <w:rsid w:val="08591B53"/>
    <w:rsid w:val="086159A4"/>
    <w:rsid w:val="08640C24"/>
    <w:rsid w:val="0865499C"/>
    <w:rsid w:val="0865674A"/>
    <w:rsid w:val="08727E68"/>
    <w:rsid w:val="08736678"/>
    <w:rsid w:val="087B41C0"/>
    <w:rsid w:val="088710D9"/>
    <w:rsid w:val="089D5EE4"/>
    <w:rsid w:val="08A13C26"/>
    <w:rsid w:val="08A61507"/>
    <w:rsid w:val="08A95ADC"/>
    <w:rsid w:val="08AE00F1"/>
    <w:rsid w:val="08B1373D"/>
    <w:rsid w:val="08B5322E"/>
    <w:rsid w:val="08BD6586"/>
    <w:rsid w:val="08CF37A0"/>
    <w:rsid w:val="08D31906"/>
    <w:rsid w:val="08D35DAA"/>
    <w:rsid w:val="08D37B58"/>
    <w:rsid w:val="08D631A4"/>
    <w:rsid w:val="08E04023"/>
    <w:rsid w:val="08EE7BDA"/>
    <w:rsid w:val="08F23116"/>
    <w:rsid w:val="08F24482"/>
    <w:rsid w:val="08FA3336"/>
    <w:rsid w:val="08FA6E92"/>
    <w:rsid w:val="09093C92"/>
    <w:rsid w:val="090E6DE2"/>
    <w:rsid w:val="091837BC"/>
    <w:rsid w:val="091A6AE6"/>
    <w:rsid w:val="091D0DD3"/>
    <w:rsid w:val="09287EA3"/>
    <w:rsid w:val="092C769C"/>
    <w:rsid w:val="092E5190"/>
    <w:rsid w:val="093A3733"/>
    <w:rsid w:val="093F583C"/>
    <w:rsid w:val="094840A2"/>
    <w:rsid w:val="094C3466"/>
    <w:rsid w:val="095073FA"/>
    <w:rsid w:val="09532A47"/>
    <w:rsid w:val="09535A1B"/>
    <w:rsid w:val="095B73E3"/>
    <w:rsid w:val="0963712E"/>
    <w:rsid w:val="09644C54"/>
    <w:rsid w:val="09646A02"/>
    <w:rsid w:val="09652EA6"/>
    <w:rsid w:val="096B5FE2"/>
    <w:rsid w:val="096F5AD2"/>
    <w:rsid w:val="096F639D"/>
    <w:rsid w:val="097F55EA"/>
    <w:rsid w:val="098470A4"/>
    <w:rsid w:val="098B21E0"/>
    <w:rsid w:val="098B3F8E"/>
    <w:rsid w:val="09945539"/>
    <w:rsid w:val="099512B1"/>
    <w:rsid w:val="099A6D5B"/>
    <w:rsid w:val="099F7A3A"/>
    <w:rsid w:val="09AA4D5C"/>
    <w:rsid w:val="09AD65FB"/>
    <w:rsid w:val="09B23C11"/>
    <w:rsid w:val="09BA51F2"/>
    <w:rsid w:val="09BB0D18"/>
    <w:rsid w:val="09C82DE9"/>
    <w:rsid w:val="09C851E3"/>
    <w:rsid w:val="09CB6A81"/>
    <w:rsid w:val="09CD45A7"/>
    <w:rsid w:val="09DA6CC4"/>
    <w:rsid w:val="09DB3168"/>
    <w:rsid w:val="09DE4A06"/>
    <w:rsid w:val="09E0077E"/>
    <w:rsid w:val="09E33DCA"/>
    <w:rsid w:val="09E638BB"/>
    <w:rsid w:val="09F204B1"/>
    <w:rsid w:val="09FE0C04"/>
    <w:rsid w:val="0A075D0B"/>
    <w:rsid w:val="0A0B50CF"/>
    <w:rsid w:val="0A0E39F9"/>
    <w:rsid w:val="0A0F274B"/>
    <w:rsid w:val="0A200B7B"/>
    <w:rsid w:val="0A2A7C4B"/>
    <w:rsid w:val="0A3E54A5"/>
    <w:rsid w:val="0A4A3E4A"/>
    <w:rsid w:val="0A4F76B2"/>
    <w:rsid w:val="0A634F0B"/>
    <w:rsid w:val="0A650C83"/>
    <w:rsid w:val="0A6932D7"/>
    <w:rsid w:val="0A6F565E"/>
    <w:rsid w:val="0A782765"/>
    <w:rsid w:val="0A7964DD"/>
    <w:rsid w:val="0A7D5788"/>
    <w:rsid w:val="0A7F7F97"/>
    <w:rsid w:val="0A821835"/>
    <w:rsid w:val="0A84208E"/>
    <w:rsid w:val="0A9F4195"/>
    <w:rsid w:val="0AA479FE"/>
    <w:rsid w:val="0AA55524"/>
    <w:rsid w:val="0AAB206E"/>
    <w:rsid w:val="0AAF1EFF"/>
    <w:rsid w:val="0AB44745"/>
    <w:rsid w:val="0AB55CF1"/>
    <w:rsid w:val="0AC230F3"/>
    <w:rsid w:val="0AC43BFC"/>
    <w:rsid w:val="0ACA0AE6"/>
    <w:rsid w:val="0ACB4F8A"/>
    <w:rsid w:val="0ACC0D02"/>
    <w:rsid w:val="0ACF0E24"/>
    <w:rsid w:val="0ADE581B"/>
    <w:rsid w:val="0AE641C2"/>
    <w:rsid w:val="0AF3628F"/>
    <w:rsid w:val="0AF53184"/>
    <w:rsid w:val="0AF65D7F"/>
    <w:rsid w:val="0AF85654"/>
    <w:rsid w:val="0AFD2C6A"/>
    <w:rsid w:val="0B024724"/>
    <w:rsid w:val="0B071D3B"/>
    <w:rsid w:val="0B097861"/>
    <w:rsid w:val="0B112BB9"/>
    <w:rsid w:val="0B1526A9"/>
    <w:rsid w:val="0B204BAA"/>
    <w:rsid w:val="0B266665"/>
    <w:rsid w:val="0B291CB1"/>
    <w:rsid w:val="0B297F03"/>
    <w:rsid w:val="0B3806D8"/>
    <w:rsid w:val="0B470389"/>
    <w:rsid w:val="0B4B540D"/>
    <w:rsid w:val="0B4E7969"/>
    <w:rsid w:val="0B5A630E"/>
    <w:rsid w:val="0B662F05"/>
    <w:rsid w:val="0B6902FF"/>
    <w:rsid w:val="0B6947A3"/>
    <w:rsid w:val="0B6C5E87"/>
    <w:rsid w:val="0B6C7DF0"/>
    <w:rsid w:val="0B7231CF"/>
    <w:rsid w:val="0B8615FF"/>
    <w:rsid w:val="0B903ADE"/>
    <w:rsid w:val="0B925AA8"/>
    <w:rsid w:val="0B957346"/>
    <w:rsid w:val="0B9730BE"/>
    <w:rsid w:val="0B9A670B"/>
    <w:rsid w:val="0B9C3825"/>
    <w:rsid w:val="0BAB6B6A"/>
    <w:rsid w:val="0BB579E9"/>
    <w:rsid w:val="0BB91287"/>
    <w:rsid w:val="0BBC2E0F"/>
    <w:rsid w:val="0BC639A4"/>
    <w:rsid w:val="0BCB2C22"/>
    <w:rsid w:val="0BCF4786"/>
    <w:rsid w:val="0BD93D26"/>
    <w:rsid w:val="0BDB744F"/>
    <w:rsid w:val="0BDD66F1"/>
    <w:rsid w:val="0BDE0CED"/>
    <w:rsid w:val="0BE34556"/>
    <w:rsid w:val="0BE45BD8"/>
    <w:rsid w:val="0BE502CE"/>
    <w:rsid w:val="0BE91440"/>
    <w:rsid w:val="0BEE20FF"/>
    <w:rsid w:val="0BF30E45"/>
    <w:rsid w:val="0BF30FFB"/>
    <w:rsid w:val="0BF62F1D"/>
    <w:rsid w:val="0BFB189F"/>
    <w:rsid w:val="0BFE313E"/>
    <w:rsid w:val="0C040028"/>
    <w:rsid w:val="0C063DA0"/>
    <w:rsid w:val="0C083FBC"/>
    <w:rsid w:val="0C085D6A"/>
    <w:rsid w:val="0C0B585A"/>
    <w:rsid w:val="0C0F70F9"/>
    <w:rsid w:val="0C1110C3"/>
    <w:rsid w:val="0C1E558E"/>
    <w:rsid w:val="0C2801BA"/>
    <w:rsid w:val="0C2F32F7"/>
    <w:rsid w:val="0C3116D0"/>
    <w:rsid w:val="0C3628D7"/>
    <w:rsid w:val="0C3703FE"/>
    <w:rsid w:val="0C3D42B5"/>
    <w:rsid w:val="0C4274CE"/>
    <w:rsid w:val="0C472941"/>
    <w:rsid w:val="0C4C20FB"/>
    <w:rsid w:val="0C523489"/>
    <w:rsid w:val="0C526FE5"/>
    <w:rsid w:val="0C580AA0"/>
    <w:rsid w:val="0C5B40EC"/>
    <w:rsid w:val="0C6805B7"/>
    <w:rsid w:val="0C6C00A7"/>
    <w:rsid w:val="0C714607"/>
    <w:rsid w:val="0C7358DA"/>
    <w:rsid w:val="0C803B53"/>
    <w:rsid w:val="0C833643"/>
    <w:rsid w:val="0C8C24F7"/>
    <w:rsid w:val="0C8F1FE8"/>
    <w:rsid w:val="0C9475FE"/>
    <w:rsid w:val="0CA05FA3"/>
    <w:rsid w:val="0CA47203"/>
    <w:rsid w:val="0CA57A5D"/>
    <w:rsid w:val="0CB57039"/>
    <w:rsid w:val="0CB97065"/>
    <w:rsid w:val="0CBE0C19"/>
    <w:rsid w:val="0CCA74C4"/>
    <w:rsid w:val="0CCC323C"/>
    <w:rsid w:val="0CD345CA"/>
    <w:rsid w:val="0CD67C16"/>
    <w:rsid w:val="0CDB522D"/>
    <w:rsid w:val="0CE20369"/>
    <w:rsid w:val="0CE47DF1"/>
    <w:rsid w:val="0CEF17A8"/>
    <w:rsid w:val="0CF4009D"/>
    <w:rsid w:val="0CF5561A"/>
    <w:rsid w:val="0CF62067"/>
    <w:rsid w:val="0D0429D6"/>
    <w:rsid w:val="0D136775"/>
    <w:rsid w:val="0D18022F"/>
    <w:rsid w:val="0D1A5D55"/>
    <w:rsid w:val="0D205DEA"/>
    <w:rsid w:val="0D2941EA"/>
    <w:rsid w:val="0D2B7F62"/>
    <w:rsid w:val="0D2D6A5E"/>
    <w:rsid w:val="0D2F6C3B"/>
    <w:rsid w:val="0D352B8F"/>
    <w:rsid w:val="0D3606B5"/>
    <w:rsid w:val="0D3A63F7"/>
    <w:rsid w:val="0D3C216F"/>
    <w:rsid w:val="0D417786"/>
    <w:rsid w:val="0D42705A"/>
    <w:rsid w:val="0D441024"/>
    <w:rsid w:val="0D444B80"/>
    <w:rsid w:val="0D447276"/>
    <w:rsid w:val="0D4508F8"/>
    <w:rsid w:val="0D4C7ED9"/>
    <w:rsid w:val="0D584ACF"/>
    <w:rsid w:val="0D5D3E94"/>
    <w:rsid w:val="0D643474"/>
    <w:rsid w:val="0D681BF8"/>
    <w:rsid w:val="0D7336B7"/>
    <w:rsid w:val="0D780CCE"/>
    <w:rsid w:val="0D837D9E"/>
    <w:rsid w:val="0D847672"/>
    <w:rsid w:val="0D95362E"/>
    <w:rsid w:val="0DA815B3"/>
    <w:rsid w:val="0DB31D06"/>
    <w:rsid w:val="0DBC505E"/>
    <w:rsid w:val="0DBF06AB"/>
    <w:rsid w:val="0DBF4B4E"/>
    <w:rsid w:val="0DCB34F3"/>
    <w:rsid w:val="0DD34156"/>
    <w:rsid w:val="0DD73C46"/>
    <w:rsid w:val="0DDA1988"/>
    <w:rsid w:val="0DDA7292"/>
    <w:rsid w:val="0DE10621"/>
    <w:rsid w:val="0DEA1BCB"/>
    <w:rsid w:val="0DED346A"/>
    <w:rsid w:val="0DFC18FF"/>
    <w:rsid w:val="0DFF319D"/>
    <w:rsid w:val="0E032C8D"/>
    <w:rsid w:val="0E0802A4"/>
    <w:rsid w:val="0E082052"/>
    <w:rsid w:val="0E0D1416"/>
    <w:rsid w:val="0E0F33E0"/>
    <w:rsid w:val="0E100F06"/>
    <w:rsid w:val="0E124C7E"/>
    <w:rsid w:val="0E1C42D0"/>
    <w:rsid w:val="0E26697C"/>
    <w:rsid w:val="0E2A021A"/>
    <w:rsid w:val="0E2B5D40"/>
    <w:rsid w:val="0E2F75DE"/>
    <w:rsid w:val="0E323572"/>
    <w:rsid w:val="0E3726B7"/>
    <w:rsid w:val="0E39220B"/>
    <w:rsid w:val="0E3E3CC5"/>
    <w:rsid w:val="0E4B1F3E"/>
    <w:rsid w:val="0E4F0837"/>
    <w:rsid w:val="0E56100F"/>
    <w:rsid w:val="0E6059EA"/>
    <w:rsid w:val="0E6D3E28"/>
    <w:rsid w:val="0E8611C8"/>
    <w:rsid w:val="0E8D69FB"/>
    <w:rsid w:val="0E9733D5"/>
    <w:rsid w:val="0E9824E1"/>
    <w:rsid w:val="0E990EFC"/>
    <w:rsid w:val="0E9953A0"/>
    <w:rsid w:val="0E99714E"/>
    <w:rsid w:val="0E9B2EC6"/>
    <w:rsid w:val="0E9C279A"/>
    <w:rsid w:val="0EAF071F"/>
    <w:rsid w:val="0EB67D00"/>
    <w:rsid w:val="0EBD5965"/>
    <w:rsid w:val="0EBE6BB4"/>
    <w:rsid w:val="0EC266A4"/>
    <w:rsid w:val="0EC3241C"/>
    <w:rsid w:val="0EC51CF1"/>
    <w:rsid w:val="0EC75A69"/>
    <w:rsid w:val="0EC817E1"/>
    <w:rsid w:val="0ECA5559"/>
    <w:rsid w:val="0ED46221"/>
    <w:rsid w:val="0ED604C7"/>
    <w:rsid w:val="0ED62150"/>
    <w:rsid w:val="0ED71A24"/>
    <w:rsid w:val="0ED87C76"/>
    <w:rsid w:val="0ED939EE"/>
    <w:rsid w:val="0EE951FC"/>
    <w:rsid w:val="0EEC54CF"/>
    <w:rsid w:val="0EED500D"/>
    <w:rsid w:val="0EEE56EB"/>
    <w:rsid w:val="0EF34AB0"/>
    <w:rsid w:val="0EFB3964"/>
    <w:rsid w:val="0EFB3FB4"/>
    <w:rsid w:val="0EFE3455"/>
    <w:rsid w:val="0EFE5203"/>
    <w:rsid w:val="0F12006E"/>
    <w:rsid w:val="0F156D89"/>
    <w:rsid w:val="0F2033CB"/>
    <w:rsid w:val="0F256C33"/>
    <w:rsid w:val="0F264E85"/>
    <w:rsid w:val="0F294770"/>
    <w:rsid w:val="0F2B249C"/>
    <w:rsid w:val="0F3B1FB3"/>
    <w:rsid w:val="0F3D3AB4"/>
    <w:rsid w:val="0F3D5D2B"/>
    <w:rsid w:val="0F421593"/>
    <w:rsid w:val="0F492922"/>
    <w:rsid w:val="0F501F02"/>
    <w:rsid w:val="0F54564B"/>
    <w:rsid w:val="0F557518"/>
    <w:rsid w:val="0F580DB7"/>
    <w:rsid w:val="0F587009"/>
    <w:rsid w:val="0F5B4403"/>
    <w:rsid w:val="0F5C3DDD"/>
    <w:rsid w:val="0F655282"/>
    <w:rsid w:val="0F694D72"/>
    <w:rsid w:val="0F6D231F"/>
    <w:rsid w:val="0F704352"/>
    <w:rsid w:val="0F711E78"/>
    <w:rsid w:val="0F722315"/>
    <w:rsid w:val="0F786D63"/>
    <w:rsid w:val="0F7A0D2D"/>
    <w:rsid w:val="0F8120BC"/>
    <w:rsid w:val="0F824086"/>
    <w:rsid w:val="0F865924"/>
    <w:rsid w:val="0F8A6A96"/>
    <w:rsid w:val="0F9C5147"/>
    <w:rsid w:val="0FA11FFA"/>
    <w:rsid w:val="0FAD1102"/>
    <w:rsid w:val="0FB81855"/>
    <w:rsid w:val="0FCF749D"/>
    <w:rsid w:val="0FD146C5"/>
    <w:rsid w:val="0FD541B5"/>
    <w:rsid w:val="0FDD306A"/>
    <w:rsid w:val="0FE34B24"/>
    <w:rsid w:val="0FE62385"/>
    <w:rsid w:val="0FE91A0F"/>
    <w:rsid w:val="0FEE6083"/>
    <w:rsid w:val="0FF02D9D"/>
    <w:rsid w:val="0FF30ADF"/>
    <w:rsid w:val="0FFB63F9"/>
    <w:rsid w:val="0FFD54BA"/>
    <w:rsid w:val="10086339"/>
    <w:rsid w:val="100B407B"/>
    <w:rsid w:val="10172A20"/>
    <w:rsid w:val="101C0036"/>
    <w:rsid w:val="10234F21"/>
    <w:rsid w:val="10240C99"/>
    <w:rsid w:val="10284C2D"/>
    <w:rsid w:val="102E1B18"/>
    <w:rsid w:val="102E38C6"/>
    <w:rsid w:val="10321608"/>
    <w:rsid w:val="103435D2"/>
    <w:rsid w:val="10394D94"/>
    <w:rsid w:val="104D6442"/>
    <w:rsid w:val="10515172"/>
    <w:rsid w:val="105226EC"/>
    <w:rsid w:val="105253A5"/>
    <w:rsid w:val="1053332C"/>
    <w:rsid w:val="10563548"/>
    <w:rsid w:val="10572E1C"/>
    <w:rsid w:val="105A0963"/>
    <w:rsid w:val="105E23FD"/>
    <w:rsid w:val="10757746"/>
    <w:rsid w:val="10790FE5"/>
    <w:rsid w:val="10797237"/>
    <w:rsid w:val="107C0AD5"/>
    <w:rsid w:val="10855BDB"/>
    <w:rsid w:val="108E1976"/>
    <w:rsid w:val="108F6A5A"/>
    <w:rsid w:val="1090632E"/>
    <w:rsid w:val="109127D2"/>
    <w:rsid w:val="109220A6"/>
    <w:rsid w:val="10923E54"/>
    <w:rsid w:val="109B53FF"/>
    <w:rsid w:val="10A02A15"/>
    <w:rsid w:val="10A1053B"/>
    <w:rsid w:val="10A10E9D"/>
    <w:rsid w:val="10A120A4"/>
    <w:rsid w:val="10A122E9"/>
    <w:rsid w:val="10A5002C"/>
    <w:rsid w:val="10B77D5F"/>
    <w:rsid w:val="10BE733F"/>
    <w:rsid w:val="10BF2F96"/>
    <w:rsid w:val="10C201D6"/>
    <w:rsid w:val="10C81F6C"/>
    <w:rsid w:val="10CB5550"/>
    <w:rsid w:val="10D12BCF"/>
    <w:rsid w:val="10DA37F4"/>
    <w:rsid w:val="10E24DDC"/>
    <w:rsid w:val="10E8616A"/>
    <w:rsid w:val="10F13271"/>
    <w:rsid w:val="10FC5772"/>
    <w:rsid w:val="10FD7E68"/>
    <w:rsid w:val="11072A94"/>
    <w:rsid w:val="110A7E8F"/>
    <w:rsid w:val="110C3C07"/>
    <w:rsid w:val="110F1949"/>
    <w:rsid w:val="111778DA"/>
    <w:rsid w:val="11177B40"/>
    <w:rsid w:val="112A22DF"/>
    <w:rsid w:val="112C42A9"/>
    <w:rsid w:val="112F3D99"/>
    <w:rsid w:val="11357601"/>
    <w:rsid w:val="113B0990"/>
    <w:rsid w:val="113B273E"/>
    <w:rsid w:val="11401B02"/>
    <w:rsid w:val="11447845"/>
    <w:rsid w:val="115563A0"/>
    <w:rsid w:val="115F467E"/>
    <w:rsid w:val="116457F1"/>
    <w:rsid w:val="1175370D"/>
    <w:rsid w:val="1175598A"/>
    <w:rsid w:val="11755C50"/>
    <w:rsid w:val="1178129C"/>
    <w:rsid w:val="117B0D8C"/>
    <w:rsid w:val="117D33E9"/>
    <w:rsid w:val="118063A3"/>
    <w:rsid w:val="11877731"/>
    <w:rsid w:val="118916FB"/>
    <w:rsid w:val="118B7221"/>
    <w:rsid w:val="118E6D12"/>
    <w:rsid w:val="118F65E6"/>
    <w:rsid w:val="11910609"/>
    <w:rsid w:val="119957B1"/>
    <w:rsid w:val="11A6405B"/>
    <w:rsid w:val="11A93B4C"/>
    <w:rsid w:val="11AB78C4"/>
    <w:rsid w:val="11AD6919"/>
    <w:rsid w:val="11B06C88"/>
    <w:rsid w:val="11B30526"/>
    <w:rsid w:val="11B36778"/>
    <w:rsid w:val="11BB73DB"/>
    <w:rsid w:val="11BD1BAD"/>
    <w:rsid w:val="11C52912"/>
    <w:rsid w:val="11C97D4A"/>
    <w:rsid w:val="11CC783A"/>
    <w:rsid w:val="11D5049D"/>
    <w:rsid w:val="11DC20E9"/>
    <w:rsid w:val="11DD37F5"/>
    <w:rsid w:val="11E04312"/>
    <w:rsid w:val="11E626AA"/>
    <w:rsid w:val="11E9219A"/>
    <w:rsid w:val="11E95829"/>
    <w:rsid w:val="11F34DC7"/>
    <w:rsid w:val="11F50B3F"/>
    <w:rsid w:val="11F528ED"/>
    <w:rsid w:val="11F8418B"/>
    <w:rsid w:val="11FD79F3"/>
    <w:rsid w:val="11FF376C"/>
    <w:rsid w:val="12107727"/>
    <w:rsid w:val="12137217"/>
    <w:rsid w:val="12176D07"/>
    <w:rsid w:val="121E0096"/>
    <w:rsid w:val="122136E2"/>
    <w:rsid w:val="12217B86"/>
    <w:rsid w:val="122338FE"/>
    <w:rsid w:val="12274A70"/>
    <w:rsid w:val="12323B41"/>
    <w:rsid w:val="1232769D"/>
    <w:rsid w:val="12371157"/>
    <w:rsid w:val="12374CB3"/>
    <w:rsid w:val="12413D84"/>
    <w:rsid w:val="125910CE"/>
    <w:rsid w:val="125C0BBE"/>
    <w:rsid w:val="12647A72"/>
    <w:rsid w:val="12652DEB"/>
    <w:rsid w:val="126D4B79"/>
    <w:rsid w:val="1272218F"/>
    <w:rsid w:val="127759F8"/>
    <w:rsid w:val="1279351E"/>
    <w:rsid w:val="12837EF9"/>
    <w:rsid w:val="128819B3"/>
    <w:rsid w:val="12883761"/>
    <w:rsid w:val="12887C05"/>
    <w:rsid w:val="12942755"/>
    <w:rsid w:val="12977E48"/>
    <w:rsid w:val="129F0AAB"/>
    <w:rsid w:val="12A10CC7"/>
    <w:rsid w:val="12A32349"/>
    <w:rsid w:val="12AA0384"/>
    <w:rsid w:val="12AF5192"/>
    <w:rsid w:val="12B10F0A"/>
    <w:rsid w:val="12B24C82"/>
    <w:rsid w:val="12B26A30"/>
    <w:rsid w:val="12B471BD"/>
    <w:rsid w:val="12BB58E4"/>
    <w:rsid w:val="12C56763"/>
    <w:rsid w:val="12CA5B28"/>
    <w:rsid w:val="12CF1390"/>
    <w:rsid w:val="12D375B3"/>
    <w:rsid w:val="12D6271E"/>
    <w:rsid w:val="12DA3FF8"/>
    <w:rsid w:val="12E070F9"/>
    <w:rsid w:val="12E3308D"/>
    <w:rsid w:val="12E7492B"/>
    <w:rsid w:val="12F42BA4"/>
    <w:rsid w:val="12F62DC0"/>
    <w:rsid w:val="12F63DBA"/>
    <w:rsid w:val="12F901BB"/>
    <w:rsid w:val="12FB03D7"/>
    <w:rsid w:val="130D1A6F"/>
    <w:rsid w:val="130F5C30"/>
    <w:rsid w:val="1312127D"/>
    <w:rsid w:val="13165211"/>
    <w:rsid w:val="131D659F"/>
    <w:rsid w:val="132A0CBC"/>
    <w:rsid w:val="132E255A"/>
    <w:rsid w:val="133438E9"/>
    <w:rsid w:val="13385187"/>
    <w:rsid w:val="135B36C0"/>
    <w:rsid w:val="135D4BEE"/>
    <w:rsid w:val="135F0966"/>
    <w:rsid w:val="136A2E67"/>
    <w:rsid w:val="136E0BA9"/>
    <w:rsid w:val="13710699"/>
    <w:rsid w:val="137141F5"/>
    <w:rsid w:val="137B2AD9"/>
    <w:rsid w:val="137B32C6"/>
    <w:rsid w:val="137F4B64"/>
    <w:rsid w:val="1384217A"/>
    <w:rsid w:val="138E2FF9"/>
    <w:rsid w:val="13912AE9"/>
    <w:rsid w:val="13936861"/>
    <w:rsid w:val="139525D9"/>
    <w:rsid w:val="13963C5C"/>
    <w:rsid w:val="13992F0A"/>
    <w:rsid w:val="139B0DEE"/>
    <w:rsid w:val="139B3968"/>
    <w:rsid w:val="13A02D2C"/>
    <w:rsid w:val="13A92869"/>
    <w:rsid w:val="13A97E33"/>
    <w:rsid w:val="13AB3BAB"/>
    <w:rsid w:val="13AE369B"/>
    <w:rsid w:val="13B32A60"/>
    <w:rsid w:val="13B63B73"/>
    <w:rsid w:val="13BB1914"/>
    <w:rsid w:val="13C407C9"/>
    <w:rsid w:val="13C46A1B"/>
    <w:rsid w:val="13CC58CF"/>
    <w:rsid w:val="13D50C28"/>
    <w:rsid w:val="13DD7ADC"/>
    <w:rsid w:val="13E40E6B"/>
    <w:rsid w:val="13EB3FA7"/>
    <w:rsid w:val="13F13588"/>
    <w:rsid w:val="13F53078"/>
    <w:rsid w:val="13FA068E"/>
    <w:rsid w:val="14072DAB"/>
    <w:rsid w:val="14092680"/>
    <w:rsid w:val="140B464A"/>
    <w:rsid w:val="141259D8"/>
    <w:rsid w:val="14157276"/>
    <w:rsid w:val="14164D9C"/>
    <w:rsid w:val="1424570B"/>
    <w:rsid w:val="143A0A8B"/>
    <w:rsid w:val="143F60A1"/>
    <w:rsid w:val="14423DE3"/>
    <w:rsid w:val="144638D4"/>
    <w:rsid w:val="144E09DA"/>
    <w:rsid w:val="14530591"/>
    <w:rsid w:val="14531B4D"/>
    <w:rsid w:val="14553B17"/>
    <w:rsid w:val="145853B5"/>
    <w:rsid w:val="145C6C53"/>
    <w:rsid w:val="14641FAC"/>
    <w:rsid w:val="14694157"/>
    <w:rsid w:val="146F2E2A"/>
    <w:rsid w:val="14726AC6"/>
    <w:rsid w:val="147C72F5"/>
    <w:rsid w:val="14883EEC"/>
    <w:rsid w:val="148D1503"/>
    <w:rsid w:val="148D32B1"/>
    <w:rsid w:val="14902DA1"/>
    <w:rsid w:val="149363ED"/>
    <w:rsid w:val="14975EDD"/>
    <w:rsid w:val="149E54BE"/>
    <w:rsid w:val="14A01236"/>
    <w:rsid w:val="14A10028"/>
    <w:rsid w:val="14A95C11"/>
    <w:rsid w:val="14AE3227"/>
    <w:rsid w:val="14AF514A"/>
    <w:rsid w:val="14B255A7"/>
    <w:rsid w:val="14BA7E1E"/>
    <w:rsid w:val="14C238EF"/>
    <w:rsid w:val="14C36CD2"/>
    <w:rsid w:val="14CB3DD9"/>
    <w:rsid w:val="14D25715"/>
    <w:rsid w:val="14D507B4"/>
    <w:rsid w:val="14D902A4"/>
    <w:rsid w:val="14D964F6"/>
    <w:rsid w:val="14DE1D5E"/>
    <w:rsid w:val="14DE5FC6"/>
    <w:rsid w:val="14DF5063"/>
    <w:rsid w:val="14E07884"/>
    <w:rsid w:val="14E153AA"/>
    <w:rsid w:val="14E50530"/>
    <w:rsid w:val="14EF5D19"/>
    <w:rsid w:val="14F50E56"/>
    <w:rsid w:val="14F74BCE"/>
    <w:rsid w:val="14FB2C15"/>
    <w:rsid w:val="14FC0436"/>
    <w:rsid w:val="150177FB"/>
    <w:rsid w:val="15035C84"/>
    <w:rsid w:val="150712B5"/>
    <w:rsid w:val="150B2427"/>
    <w:rsid w:val="150F3AF8"/>
    <w:rsid w:val="151412DC"/>
    <w:rsid w:val="151B6B0E"/>
    <w:rsid w:val="151E65FF"/>
    <w:rsid w:val="152534E9"/>
    <w:rsid w:val="1525798D"/>
    <w:rsid w:val="152F028D"/>
    <w:rsid w:val="15316332"/>
    <w:rsid w:val="15347BD0"/>
    <w:rsid w:val="153C0833"/>
    <w:rsid w:val="154A11A2"/>
    <w:rsid w:val="154A2F50"/>
    <w:rsid w:val="154C316C"/>
    <w:rsid w:val="154F0566"/>
    <w:rsid w:val="155362A8"/>
    <w:rsid w:val="15597637"/>
    <w:rsid w:val="155B3EC5"/>
    <w:rsid w:val="155B6F0B"/>
    <w:rsid w:val="156222A6"/>
    <w:rsid w:val="15653784"/>
    <w:rsid w:val="15671D54"/>
    <w:rsid w:val="1571672E"/>
    <w:rsid w:val="15763D45"/>
    <w:rsid w:val="15783F61"/>
    <w:rsid w:val="15793835"/>
    <w:rsid w:val="158521DA"/>
    <w:rsid w:val="158A77F0"/>
    <w:rsid w:val="158C3568"/>
    <w:rsid w:val="15966195"/>
    <w:rsid w:val="159B7C4F"/>
    <w:rsid w:val="15A44D56"/>
    <w:rsid w:val="15B036FB"/>
    <w:rsid w:val="15B66837"/>
    <w:rsid w:val="15C2342E"/>
    <w:rsid w:val="15C34AB0"/>
    <w:rsid w:val="15DD4413"/>
    <w:rsid w:val="15E2587E"/>
    <w:rsid w:val="15E6711C"/>
    <w:rsid w:val="15EA64E1"/>
    <w:rsid w:val="15EB1699"/>
    <w:rsid w:val="15EB4733"/>
    <w:rsid w:val="15EC2259"/>
    <w:rsid w:val="15EF3692"/>
    <w:rsid w:val="15F232AA"/>
    <w:rsid w:val="15F335E7"/>
    <w:rsid w:val="15F80BFE"/>
    <w:rsid w:val="16135A37"/>
    <w:rsid w:val="161C272A"/>
    <w:rsid w:val="16351E52"/>
    <w:rsid w:val="163836F0"/>
    <w:rsid w:val="16396D16"/>
    <w:rsid w:val="163A2FC4"/>
    <w:rsid w:val="163D4862"/>
    <w:rsid w:val="163F05DA"/>
    <w:rsid w:val="16465E0D"/>
    <w:rsid w:val="165027E8"/>
    <w:rsid w:val="16571DC8"/>
    <w:rsid w:val="165A3666"/>
    <w:rsid w:val="165D2399"/>
    <w:rsid w:val="1666025D"/>
    <w:rsid w:val="166B4507"/>
    <w:rsid w:val="166E4BC9"/>
    <w:rsid w:val="16777D74"/>
    <w:rsid w:val="168129A1"/>
    <w:rsid w:val="16872E8C"/>
    <w:rsid w:val="16873D30"/>
    <w:rsid w:val="168D7598"/>
    <w:rsid w:val="168E50BE"/>
    <w:rsid w:val="16907088"/>
    <w:rsid w:val="16AB1E30"/>
    <w:rsid w:val="16BA2357"/>
    <w:rsid w:val="16BF26BE"/>
    <w:rsid w:val="16CA07EC"/>
    <w:rsid w:val="16D056D6"/>
    <w:rsid w:val="16D36F75"/>
    <w:rsid w:val="16E11692"/>
    <w:rsid w:val="16E474CE"/>
    <w:rsid w:val="16E55626"/>
    <w:rsid w:val="16EA1853"/>
    <w:rsid w:val="16EE1BB5"/>
    <w:rsid w:val="16F75359"/>
    <w:rsid w:val="16F77107"/>
    <w:rsid w:val="17051824"/>
    <w:rsid w:val="170F4451"/>
    <w:rsid w:val="171E28E6"/>
    <w:rsid w:val="17245C02"/>
    <w:rsid w:val="172B0B5F"/>
    <w:rsid w:val="172B6DB1"/>
    <w:rsid w:val="173503D8"/>
    <w:rsid w:val="173C2D6C"/>
    <w:rsid w:val="17410382"/>
    <w:rsid w:val="174658D3"/>
    <w:rsid w:val="17485BB5"/>
    <w:rsid w:val="174F0CF1"/>
    <w:rsid w:val="175005C5"/>
    <w:rsid w:val="1752258F"/>
    <w:rsid w:val="1752433D"/>
    <w:rsid w:val="17577BA6"/>
    <w:rsid w:val="176A5B2B"/>
    <w:rsid w:val="1774333A"/>
    <w:rsid w:val="17766CFB"/>
    <w:rsid w:val="17824C23"/>
    <w:rsid w:val="178A7F7B"/>
    <w:rsid w:val="1796247C"/>
    <w:rsid w:val="17AC1CA0"/>
    <w:rsid w:val="17B15508"/>
    <w:rsid w:val="17B51F36"/>
    <w:rsid w:val="17BB0135"/>
    <w:rsid w:val="17BD20FF"/>
    <w:rsid w:val="17C27715"/>
    <w:rsid w:val="17D42FA4"/>
    <w:rsid w:val="17D47448"/>
    <w:rsid w:val="17D82A95"/>
    <w:rsid w:val="17DB07D7"/>
    <w:rsid w:val="17DD00AB"/>
    <w:rsid w:val="17DD62FD"/>
    <w:rsid w:val="17DF02C7"/>
    <w:rsid w:val="17E256C1"/>
    <w:rsid w:val="17EF6030"/>
    <w:rsid w:val="17F45DE6"/>
    <w:rsid w:val="17FF44C5"/>
    <w:rsid w:val="1800023D"/>
    <w:rsid w:val="18025D64"/>
    <w:rsid w:val="18057602"/>
    <w:rsid w:val="18075128"/>
    <w:rsid w:val="1816180F"/>
    <w:rsid w:val="181B5077"/>
    <w:rsid w:val="181D494B"/>
    <w:rsid w:val="182C2DE0"/>
    <w:rsid w:val="18316649"/>
    <w:rsid w:val="183D0B4A"/>
    <w:rsid w:val="1844012A"/>
    <w:rsid w:val="185540E5"/>
    <w:rsid w:val="185760AF"/>
    <w:rsid w:val="185D44C4"/>
    <w:rsid w:val="185F31B6"/>
    <w:rsid w:val="18616F2E"/>
    <w:rsid w:val="186C142F"/>
    <w:rsid w:val="18702CCD"/>
    <w:rsid w:val="18730A0F"/>
    <w:rsid w:val="187A1D9E"/>
    <w:rsid w:val="1881137E"/>
    <w:rsid w:val="18814EDA"/>
    <w:rsid w:val="18842C1C"/>
    <w:rsid w:val="188E3A9B"/>
    <w:rsid w:val="18905EAE"/>
    <w:rsid w:val="189270E7"/>
    <w:rsid w:val="18954E2A"/>
    <w:rsid w:val="189664AC"/>
    <w:rsid w:val="18980476"/>
    <w:rsid w:val="189866C8"/>
    <w:rsid w:val="189A5F9C"/>
    <w:rsid w:val="18A46E1B"/>
    <w:rsid w:val="18A60DE5"/>
    <w:rsid w:val="18A922AD"/>
    <w:rsid w:val="18A94431"/>
    <w:rsid w:val="18AB01A9"/>
    <w:rsid w:val="18AD3F21"/>
    <w:rsid w:val="18AE1A47"/>
    <w:rsid w:val="18B31B6D"/>
    <w:rsid w:val="18B84674"/>
    <w:rsid w:val="18D47700"/>
    <w:rsid w:val="18D94D16"/>
    <w:rsid w:val="18E41886"/>
    <w:rsid w:val="18E558E7"/>
    <w:rsid w:val="18E831AB"/>
    <w:rsid w:val="18F2402A"/>
    <w:rsid w:val="18F27B86"/>
    <w:rsid w:val="18FA2EDF"/>
    <w:rsid w:val="18FC0A05"/>
    <w:rsid w:val="190173A5"/>
    <w:rsid w:val="19094ED0"/>
    <w:rsid w:val="190A3122"/>
    <w:rsid w:val="190B2D72"/>
    <w:rsid w:val="190B6E9A"/>
    <w:rsid w:val="190C0A92"/>
    <w:rsid w:val="19102702"/>
    <w:rsid w:val="192A37C4"/>
    <w:rsid w:val="192C54AB"/>
    <w:rsid w:val="192F4936"/>
    <w:rsid w:val="194859F8"/>
    <w:rsid w:val="194A6E65"/>
    <w:rsid w:val="194D74B2"/>
    <w:rsid w:val="19510D51"/>
    <w:rsid w:val="19520625"/>
    <w:rsid w:val="19550115"/>
    <w:rsid w:val="196071E6"/>
    <w:rsid w:val="19632832"/>
    <w:rsid w:val="196B0D46"/>
    <w:rsid w:val="19706CFD"/>
    <w:rsid w:val="197E58BE"/>
    <w:rsid w:val="19866520"/>
    <w:rsid w:val="198D5B01"/>
    <w:rsid w:val="19962C07"/>
    <w:rsid w:val="199B1FCC"/>
    <w:rsid w:val="19AC242B"/>
    <w:rsid w:val="19AC2A10"/>
    <w:rsid w:val="19B117EF"/>
    <w:rsid w:val="19B66E06"/>
    <w:rsid w:val="19B72B7E"/>
    <w:rsid w:val="19BB08C0"/>
    <w:rsid w:val="19BF6247"/>
    <w:rsid w:val="19C5529B"/>
    <w:rsid w:val="19CA0B03"/>
    <w:rsid w:val="19D11004"/>
    <w:rsid w:val="19D11E91"/>
    <w:rsid w:val="19D83220"/>
    <w:rsid w:val="19DC3C64"/>
    <w:rsid w:val="19E020D4"/>
    <w:rsid w:val="19E10BA8"/>
    <w:rsid w:val="19E51499"/>
    <w:rsid w:val="19EC0A79"/>
    <w:rsid w:val="19F32565"/>
    <w:rsid w:val="19FB6F0E"/>
    <w:rsid w:val="1A004525"/>
    <w:rsid w:val="1A044015"/>
    <w:rsid w:val="1A085187"/>
    <w:rsid w:val="1A0F29BA"/>
    <w:rsid w:val="1A0F4768"/>
    <w:rsid w:val="1A1B4EBB"/>
    <w:rsid w:val="1A1D0C33"/>
    <w:rsid w:val="1A2226ED"/>
    <w:rsid w:val="1A271AB1"/>
    <w:rsid w:val="1A2975D8"/>
    <w:rsid w:val="1A2C356C"/>
    <w:rsid w:val="1A2E2E40"/>
    <w:rsid w:val="1A2E4BEE"/>
    <w:rsid w:val="1A4408B5"/>
    <w:rsid w:val="1A516B2E"/>
    <w:rsid w:val="1A587EBD"/>
    <w:rsid w:val="1A5B79AD"/>
    <w:rsid w:val="1A620D3B"/>
    <w:rsid w:val="1A6B5E42"/>
    <w:rsid w:val="1A6D1019"/>
    <w:rsid w:val="1A7647E7"/>
    <w:rsid w:val="1A7A7E33"/>
    <w:rsid w:val="1A7C336C"/>
    <w:rsid w:val="1A805D4E"/>
    <w:rsid w:val="1A815666"/>
    <w:rsid w:val="1A845156"/>
    <w:rsid w:val="1A935399"/>
    <w:rsid w:val="1A967104"/>
    <w:rsid w:val="1A9A7055"/>
    <w:rsid w:val="1AA03612"/>
    <w:rsid w:val="1AA167C8"/>
    <w:rsid w:val="1AB175CD"/>
    <w:rsid w:val="1ABC669E"/>
    <w:rsid w:val="1ABD4218"/>
    <w:rsid w:val="1ABD5CC3"/>
    <w:rsid w:val="1AC11F06"/>
    <w:rsid w:val="1AC76DF0"/>
    <w:rsid w:val="1AC94917"/>
    <w:rsid w:val="1AD82DAC"/>
    <w:rsid w:val="1ADD6614"/>
    <w:rsid w:val="1AE23C2A"/>
    <w:rsid w:val="1AE6371B"/>
    <w:rsid w:val="1AFF2A2E"/>
    <w:rsid w:val="1B010554"/>
    <w:rsid w:val="1B0818E3"/>
    <w:rsid w:val="1B0B3181"/>
    <w:rsid w:val="1B0D1ADC"/>
    <w:rsid w:val="1B0D6EF9"/>
    <w:rsid w:val="1B0E2C71"/>
    <w:rsid w:val="1B1453A9"/>
    <w:rsid w:val="1B1514CF"/>
    <w:rsid w:val="1B177D78"/>
    <w:rsid w:val="1B19589E"/>
    <w:rsid w:val="1B1A7868"/>
    <w:rsid w:val="1B2B55D1"/>
    <w:rsid w:val="1B2C7BC9"/>
    <w:rsid w:val="1B2E6E70"/>
    <w:rsid w:val="1B397CEE"/>
    <w:rsid w:val="1B3B40B6"/>
    <w:rsid w:val="1B3E70B3"/>
    <w:rsid w:val="1B41324C"/>
    <w:rsid w:val="1B4818AB"/>
    <w:rsid w:val="1B494662"/>
    <w:rsid w:val="1B495A57"/>
    <w:rsid w:val="1B520DB0"/>
    <w:rsid w:val="1B542D7A"/>
    <w:rsid w:val="1B5468D6"/>
    <w:rsid w:val="1B5543FC"/>
    <w:rsid w:val="1B5F527B"/>
    <w:rsid w:val="1B667E5F"/>
    <w:rsid w:val="1B716319"/>
    <w:rsid w:val="1B813A93"/>
    <w:rsid w:val="1B8371BB"/>
    <w:rsid w:val="1B8F3DB2"/>
    <w:rsid w:val="1B8F790E"/>
    <w:rsid w:val="1B9413C8"/>
    <w:rsid w:val="1B944F25"/>
    <w:rsid w:val="1B950C9D"/>
    <w:rsid w:val="1B9A62B3"/>
    <w:rsid w:val="1B9C64CF"/>
    <w:rsid w:val="1BA207AE"/>
    <w:rsid w:val="1BA42D88"/>
    <w:rsid w:val="1BA62EAA"/>
    <w:rsid w:val="1BA73870"/>
    <w:rsid w:val="1BAB0CA3"/>
    <w:rsid w:val="1BB27AA1"/>
    <w:rsid w:val="1BB455C7"/>
    <w:rsid w:val="1BB67591"/>
    <w:rsid w:val="1BB9498B"/>
    <w:rsid w:val="1BC17CE4"/>
    <w:rsid w:val="1BC31CAE"/>
    <w:rsid w:val="1BC51582"/>
    <w:rsid w:val="1BC81072"/>
    <w:rsid w:val="1BCA303C"/>
    <w:rsid w:val="1BE37C5A"/>
    <w:rsid w:val="1BE539D2"/>
    <w:rsid w:val="1BEA2D97"/>
    <w:rsid w:val="1BED0AD9"/>
    <w:rsid w:val="1BF63E31"/>
    <w:rsid w:val="1BF6798D"/>
    <w:rsid w:val="1BF70EAC"/>
    <w:rsid w:val="1C077DEC"/>
    <w:rsid w:val="1C0C5403"/>
    <w:rsid w:val="1C0F6CA1"/>
    <w:rsid w:val="1C183DA8"/>
    <w:rsid w:val="1C185B56"/>
    <w:rsid w:val="1C1918CE"/>
    <w:rsid w:val="1C1B73F4"/>
    <w:rsid w:val="1C202C5C"/>
    <w:rsid w:val="1C2A5889"/>
    <w:rsid w:val="1C454471"/>
    <w:rsid w:val="1C4A7CD9"/>
    <w:rsid w:val="1C4C57FF"/>
    <w:rsid w:val="1C5446B4"/>
    <w:rsid w:val="1C5F3784"/>
    <w:rsid w:val="1C6D02DA"/>
    <w:rsid w:val="1C80194D"/>
    <w:rsid w:val="1C821221"/>
    <w:rsid w:val="1C844F99"/>
    <w:rsid w:val="1C890801"/>
    <w:rsid w:val="1C896A53"/>
    <w:rsid w:val="1C8B27CB"/>
    <w:rsid w:val="1C8B457A"/>
    <w:rsid w:val="1C9D24FF"/>
    <w:rsid w:val="1C9D42AD"/>
    <w:rsid w:val="1CA13D9D"/>
    <w:rsid w:val="1CA473E9"/>
    <w:rsid w:val="1CA76EDA"/>
    <w:rsid w:val="1CAC629E"/>
    <w:rsid w:val="1CB55994"/>
    <w:rsid w:val="1CBA09BB"/>
    <w:rsid w:val="1CBF06C7"/>
    <w:rsid w:val="1CC23D13"/>
    <w:rsid w:val="1CC96E50"/>
    <w:rsid w:val="1CCB4B70"/>
    <w:rsid w:val="1CCC06EE"/>
    <w:rsid w:val="1CD06430"/>
    <w:rsid w:val="1CD221A8"/>
    <w:rsid w:val="1CD44BB4"/>
    <w:rsid w:val="1CD83537"/>
    <w:rsid w:val="1CDD0B4D"/>
    <w:rsid w:val="1CE343B6"/>
    <w:rsid w:val="1CE73720"/>
    <w:rsid w:val="1CF0262F"/>
    <w:rsid w:val="1CF3211F"/>
    <w:rsid w:val="1CFC3677"/>
    <w:rsid w:val="1D04432C"/>
    <w:rsid w:val="1D0B56BA"/>
    <w:rsid w:val="1D126A49"/>
    <w:rsid w:val="1D1A3B4F"/>
    <w:rsid w:val="1D1E53EE"/>
    <w:rsid w:val="1D2624F4"/>
    <w:rsid w:val="1D266050"/>
    <w:rsid w:val="1D271DC8"/>
    <w:rsid w:val="1D28626C"/>
    <w:rsid w:val="1D2A2C77"/>
    <w:rsid w:val="1D2D3C7B"/>
    <w:rsid w:val="1D4961E3"/>
    <w:rsid w:val="1D5A03F0"/>
    <w:rsid w:val="1D5F5A06"/>
    <w:rsid w:val="1D5F77B4"/>
    <w:rsid w:val="1D666D95"/>
    <w:rsid w:val="1D6F5C49"/>
    <w:rsid w:val="1D7B2840"/>
    <w:rsid w:val="1D81772B"/>
    <w:rsid w:val="1D85546D"/>
    <w:rsid w:val="1D886D0B"/>
    <w:rsid w:val="1D903E12"/>
    <w:rsid w:val="1D905BC0"/>
    <w:rsid w:val="1D951428"/>
    <w:rsid w:val="1D976F4E"/>
    <w:rsid w:val="1D990F18"/>
    <w:rsid w:val="1D9B6A3E"/>
    <w:rsid w:val="1DA121CA"/>
    <w:rsid w:val="1DA43419"/>
    <w:rsid w:val="1DA578BD"/>
    <w:rsid w:val="1DA81FE3"/>
    <w:rsid w:val="1DAA4ED3"/>
    <w:rsid w:val="1DB45D52"/>
    <w:rsid w:val="1DBA2C3C"/>
    <w:rsid w:val="1DBB7D72"/>
    <w:rsid w:val="1DBE272D"/>
    <w:rsid w:val="1DC1221D"/>
    <w:rsid w:val="1DC31AF1"/>
    <w:rsid w:val="1DC5669E"/>
    <w:rsid w:val="1DCF493A"/>
    <w:rsid w:val="1DCF66E8"/>
    <w:rsid w:val="1DD91315"/>
    <w:rsid w:val="1DDC7057"/>
    <w:rsid w:val="1DE2466D"/>
    <w:rsid w:val="1DE87571"/>
    <w:rsid w:val="1DF148B0"/>
    <w:rsid w:val="1DF61EC7"/>
    <w:rsid w:val="1E041AD4"/>
    <w:rsid w:val="1E043717"/>
    <w:rsid w:val="1E0740D4"/>
    <w:rsid w:val="1E0A3BC4"/>
    <w:rsid w:val="1E206F43"/>
    <w:rsid w:val="1E222CBC"/>
    <w:rsid w:val="1E2E3FC6"/>
    <w:rsid w:val="1E301693"/>
    <w:rsid w:val="1E3022B7"/>
    <w:rsid w:val="1E34479D"/>
    <w:rsid w:val="1E3649B9"/>
    <w:rsid w:val="1E391DB3"/>
    <w:rsid w:val="1E4412E6"/>
    <w:rsid w:val="1E4771B2"/>
    <w:rsid w:val="1E4A5D6E"/>
    <w:rsid w:val="1E560BB7"/>
    <w:rsid w:val="1E58492F"/>
    <w:rsid w:val="1E645700"/>
    <w:rsid w:val="1E672DC4"/>
    <w:rsid w:val="1E6C03DB"/>
    <w:rsid w:val="1E733517"/>
    <w:rsid w:val="1E7352C5"/>
    <w:rsid w:val="1E7C50C8"/>
    <w:rsid w:val="1E82375A"/>
    <w:rsid w:val="1E8E0351"/>
    <w:rsid w:val="1E8E20FF"/>
    <w:rsid w:val="1E8F40C9"/>
    <w:rsid w:val="1E935967"/>
    <w:rsid w:val="1E9D2342"/>
    <w:rsid w:val="1EAA571D"/>
    <w:rsid w:val="1EB37DB8"/>
    <w:rsid w:val="1EB83620"/>
    <w:rsid w:val="1EB8717C"/>
    <w:rsid w:val="1EBB6C6C"/>
    <w:rsid w:val="1EC2624D"/>
    <w:rsid w:val="1ECE4BF1"/>
    <w:rsid w:val="1ECF44C6"/>
    <w:rsid w:val="1EDA43A3"/>
    <w:rsid w:val="1EDD3086"/>
    <w:rsid w:val="1EDF0CE8"/>
    <w:rsid w:val="1EE267D0"/>
    <w:rsid w:val="1EE61F3B"/>
    <w:rsid w:val="1EE77A61"/>
    <w:rsid w:val="1EF4153E"/>
    <w:rsid w:val="1EF65EF6"/>
    <w:rsid w:val="1EFA3C38"/>
    <w:rsid w:val="1EFE2F32"/>
    <w:rsid w:val="1F040613"/>
    <w:rsid w:val="1F06438B"/>
    <w:rsid w:val="1F0E1492"/>
    <w:rsid w:val="1F132604"/>
    <w:rsid w:val="1F170346"/>
    <w:rsid w:val="1F1B770B"/>
    <w:rsid w:val="1F1C595D"/>
    <w:rsid w:val="1F234F3D"/>
    <w:rsid w:val="1F242A63"/>
    <w:rsid w:val="1F243E96"/>
    <w:rsid w:val="1F262338"/>
    <w:rsid w:val="1F2962CC"/>
    <w:rsid w:val="1F2E6B9D"/>
    <w:rsid w:val="1F2E743E"/>
    <w:rsid w:val="1F301408"/>
    <w:rsid w:val="1F3758BD"/>
    <w:rsid w:val="1F4153C3"/>
    <w:rsid w:val="1F42113B"/>
    <w:rsid w:val="1F422EEA"/>
    <w:rsid w:val="1F460C2C"/>
    <w:rsid w:val="1F4E5D32"/>
    <w:rsid w:val="1F51312D"/>
    <w:rsid w:val="1F5943A9"/>
    <w:rsid w:val="1F63358C"/>
    <w:rsid w:val="1F66307C"/>
    <w:rsid w:val="1F666BD8"/>
    <w:rsid w:val="1F672950"/>
    <w:rsid w:val="1F680BA2"/>
    <w:rsid w:val="1F6B41EE"/>
    <w:rsid w:val="1F7237CF"/>
    <w:rsid w:val="1F72557D"/>
    <w:rsid w:val="1F7F5EEC"/>
    <w:rsid w:val="1F817EB6"/>
    <w:rsid w:val="1F8359DC"/>
    <w:rsid w:val="1F881244"/>
    <w:rsid w:val="1F8B663F"/>
    <w:rsid w:val="1F8E612F"/>
    <w:rsid w:val="1F90634B"/>
    <w:rsid w:val="1F9C084C"/>
    <w:rsid w:val="1FA83694"/>
    <w:rsid w:val="1FA871F0"/>
    <w:rsid w:val="1FAF67D1"/>
    <w:rsid w:val="1FB738D7"/>
    <w:rsid w:val="1FB75686"/>
    <w:rsid w:val="1FB931AC"/>
    <w:rsid w:val="1FC4521F"/>
    <w:rsid w:val="1FC61CE9"/>
    <w:rsid w:val="1FCA53B9"/>
    <w:rsid w:val="1FCC20C8"/>
    <w:rsid w:val="1FCD30FB"/>
    <w:rsid w:val="1FD53D5E"/>
    <w:rsid w:val="1FD9384E"/>
    <w:rsid w:val="1FDB75C6"/>
    <w:rsid w:val="1FDE70B6"/>
    <w:rsid w:val="1FFB1A16"/>
    <w:rsid w:val="1FFE1506"/>
    <w:rsid w:val="200A1C59"/>
    <w:rsid w:val="200C3C23"/>
    <w:rsid w:val="2011123A"/>
    <w:rsid w:val="20120B0E"/>
    <w:rsid w:val="20166850"/>
    <w:rsid w:val="20196340"/>
    <w:rsid w:val="201E74B3"/>
    <w:rsid w:val="202A22FB"/>
    <w:rsid w:val="202F7912"/>
    <w:rsid w:val="203171E6"/>
    <w:rsid w:val="20322F5E"/>
    <w:rsid w:val="20362A4E"/>
    <w:rsid w:val="203C5B8B"/>
    <w:rsid w:val="20401B1F"/>
    <w:rsid w:val="204607B7"/>
    <w:rsid w:val="2048066F"/>
    <w:rsid w:val="204809D3"/>
    <w:rsid w:val="204A02A8"/>
    <w:rsid w:val="204A64FA"/>
    <w:rsid w:val="204C2272"/>
    <w:rsid w:val="20560357"/>
    <w:rsid w:val="205D447F"/>
    <w:rsid w:val="205E1FA5"/>
    <w:rsid w:val="20601879"/>
    <w:rsid w:val="207277FE"/>
    <w:rsid w:val="20735A50"/>
    <w:rsid w:val="2076109D"/>
    <w:rsid w:val="2080016D"/>
    <w:rsid w:val="20801F1B"/>
    <w:rsid w:val="208C08C0"/>
    <w:rsid w:val="20915ED7"/>
    <w:rsid w:val="20933A75"/>
    <w:rsid w:val="209D487B"/>
    <w:rsid w:val="20A12660"/>
    <w:rsid w:val="20A774A8"/>
    <w:rsid w:val="20BA2A49"/>
    <w:rsid w:val="20BF0C96"/>
    <w:rsid w:val="20C0056A"/>
    <w:rsid w:val="20C938C2"/>
    <w:rsid w:val="20D858B3"/>
    <w:rsid w:val="20D9162C"/>
    <w:rsid w:val="20DB793B"/>
    <w:rsid w:val="20DD736E"/>
    <w:rsid w:val="20E26732"/>
    <w:rsid w:val="20E64474"/>
    <w:rsid w:val="20E82C50"/>
    <w:rsid w:val="20EC135F"/>
    <w:rsid w:val="20EC5803"/>
    <w:rsid w:val="20EE7E0D"/>
    <w:rsid w:val="20EF2BFD"/>
    <w:rsid w:val="20F6042F"/>
    <w:rsid w:val="20FD356C"/>
    <w:rsid w:val="20FF5536"/>
    <w:rsid w:val="210B3EDB"/>
    <w:rsid w:val="210F31ED"/>
    <w:rsid w:val="2111004A"/>
    <w:rsid w:val="21182154"/>
    <w:rsid w:val="21204F6E"/>
    <w:rsid w:val="213571AA"/>
    <w:rsid w:val="213A01DA"/>
    <w:rsid w:val="213A47C0"/>
    <w:rsid w:val="214B42D7"/>
    <w:rsid w:val="214F7359"/>
    <w:rsid w:val="21507B40"/>
    <w:rsid w:val="21515666"/>
    <w:rsid w:val="215F4C69"/>
    <w:rsid w:val="21647640"/>
    <w:rsid w:val="216830DB"/>
    <w:rsid w:val="216929AF"/>
    <w:rsid w:val="21703D3E"/>
    <w:rsid w:val="2173382E"/>
    <w:rsid w:val="217355DC"/>
    <w:rsid w:val="217C6B87"/>
    <w:rsid w:val="217E28FF"/>
    <w:rsid w:val="21821CC3"/>
    <w:rsid w:val="218617B3"/>
    <w:rsid w:val="218D51B0"/>
    <w:rsid w:val="21902632"/>
    <w:rsid w:val="21A165ED"/>
    <w:rsid w:val="21A81D79"/>
    <w:rsid w:val="21A954A2"/>
    <w:rsid w:val="21BA320B"/>
    <w:rsid w:val="21BC51D5"/>
    <w:rsid w:val="21C10A3D"/>
    <w:rsid w:val="21C127EB"/>
    <w:rsid w:val="21C30312"/>
    <w:rsid w:val="21C85928"/>
    <w:rsid w:val="21C978F2"/>
    <w:rsid w:val="21CA5B44"/>
    <w:rsid w:val="21D06ED2"/>
    <w:rsid w:val="21D267A7"/>
    <w:rsid w:val="21D40771"/>
    <w:rsid w:val="21D544E9"/>
    <w:rsid w:val="21D56297"/>
    <w:rsid w:val="21D95D87"/>
    <w:rsid w:val="21DF2C72"/>
    <w:rsid w:val="21E12E8E"/>
    <w:rsid w:val="21E36C06"/>
    <w:rsid w:val="21E464DA"/>
    <w:rsid w:val="21E85FCA"/>
    <w:rsid w:val="21E91230"/>
    <w:rsid w:val="21EB5ABA"/>
    <w:rsid w:val="21F0363B"/>
    <w:rsid w:val="21F04E7F"/>
    <w:rsid w:val="21F229A5"/>
    <w:rsid w:val="2203697F"/>
    <w:rsid w:val="22066531"/>
    <w:rsid w:val="22105521"/>
    <w:rsid w:val="22164F35"/>
    <w:rsid w:val="22192627"/>
    <w:rsid w:val="221E7C3E"/>
    <w:rsid w:val="22230DB0"/>
    <w:rsid w:val="222B5EB7"/>
    <w:rsid w:val="222D7E81"/>
    <w:rsid w:val="222F1E4B"/>
    <w:rsid w:val="22325497"/>
    <w:rsid w:val="223942B3"/>
    <w:rsid w:val="22394A78"/>
    <w:rsid w:val="2241392C"/>
    <w:rsid w:val="22431452"/>
    <w:rsid w:val="224376A4"/>
    <w:rsid w:val="22471CDD"/>
    <w:rsid w:val="22477195"/>
    <w:rsid w:val="22486A69"/>
    <w:rsid w:val="224B5175"/>
    <w:rsid w:val="224D22D1"/>
    <w:rsid w:val="224D407F"/>
    <w:rsid w:val="225B2C40"/>
    <w:rsid w:val="225B679C"/>
    <w:rsid w:val="225D2B64"/>
    <w:rsid w:val="226B2757"/>
    <w:rsid w:val="22714212"/>
    <w:rsid w:val="22715FC0"/>
    <w:rsid w:val="22765384"/>
    <w:rsid w:val="22794E74"/>
    <w:rsid w:val="22795622"/>
    <w:rsid w:val="227B5090"/>
    <w:rsid w:val="22837AA1"/>
    <w:rsid w:val="228F5F0E"/>
    <w:rsid w:val="22954DFB"/>
    <w:rsid w:val="229C0B63"/>
    <w:rsid w:val="22B12860"/>
    <w:rsid w:val="22B45EAC"/>
    <w:rsid w:val="22B83BEE"/>
    <w:rsid w:val="22CE3412"/>
    <w:rsid w:val="22CE51C0"/>
    <w:rsid w:val="22D4654E"/>
    <w:rsid w:val="22E9024C"/>
    <w:rsid w:val="22EB1C8B"/>
    <w:rsid w:val="22EB3FC4"/>
    <w:rsid w:val="22F369D5"/>
    <w:rsid w:val="22F37B3A"/>
    <w:rsid w:val="22F8223D"/>
    <w:rsid w:val="22FB3ADB"/>
    <w:rsid w:val="2302130E"/>
    <w:rsid w:val="230230BC"/>
    <w:rsid w:val="23045086"/>
    <w:rsid w:val="230A1F70"/>
    <w:rsid w:val="231177A3"/>
    <w:rsid w:val="23173A4D"/>
    <w:rsid w:val="2318468D"/>
    <w:rsid w:val="231B23CF"/>
    <w:rsid w:val="232079E6"/>
    <w:rsid w:val="23272FC5"/>
    <w:rsid w:val="2329689A"/>
    <w:rsid w:val="232F71A8"/>
    <w:rsid w:val="2335523F"/>
    <w:rsid w:val="2338762A"/>
    <w:rsid w:val="233A4603"/>
    <w:rsid w:val="233B037C"/>
    <w:rsid w:val="233D40F4"/>
    <w:rsid w:val="233E3694"/>
    <w:rsid w:val="233F1C1A"/>
    <w:rsid w:val="23411E36"/>
    <w:rsid w:val="23447230"/>
    <w:rsid w:val="234C07DB"/>
    <w:rsid w:val="234E6301"/>
    <w:rsid w:val="235651B5"/>
    <w:rsid w:val="23623B5A"/>
    <w:rsid w:val="23753F08"/>
    <w:rsid w:val="237815D0"/>
    <w:rsid w:val="2378337E"/>
    <w:rsid w:val="237A5348"/>
    <w:rsid w:val="237F64BA"/>
    <w:rsid w:val="238166D6"/>
    <w:rsid w:val="238C6E29"/>
    <w:rsid w:val="238D507B"/>
    <w:rsid w:val="23921DA8"/>
    <w:rsid w:val="23922691"/>
    <w:rsid w:val="23953F30"/>
    <w:rsid w:val="23983A20"/>
    <w:rsid w:val="239A1546"/>
    <w:rsid w:val="239C706C"/>
    <w:rsid w:val="23A93537"/>
    <w:rsid w:val="23AD5CF5"/>
    <w:rsid w:val="23B87C1E"/>
    <w:rsid w:val="23BF2D5B"/>
    <w:rsid w:val="23C3584E"/>
    <w:rsid w:val="23C6058D"/>
    <w:rsid w:val="23C87E61"/>
    <w:rsid w:val="23C93BD9"/>
    <w:rsid w:val="23C95987"/>
    <w:rsid w:val="23E17175"/>
    <w:rsid w:val="23E6478B"/>
    <w:rsid w:val="23E66539"/>
    <w:rsid w:val="23F23130"/>
    <w:rsid w:val="23FA0237"/>
    <w:rsid w:val="23FC3FAF"/>
    <w:rsid w:val="23FE3883"/>
    <w:rsid w:val="23FF584D"/>
    <w:rsid w:val="24030E99"/>
    <w:rsid w:val="24134E54"/>
    <w:rsid w:val="24156E1F"/>
    <w:rsid w:val="2417578B"/>
    <w:rsid w:val="241906BD"/>
    <w:rsid w:val="241C01AD"/>
    <w:rsid w:val="2423153B"/>
    <w:rsid w:val="243472A5"/>
    <w:rsid w:val="2435301D"/>
    <w:rsid w:val="244B2840"/>
    <w:rsid w:val="24525F11"/>
    <w:rsid w:val="24575689"/>
    <w:rsid w:val="245931AF"/>
    <w:rsid w:val="24595D92"/>
    <w:rsid w:val="245B0CD5"/>
    <w:rsid w:val="24681644"/>
    <w:rsid w:val="246B6A3F"/>
    <w:rsid w:val="246C54B4"/>
    <w:rsid w:val="247016DD"/>
    <w:rsid w:val="24743B45"/>
    <w:rsid w:val="247578BD"/>
    <w:rsid w:val="247C6455"/>
    <w:rsid w:val="24831FDA"/>
    <w:rsid w:val="2493065F"/>
    <w:rsid w:val="249441E7"/>
    <w:rsid w:val="249B37C8"/>
    <w:rsid w:val="24A361D8"/>
    <w:rsid w:val="24A87C93"/>
    <w:rsid w:val="24AE34FB"/>
    <w:rsid w:val="24BA380A"/>
    <w:rsid w:val="24BC729A"/>
    <w:rsid w:val="24C26FA6"/>
    <w:rsid w:val="24CC1BD3"/>
    <w:rsid w:val="24D10F97"/>
    <w:rsid w:val="24D32F62"/>
    <w:rsid w:val="24DB0068"/>
    <w:rsid w:val="24DE1906"/>
    <w:rsid w:val="24E30CCB"/>
    <w:rsid w:val="24EA3E07"/>
    <w:rsid w:val="24EF58C2"/>
    <w:rsid w:val="24F50995"/>
    <w:rsid w:val="25001EA9"/>
    <w:rsid w:val="25021151"/>
    <w:rsid w:val="2503311B"/>
    <w:rsid w:val="25076767"/>
    <w:rsid w:val="250A6257"/>
    <w:rsid w:val="250C4BAF"/>
    <w:rsid w:val="251946ED"/>
    <w:rsid w:val="251E1D03"/>
    <w:rsid w:val="25257535"/>
    <w:rsid w:val="2526682A"/>
    <w:rsid w:val="25292B82"/>
    <w:rsid w:val="252B661C"/>
    <w:rsid w:val="252E63EA"/>
    <w:rsid w:val="2536529E"/>
    <w:rsid w:val="2536704D"/>
    <w:rsid w:val="253F05F7"/>
    <w:rsid w:val="2540611D"/>
    <w:rsid w:val="254A2AF8"/>
    <w:rsid w:val="254A3D7E"/>
    <w:rsid w:val="255548C6"/>
    <w:rsid w:val="25627E42"/>
    <w:rsid w:val="25641E0C"/>
    <w:rsid w:val="25675458"/>
    <w:rsid w:val="25710085"/>
    <w:rsid w:val="25714529"/>
    <w:rsid w:val="257302A1"/>
    <w:rsid w:val="25761B3F"/>
    <w:rsid w:val="257858B7"/>
    <w:rsid w:val="25787665"/>
    <w:rsid w:val="257A162F"/>
    <w:rsid w:val="257D2ECD"/>
    <w:rsid w:val="258424AE"/>
    <w:rsid w:val="25956469"/>
    <w:rsid w:val="259721E1"/>
    <w:rsid w:val="259A3A7F"/>
    <w:rsid w:val="259D531E"/>
    <w:rsid w:val="25AA4D08"/>
    <w:rsid w:val="25AC730F"/>
    <w:rsid w:val="25B06DFF"/>
    <w:rsid w:val="25BF5294"/>
    <w:rsid w:val="25CA579F"/>
    <w:rsid w:val="25D62575"/>
    <w:rsid w:val="25D647F8"/>
    <w:rsid w:val="25D80104"/>
    <w:rsid w:val="25DA0320"/>
    <w:rsid w:val="25DC5E46"/>
    <w:rsid w:val="25E940BF"/>
    <w:rsid w:val="25EB42DB"/>
    <w:rsid w:val="25EB7E37"/>
    <w:rsid w:val="25F018F1"/>
    <w:rsid w:val="25F52A64"/>
    <w:rsid w:val="25F82554"/>
    <w:rsid w:val="26025181"/>
    <w:rsid w:val="2604539D"/>
    <w:rsid w:val="260776C1"/>
    <w:rsid w:val="26084E8D"/>
    <w:rsid w:val="260E7FC9"/>
    <w:rsid w:val="2610789E"/>
    <w:rsid w:val="261F21D6"/>
    <w:rsid w:val="26211AAB"/>
    <w:rsid w:val="262B0B7B"/>
    <w:rsid w:val="262B2929"/>
    <w:rsid w:val="26306192"/>
    <w:rsid w:val="26345C82"/>
    <w:rsid w:val="26347A30"/>
    <w:rsid w:val="26393298"/>
    <w:rsid w:val="263A0DBE"/>
    <w:rsid w:val="2645048E"/>
    <w:rsid w:val="264659B5"/>
    <w:rsid w:val="264A49DB"/>
    <w:rsid w:val="264D6D44"/>
    <w:rsid w:val="26510172"/>
    <w:rsid w:val="26537884"/>
    <w:rsid w:val="26571970"/>
    <w:rsid w:val="265D3C03"/>
    <w:rsid w:val="2661634B"/>
    <w:rsid w:val="266A3452"/>
    <w:rsid w:val="266B71CA"/>
    <w:rsid w:val="266C63A7"/>
    <w:rsid w:val="26760048"/>
    <w:rsid w:val="267918E7"/>
    <w:rsid w:val="267B565F"/>
    <w:rsid w:val="2681079B"/>
    <w:rsid w:val="268663ED"/>
    <w:rsid w:val="26867B60"/>
    <w:rsid w:val="26887D7C"/>
    <w:rsid w:val="268B33C8"/>
    <w:rsid w:val="268E39D0"/>
    <w:rsid w:val="269229A8"/>
    <w:rsid w:val="26946721"/>
    <w:rsid w:val="26962499"/>
    <w:rsid w:val="269C55D5"/>
    <w:rsid w:val="26A12BEB"/>
    <w:rsid w:val="26A5448A"/>
    <w:rsid w:val="26C07516"/>
    <w:rsid w:val="26C50688"/>
    <w:rsid w:val="26C54B2C"/>
    <w:rsid w:val="26C80178"/>
    <w:rsid w:val="26CA0394"/>
    <w:rsid w:val="26CF1507"/>
    <w:rsid w:val="26D44D6F"/>
    <w:rsid w:val="26D46B1D"/>
    <w:rsid w:val="26D66D39"/>
    <w:rsid w:val="26DB7EAB"/>
    <w:rsid w:val="26E2748C"/>
    <w:rsid w:val="26EF7DFB"/>
    <w:rsid w:val="26F64CE5"/>
    <w:rsid w:val="270A0791"/>
    <w:rsid w:val="270B60DD"/>
    <w:rsid w:val="270C275B"/>
    <w:rsid w:val="270C62B7"/>
    <w:rsid w:val="271909D4"/>
    <w:rsid w:val="271D04C4"/>
    <w:rsid w:val="271E5FEA"/>
    <w:rsid w:val="2725381D"/>
    <w:rsid w:val="272730F1"/>
    <w:rsid w:val="272950BB"/>
    <w:rsid w:val="273852FE"/>
    <w:rsid w:val="273C2EE6"/>
    <w:rsid w:val="27400656"/>
    <w:rsid w:val="274E37B5"/>
    <w:rsid w:val="274F0899"/>
    <w:rsid w:val="276420F2"/>
    <w:rsid w:val="276A7481"/>
    <w:rsid w:val="276E0D20"/>
    <w:rsid w:val="277125BE"/>
    <w:rsid w:val="27743E5C"/>
    <w:rsid w:val="277B51EB"/>
    <w:rsid w:val="27815B1F"/>
    <w:rsid w:val="278C564A"/>
    <w:rsid w:val="278F0C96"/>
    <w:rsid w:val="27924277"/>
    <w:rsid w:val="279462AC"/>
    <w:rsid w:val="27982240"/>
    <w:rsid w:val="279D1605"/>
    <w:rsid w:val="27A110F5"/>
    <w:rsid w:val="27B16E5E"/>
    <w:rsid w:val="27B64475"/>
    <w:rsid w:val="27BD1CA7"/>
    <w:rsid w:val="27C60B5C"/>
    <w:rsid w:val="27D019DA"/>
    <w:rsid w:val="27D329F5"/>
    <w:rsid w:val="27E014F2"/>
    <w:rsid w:val="27E234BC"/>
    <w:rsid w:val="27E86D24"/>
    <w:rsid w:val="27E965F8"/>
    <w:rsid w:val="27EC60E8"/>
    <w:rsid w:val="27F21951"/>
    <w:rsid w:val="27F51441"/>
    <w:rsid w:val="27F76F67"/>
    <w:rsid w:val="27FA25B3"/>
    <w:rsid w:val="27FF5E1C"/>
    <w:rsid w:val="27FF7BCA"/>
    <w:rsid w:val="2800405D"/>
    <w:rsid w:val="28013942"/>
    <w:rsid w:val="28041684"/>
    <w:rsid w:val="28081174"/>
    <w:rsid w:val="280A24E9"/>
    <w:rsid w:val="280B2A12"/>
    <w:rsid w:val="280B656E"/>
    <w:rsid w:val="280D0539"/>
    <w:rsid w:val="280D3C24"/>
    <w:rsid w:val="28137B19"/>
    <w:rsid w:val="281573ED"/>
    <w:rsid w:val="28215D92"/>
    <w:rsid w:val="28245882"/>
    <w:rsid w:val="282C4737"/>
    <w:rsid w:val="282E6701"/>
    <w:rsid w:val="28335AC5"/>
    <w:rsid w:val="283A32F8"/>
    <w:rsid w:val="283C0E1E"/>
    <w:rsid w:val="283C7070"/>
    <w:rsid w:val="283D091B"/>
    <w:rsid w:val="283D66C1"/>
    <w:rsid w:val="28456ABE"/>
    <w:rsid w:val="284877C3"/>
    <w:rsid w:val="285228A6"/>
    <w:rsid w:val="285A74F6"/>
    <w:rsid w:val="28643ED1"/>
    <w:rsid w:val="286B2CA4"/>
    <w:rsid w:val="286E4D4F"/>
    <w:rsid w:val="286F2FA1"/>
    <w:rsid w:val="28700AC7"/>
    <w:rsid w:val="2873044C"/>
    <w:rsid w:val="2874680A"/>
    <w:rsid w:val="28793E20"/>
    <w:rsid w:val="288051AE"/>
    <w:rsid w:val="28810F26"/>
    <w:rsid w:val="288602EB"/>
    <w:rsid w:val="28887BBF"/>
    <w:rsid w:val="288B5901"/>
    <w:rsid w:val="288F719F"/>
    <w:rsid w:val="28904CC6"/>
    <w:rsid w:val="28947EC4"/>
    <w:rsid w:val="289C74AE"/>
    <w:rsid w:val="28BA7F95"/>
    <w:rsid w:val="28BC3D0D"/>
    <w:rsid w:val="28C037FD"/>
    <w:rsid w:val="28C72DDD"/>
    <w:rsid w:val="28D252DE"/>
    <w:rsid w:val="28D76D98"/>
    <w:rsid w:val="28DE0127"/>
    <w:rsid w:val="28DE3C83"/>
    <w:rsid w:val="28E62B38"/>
    <w:rsid w:val="28EB63A0"/>
    <w:rsid w:val="28F9286B"/>
    <w:rsid w:val="28FF10C9"/>
    <w:rsid w:val="290851A4"/>
    <w:rsid w:val="290D6316"/>
    <w:rsid w:val="29114058"/>
    <w:rsid w:val="2912392D"/>
    <w:rsid w:val="2919115F"/>
    <w:rsid w:val="29194CBB"/>
    <w:rsid w:val="2927562A"/>
    <w:rsid w:val="292813A2"/>
    <w:rsid w:val="292C2CB7"/>
    <w:rsid w:val="29347D47"/>
    <w:rsid w:val="2939710B"/>
    <w:rsid w:val="294066EC"/>
    <w:rsid w:val="29424212"/>
    <w:rsid w:val="294837F2"/>
    <w:rsid w:val="294906D8"/>
    <w:rsid w:val="295977AD"/>
    <w:rsid w:val="295C2DFA"/>
    <w:rsid w:val="29606D8E"/>
    <w:rsid w:val="29634188"/>
    <w:rsid w:val="2964062C"/>
    <w:rsid w:val="29652E48"/>
    <w:rsid w:val="296B5C2C"/>
    <w:rsid w:val="297D524A"/>
    <w:rsid w:val="29804D3A"/>
    <w:rsid w:val="29851F68"/>
    <w:rsid w:val="2987431B"/>
    <w:rsid w:val="298F4F7D"/>
    <w:rsid w:val="299A6286"/>
    <w:rsid w:val="299B6018"/>
    <w:rsid w:val="29A1688F"/>
    <w:rsid w:val="29A46C7B"/>
    <w:rsid w:val="29A529F3"/>
    <w:rsid w:val="29A94291"/>
    <w:rsid w:val="29B42C36"/>
    <w:rsid w:val="29B449E4"/>
    <w:rsid w:val="29B82726"/>
    <w:rsid w:val="29C72969"/>
    <w:rsid w:val="29C76E0D"/>
    <w:rsid w:val="29C94933"/>
    <w:rsid w:val="29CE5AA6"/>
    <w:rsid w:val="29D15596"/>
    <w:rsid w:val="29DA08EE"/>
    <w:rsid w:val="29DA269C"/>
    <w:rsid w:val="29DB4666"/>
    <w:rsid w:val="29E277A3"/>
    <w:rsid w:val="29E74DB9"/>
    <w:rsid w:val="29EC6874"/>
    <w:rsid w:val="29EE6148"/>
    <w:rsid w:val="29F00112"/>
    <w:rsid w:val="29F01EC0"/>
    <w:rsid w:val="29F14773"/>
    <w:rsid w:val="2A0140CD"/>
    <w:rsid w:val="2A094D30"/>
    <w:rsid w:val="2A0C4820"/>
    <w:rsid w:val="2A0C569A"/>
    <w:rsid w:val="2A110088"/>
    <w:rsid w:val="2A1262DA"/>
    <w:rsid w:val="2A151926"/>
    <w:rsid w:val="2A1738F0"/>
    <w:rsid w:val="2A1A0E01"/>
    <w:rsid w:val="2A1C040D"/>
    <w:rsid w:val="2A2C6C70"/>
    <w:rsid w:val="2A3224D8"/>
    <w:rsid w:val="2A391AB9"/>
    <w:rsid w:val="2A3C62B6"/>
    <w:rsid w:val="2A3D0E7D"/>
    <w:rsid w:val="2A3F69A3"/>
    <w:rsid w:val="2A4A03B8"/>
    <w:rsid w:val="2A5306A1"/>
    <w:rsid w:val="2A585CB7"/>
    <w:rsid w:val="2A587A65"/>
    <w:rsid w:val="2A5F2BA2"/>
    <w:rsid w:val="2A612DBE"/>
    <w:rsid w:val="2A6401B8"/>
    <w:rsid w:val="2A677CA8"/>
    <w:rsid w:val="2A691C72"/>
    <w:rsid w:val="2A6C52BE"/>
    <w:rsid w:val="2A6D3510"/>
    <w:rsid w:val="2A6F54DA"/>
    <w:rsid w:val="2A7725E1"/>
    <w:rsid w:val="2A77438F"/>
    <w:rsid w:val="2A7E3970"/>
    <w:rsid w:val="2A7F3244"/>
    <w:rsid w:val="2A842608"/>
    <w:rsid w:val="2A8939A3"/>
    <w:rsid w:val="2A8B7E3A"/>
    <w:rsid w:val="2A8F792B"/>
    <w:rsid w:val="2A9F38E6"/>
    <w:rsid w:val="2AAB228B"/>
    <w:rsid w:val="2AAF3B29"/>
    <w:rsid w:val="2AB033FD"/>
    <w:rsid w:val="2AB078A1"/>
    <w:rsid w:val="2AC46EA9"/>
    <w:rsid w:val="2AD90BA6"/>
    <w:rsid w:val="2AD95BF4"/>
    <w:rsid w:val="2AE34A49"/>
    <w:rsid w:val="2AF37417"/>
    <w:rsid w:val="2AF5349D"/>
    <w:rsid w:val="2AF552B4"/>
    <w:rsid w:val="2AF754D0"/>
    <w:rsid w:val="2AF7727E"/>
    <w:rsid w:val="2B013C59"/>
    <w:rsid w:val="2B0E36C7"/>
    <w:rsid w:val="2B110340"/>
    <w:rsid w:val="2B1240B8"/>
    <w:rsid w:val="2B146082"/>
    <w:rsid w:val="2B165956"/>
    <w:rsid w:val="2B193698"/>
    <w:rsid w:val="2B230073"/>
    <w:rsid w:val="2B275DB5"/>
    <w:rsid w:val="2B2F0EFE"/>
    <w:rsid w:val="2B3264F9"/>
    <w:rsid w:val="2B367DA6"/>
    <w:rsid w:val="2B3758CC"/>
    <w:rsid w:val="2B3D7387"/>
    <w:rsid w:val="2B41674B"/>
    <w:rsid w:val="2B430715"/>
    <w:rsid w:val="2B465B0F"/>
    <w:rsid w:val="2B512E32"/>
    <w:rsid w:val="2B585F6F"/>
    <w:rsid w:val="2B593A95"/>
    <w:rsid w:val="2B5D17D7"/>
    <w:rsid w:val="2B606BD1"/>
    <w:rsid w:val="2B62377E"/>
    <w:rsid w:val="2B65326E"/>
    <w:rsid w:val="2B6761B2"/>
    <w:rsid w:val="2B683CD8"/>
    <w:rsid w:val="2B6C7C6C"/>
    <w:rsid w:val="2B6F5066"/>
    <w:rsid w:val="2B710DDE"/>
    <w:rsid w:val="2B746B21"/>
    <w:rsid w:val="2B761F52"/>
    <w:rsid w:val="2B7B7EAF"/>
    <w:rsid w:val="2B7E52A9"/>
    <w:rsid w:val="2B8C3E6A"/>
    <w:rsid w:val="2B8C79C6"/>
    <w:rsid w:val="2B8E1990"/>
    <w:rsid w:val="2B91322F"/>
    <w:rsid w:val="2B9351F9"/>
    <w:rsid w:val="2B940F71"/>
    <w:rsid w:val="2B97636B"/>
    <w:rsid w:val="2B9E594C"/>
    <w:rsid w:val="2BA03472"/>
    <w:rsid w:val="2BA0741C"/>
    <w:rsid w:val="2BA07916"/>
    <w:rsid w:val="2BB534A9"/>
    <w:rsid w:val="2BD31A99"/>
    <w:rsid w:val="2BD82C0B"/>
    <w:rsid w:val="2BD96984"/>
    <w:rsid w:val="2BDD46C6"/>
    <w:rsid w:val="2BEF44BB"/>
    <w:rsid w:val="2BF35C97"/>
    <w:rsid w:val="2BF81500"/>
    <w:rsid w:val="2BF8505C"/>
    <w:rsid w:val="2C0003B4"/>
    <w:rsid w:val="2C02412C"/>
    <w:rsid w:val="2C0B1233"/>
    <w:rsid w:val="2C1B6F9C"/>
    <w:rsid w:val="2C1F4CDE"/>
    <w:rsid w:val="2C251BC9"/>
    <w:rsid w:val="2C2A71DF"/>
    <w:rsid w:val="2C300C99"/>
    <w:rsid w:val="2C372028"/>
    <w:rsid w:val="2C3B319A"/>
    <w:rsid w:val="2C484235"/>
    <w:rsid w:val="2C4B5AD3"/>
    <w:rsid w:val="2C4B7881"/>
    <w:rsid w:val="2C4C35F9"/>
    <w:rsid w:val="2C5129BE"/>
    <w:rsid w:val="2C534988"/>
    <w:rsid w:val="2C597A5C"/>
    <w:rsid w:val="2C6170A5"/>
    <w:rsid w:val="2C70340D"/>
    <w:rsid w:val="2C70553A"/>
    <w:rsid w:val="2C7212B2"/>
    <w:rsid w:val="2C7A0167"/>
    <w:rsid w:val="2C8132A3"/>
    <w:rsid w:val="2C8A6AA3"/>
    <w:rsid w:val="2C9254B0"/>
    <w:rsid w:val="2C9A25B7"/>
    <w:rsid w:val="2C9E20A7"/>
    <w:rsid w:val="2CA80B9C"/>
    <w:rsid w:val="2CAB40B4"/>
    <w:rsid w:val="2CBA4A07"/>
    <w:rsid w:val="2CBC077F"/>
    <w:rsid w:val="2CC46C34"/>
    <w:rsid w:val="2CDA6E57"/>
    <w:rsid w:val="2CDF446E"/>
    <w:rsid w:val="2CE90E48"/>
    <w:rsid w:val="2CEB2E12"/>
    <w:rsid w:val="2CF47F19"/>
    <w:rsid w:val="2CFC5020"/>
    <w:rsid w:val="2D0068BE"/>
    <w:rsid w:val="2D0143E4"/>
    <w:rsid w:val="2D0839C4"/>
    <w:rsid w:val="2D1B234D"/>
    <w:rsid w:val="2D1B36F8"/>
    <w:rsid w:val="2D276A64"/>
    <w:rsid w:val="2D2B1461"/>
    <w:rsid w:val="2D2D51D9"/>
    <w:rsid w:val="2D2D6F87"/>
    <w:rsid w:val="2D2F0F51"/>
    <w:rsid w:val="2D3227EF"/>
    <w:rsid w:val="2D355E3C"/>
    <w:rsid w:val="2D3622E0"/>
    <w:rsid w:val="2D3A16A4"/>
    <w:rsid w:val="2D3C35B2"/>
    <w:rsid w:val="2D430559"/>
    <w:rsid w:val="2D517119"/>
    <w:rsid w:val="2D55028C"/>
    <w:rsid w:val="2D5664DE"/>
    <w:rsid w:val="2D5C161A"/>
    <w:rsid w:val="2D6230D5"/>
    <w:rsid w:val="2D636E4D"/>
    <w:rsid w:val="2D656721"/>
    <w:rsid w:val="2D6B54B3"/>
    <w:rsid w:val="2D6C3F53"/>
    <w:rsid w:val="2D720E3E"/>
    <w:rsid w:val="2D74105A"/>
    <w:rsid w:val="2D7746A6"/>
    <w:rsid w:val="2D796670"/>
    <w:rsid w:val="2D8748E9"/>
    <w:rsid w:val="2D9708A4"/>
    <w:rsid w:val="2D99461C"/>
    <w:rsid w:val="2D9B0395"/>
    <w:rsid w:val="2DA134D1"/>
    <w:rsid w:val="2DA532B1"/>
    <w:rsid w:val="2DA60AE7"/>
    <w:rsid w:val="2DB96A6D"/>
    <w:rsid w:val="2DBB27E5"/>
    <w:rsid w:val="2DBD47AF"/>
    <w:rsid w:val="2DC31699"/>
    <w:rsid w:val="2DD41AF8"/>
    <w:rsid w:val="2DE35CC7"/>
    <w:rsid w:val="2DE44496"/>
    <w:rsid w:val="2DE81100"/>
    <w:rsid w:val="2DE955A4"/>
    <w:rsid w:val="2DEA7700"/>
    <w:rsid w:val="2DEC0BF0"/>
    <w:rsid w:val="2DF33D2D"/>
    <w:rsid w:val="2DF6381D"/>
    <w:rsid w:val="2DF81343"/>
    <w:rsid w:val="2DFB7085"/>
    <w:rsid w:val="2DFC7FAF"/>
    <w:rsid w:val="2E00644A"/>
    <w:rsid w:val="2E051CB2"/>
    <w:rsid w:val="2E073C7C"/>
    <w:rsid w:val="2E0A551A"/>
    <w:rsid w:val="2E1819E5"/>
    <w:rsid w:val="2E1F0FC6"/>
    <w:rsid w:val="2E222864"/>
    <w:rsid w:val="2E224612"/>
    <w:rsid w:val="2E2E1209"/>
    <w:rsid w:val="2E2E2E3E"/>
    <w:rsid w:val="2E304F81"/>
    <w:rsid w:val="2E385BE3"/>
    <w:rsid w:val="2E3B56D4"/>
    <w:rsid w:val="2E3D58F0"/>
    <w:rsid w:val="2E41718E"/>
    <w:rsid w:val="2E4427DA"/>
    <w:rsid w:val="2E4A38F6"/>
    <w:rsid w:val="2E5073D1"/>
    <w:rsid w:val="2E536EC1"/>
    <w:rsid w:val="2E56250D"/>
    <w:rsid w:val="2E5B4FD2"/>
    <w:rsid w:val="2E5D3029"/>
    <w:rsid w:val="2E610272"/>
    <w:rsid w:val="2E67296D"/>
    <w:rsid w:val="2E6966E5"/>
    <w:rsid w:val="2E7D5CEC"/>
    <w:rsid w:val="2E823302"/>
    <w:rsid w:val="2E913546"/>
    <w:rsid w:val="2E9934E3"/>
    <w:rsid w:val="2EA00D9A"/>
    <w:rsid w:val="2EAD4823"/>
    <w:rsid w:val="2EBA2A9C"/>
    <w:rsid w:val="2EBC4A66"/>
    <w:rsid w:val="2EBF4557"/>
    <w:rsid w:val="2EC42A1F"/>
    <w:rsid w:val="2EC465DF"/>
    <w:rsid w:val="2EC851B9"/>
    <w:rsid w:val="2ED7364E"/>
    <w:rsid w:val="2EED2E72"/>
    <w:rsid w:val="2EED34C1"/>
    <w:rsid w:val="2EF02962"/>
    <w:rsid w:val="2EF171CF"/>
    <w:rsid w:val="2EF35FAE"/>
    <w:rsid w:val="2EF73CF0"/>
    <w:rsid w:val="2EFD03CC"/>
    <w:rsid w:val="2F000DF7"/>
    <w:rsid w:val="2F04398C"/>
    <w:rsid w:val="2F067A90"/>
    <w:rsid w:val="2F0C35AE"/>
    <w:rsid w:val="2F146650"/>
    <w:rsid w:val="2F1A178D"/>
    <w:rsid w:val="2F1D6BCC"/>
    <w:rsid w:val="2F2443BA"/>
    <w:rsid w:val="2F2A5E74"/>
    <w:rsid w:val="2F2A7C22"/>
    <w:rsid w:val="2F300FB0"/>
    <w:rsid w:val="2F4131BE"/>
    <w:rsid w:val="2F462582"/>
    <w:rsid w:val="2F4D3910"/>
    <w:rsid w:val="2F534259"/>
    <w:rsid w:val="2F542EF1"/>
    <w:rsid w:val="2F550663"/>
    <w:rsid w:val="2F5527C5"/>
    <w:rsid w:val="2F603644"/>
    <w:rsid w:val="2F661D64"/>
    <w:rsid w:val="2F686AD9"/>
    <w:rsid w:val="2F6871D8"/>
    <w:rsid w:val="2F7013AD"/>
    <w:rsid w:val="2F7215C9"/>
    <w:rsid w:val="2F7544C2"/>
    <w:rsid w:val="2F776BDF"/>
    <w:rsid w:val="2F792957"/>
    <w:rsid w:val="2F875074"/>
    <w:rsid w:val="2F94153F"/>
    <w:rsid w:val="2F96533A"/>
    <w:rsid w:val="2FA63021"/>
    <w:rsid w:val="2FA86D99"/>
    <w:rsid w:val="2FAB0637"/>
    <w:rsid w:val="2FAB145D"/>
    <w:rsid w:val="2FAD2601"/>
    <w:rsid w:val="2FB13E9F"/>
    <w:rsid w:val="2FB66570"/>
    <w:rsid w:val="2FBB4D1E"/>
    <w:rsid w:val="2FC02334"/>
    <w:rsid w:val="2FC55B9D"/>
    <w:rsid w:val="2FC71915"/>
    <w:rsid w:val="2FC8743B"/>
    <w:rsid w:val="2FC94EF8"/>
    <w:rsid w:val="2FCD4A51"/>
    <w:rsid w:val="2FD45DE0"/>
    <w:rsid w:val="2FD8767E"/>
    <w:rsid w:val="2FD933F6"/>
    <w:rsid w:val="2FDB0F1C"/>
    <w:rsid w:val="2FDB53C0"/>
    <w:rsid w:val="2FDC6A42"/>
    <w:rsid w:val="2FE029D7"/>
    <w:rsid w:val="2FE14059"/>
    <w:rsid w:val="2FE37DD1"/>
    <w:rsid w:val="2FE853E7"/>
    <w:rsid w:val="2FEF49C8"/>
    <w:rsid w:val="2FF3270A"/>
    <w:rsid w:val="2FF81ACE"/>
    <w:rsid w:val="2FFB15BE"/>
    <w:rsid w:val="301D7787"/>
    <w:rsid w:val="301F34FF"/>
    <w:rsid w:val="301F52AD"/>
    <w:rsid w:val="302100FF"/>
    <w:rsid w:val="30230E9C"/>
    <w:rsid w:val="30281C88"/>
    <w:rsid w:val="303074BA"/>
    <w:rsid w:val="30403475"/>
    <w:rsid w:val="30444D13"/>
    <w:rsid w:val="3049057C"/>
    <w:rsid w:val="30515682"/>
    <w:rsid w:val="30562C99"/>
    <w:rsid w:val="3058256D"/>
    <w:rsid w:val="305B3E0B"/>
    <w:rsid w:val="30607673"/>
    <w:rsid w:val="30654C8A"/>
    <w:rsid w:val="306E7FE2"/>
    <w:rsid w:val="307A0735"/>
    <w:rsid w:val="307A24E3"/>
    <w:rsid w:val="30803872"/>
    <w:rsid w:val="308275EA"/>
    <w:rsid w:val="308B0B94"/>
    <w:rsid w:val="309F019C"/>
    <w:rsid w:val="30A47560"/>
    <w:rsid w:val="30AB4D93"/>
    <w:rsid w:val="30B11C7D"/>
    <w:rsid w:val="30B8300C"/>
    <w:rsid w:val="30BC0D4E"/>
    <w:rsid w:val="30C9346B"/>
    <w:rsid w:val="30CB5A1E"/>
    <w:rsid w:val="30D616E4"/>
    <w:rsid w:val="30DF7CE7"/>
    <w:rsid w:val="30E20088"/>
    <w:rsid w:val="30E3452C"/>
    <w:rsid w:val="30E67B79"/>
    <w:rsid w:val="30ED53AB"/>
    <w:rsid w:val="30F009F7"/>
    <w:rsid w:val="30FC03BB"/>
    <w:rsid w:val="30FC114A"/>
    <w:rsid w:val="30FC55EE"/>
    <w:rsid w:val="310F3573"/>
    <w:rsid w:val="311A5A74"/>
    <w:rsid w:val="31224929"/>
    <w:rsid w:val="312406A1"/>
    <w:rsid w:val="31376626"/>
    <w:rsid w:val="31383DEF"/>
    <w:rsid w:val="313C1E8F"/>
    <w:rsid w:val="314E571E"/>
    <w:rsid w:val="31523460"/>
    <w:rsid w:val="31554CFE"/>
    <w:rsid w:val="31556AAC"/>
    <w:rsid w:val="31592A40"/>
    <w:rsid w:val="315A40C3"/>
    <w:rsid w:val="315E3BB3"/>
    <w:rsid w:val="317C0B77"/>
    <w:rsid w:val="317C672F"/>
    <w:rsid w:val="3183186B"/>
    <w:rsid w:val="318D6246"/>
    <w:rsid w:val="31994BEB"/>
    <w:rsid w:val="319A122D"/>
    <w:rsid w:val="319F5F79"/>
    <w:rsid w:val="31A31F0E"/>
    <w:rsid w:val="31AF08B2"/>
    <w:rsid w:val="31B13F4F"/>
    <w:rsid w:val="31B43515"/>
    <w:rsid w:val="31B639EF"/>
    <w:rsid w:val="31C205E6"/>
    <w:rsid w:val="31C3610C"/>
    <w:rsid w:val="31D200FD"/>
    <w:rsid w:val="31D8084B"/>
    <w:rsid w:val="31D976DD"/>
    <w:rsid w:val="31DE6AA2"/>
    <w:rsid w:val="31E00A6C"/>
    <w:rsid w:val="31E340B8"/>
    <w:rsid w:val="31E85B72"/>
    <w:rsid w:val="31F43B9D"/>
    <w:rsid w:val="320B451A"/>
    <w:rsid w:val="32171FB4"/>
    <w:rsid w:val="321921D0"/>
    <w:rsid w:val="32207EEF"/>
    <w:rsid w:val="322546D1"/>
    <w:rsid w:val="322841C1"/>
    <w:rsid w:val="323112C7"/>
    <w:rsid w:val="32326DEE"/>
    <w:rsid w:val="323668DE"/>
    <w:rsid w:val="323B3EF4"/>
    <w:rsid w:val="32406D31"/>
    <w:rsid w:val="32454D73"/>
    <w:rsid w:val="32470AEB"/>
    <w:rsid w:val="32476D3D"/>
    <w:rsid w:val="32496611"/>
    <w:rsid w:val="324F79A0"/>
    <w:rsid w:val="325E6226"/>
    <w:rsid w:val="326867B8"/>
    <w:rsid w:val="326A6587"/>
    <w:rsid w:val="326E42CA"/>
    <w:rsid w:val="327411B4"/>
    <w:rsid w:val="32747406"/>
    <w:rsid w:val="327520BC"/>
    <w:rsid w:val="327A2C6E"/>
    <w:rsid w:val="327D450D"/>
    <w:rsid w:val="32894C60"/>
    <w:rsid w:val="328A09D8"/>
    <w:rsid w:val="32904240"/>
    <w:rsid w:val="32943604"/>
    <w:rsid w:val="32A0771A"/>
    <w:rsid w:val="32A25D21"/>
    <w:rsid w:val="32A777DC"/>
    <w:rsid w:val="32AC6BA0"/>
    <w:rsid w:val="32AE0B6A"/>
    <w:rsid w:val="32B51EF8"/>
    <w:rsid w:val="32B617CD"/>
    <w:rsid w:val="32B85545"/>
    <w:rsid w:val="32C043F9"/>
    <w:rsid w:val="32C75788"/>
    <w:rsid w:val="32D16607"/>
    <w:rsid w:val="32E225C2"/>
    <w:rsid w:val="32E22BD4"/>
    <w:rsid w:val="32E7407C"/>
    <w:rsid w:val="32E93950"/>
    <w:rsid w:val="32F6606D"/>
    <w:rsid w:val="3301513E"/>
    <w:rsid w:val="33016EEC"/>
    <w:rsid w:val="33044C2E"/>
    <w:rsid w:val="33093FF2"/>
    <w:rsid w:val="330968EB"/>
    <w:rsid w:val="330E1609"/>
    <w:rsid w:val="33264BA4"/>
    <w:rsid w:val="33266952"/>
    <w:rsid w:val="3328091C"/>
    <w:rsid w:val="33291F9F"/>
    <w:rsid w:val="332B3F69"/>
    <w:rsid w:val="333472C1"/>
    <w:rsid w:val="33386686"/>
    <w:rsid w:val="333C6176"/>
    <w:rsid w:val="3344502A"/>
    <w:rsid w:val="334B0167"/>
    <w:rsid w:val="33510DF4"/>
    <w:rsid w:val="335C05C6"/>
    <w:rsid w:val="335F1E64"/>
    <w:rsid w:val="336851BD"/>
    <w:rsid w:val="33775400"/>
    <w:rsid w:val="337A0A4C"/>
    <w:rsid w:val="337B37F8"/>
    <w:rsid w:val="33884F17"/>
    <w:rsid w:val="33945FB2"/>
    <w:rsid w:val="33947D60"/>
    <w:rsid w:val="33957634"/>
    <w:rsid w:val="339715FE"/>
    <w:rsid w:val="339C6C14"/>
    <w:rsid w:val="339E298D"/>
    <w:rsid w:val="339F04B3"/>
    <w:rsid w:val="339F0930"/>
    <w:rsid w:val="33AD0F1C"/>
    <w:rsid w:val="33BC72B7"/>
    <w:rsid w:val="33C10429"/>
    <w:rsid w:val="33C749D9"/>
    <w:rsid w:val="33CA19D4"/>
    <w:rsid w:val="33CF0D98"/>
    <w:rsid w:val="33D20888"/>
    <w:rsid w:val="33D95773"/>
    <w:rsid w:val="33DB56BC"/>
    <w:rsid w:val="33E006B7"/>
    <w:rsid w:val="33E32A95"/>
    <w:rsid w:val="33EB11AA"/>
    <w:rsid w:val="33F24A86"/>
    <w:rsid w:val="33FC76B3"/>
    <w:rsid w:val="34012F1B"/>
    <w:rsid w:val="340547BA"/>
    <w:rsid w:val="341964B7"/>
    <w:rsid w:val="341C1B03"/>
    <w:rsid w:val="341D5FA7"/>
    <w:rsid w:val="341E1D1F"/>
    <w:rsid w:val="34222251"/>
    <w:rsid w:val="342A06C4"/>
    <w:rsid w:val="342A4220"/>
    <w:rsid w:val="342D5ABF"/>
    <w:rsid w:val="34313801"/>
    <w:rsid w:val="343432F1"/>
    <w:rsid w:val="344C23E9"/>
    <w:rsid w:val="34594B05"/>
    <w:rsid w:val="345968B4"/>
    <w:rsid w:val="34675474"/>
    <w:rsid w:val="34871673"/>
    <w:rsid w:val="348C4EDB"/>
    <w:rsid w:val="3491604D"/>
    <w:rsid w:val="34945B3E"/>
    <w:rsid w:val="349618B6"/>
    <w:rsid w:val="34967B08"/>
    <w:rsid w:val="34970741"/>
    <w:rsid w:val="349D0E96"/>
    <w:rsid w:val="34A75871"/>
    <w:rsid w:val="34AC10D9"/>
    <w:rsid w:val="34AE6BFF"/>
    <w:rsid w:val="34B32468"/>
    <w:rsid w:val="34B63D06"/>
    <w:rsid w:val="34BA1455"/>
    <w:rsid w:val="34BB1FF4"/>
    <w:rsid w:val="34C77CC1"/>
    <w:rsid w:val="34CC3529"/>
    <w:rsid w:val="34CE72A2"/>
    <w:rsid w:val="34D643A8"/>
    <w:rsid w:val="34DC1FAB"/>
    <w:rsid w:val="34E00D83"/>
    <w:rsid w:val="34F07218"/>
    <w:rsid w:val="34FD1935"/>
    <w:rsid w:val="34FF56AD"/>
    <w:rsid w:val="35004F81"/>
    <w:rsid w:val="35085916"/>
    <w:rsid w:val="351849C1"/>
    <w:rsid w:val="3518676F"/>
    <w:rsid w:val="351A4295"/>
    <w:rsid w:val="351C20FF"/>
    <w:rsid w:val="351D523D"/>
    <w:rsid w:val="351F3659"/>
    <w:rsid w:val="35223149"/>
    <w:rsid w:val="35243365"/>
    <w:rsid w:val="35317B29"/>
    <w:rsid w:val="3538296D"/>
    <w:rsid w:val="353A66E5"/>
    <w:rsid w:val="353B6FF1"/>
    <w:rsid w:val="353D61D5"/>
    <w:rsid w:val="353E4427"/>
    <w:rsid w:val="353F571B"/>
    <w:rsid w:val="35415CC5"/>
    <w:rsid w:val="3542559A"/>
    <w:rsid w:val="3543355E"/>
    <w:rsid w:val="355619D4"/>
    <w:rsid w:val="35610116"/>
    <w:rsid w:val="356B5140"/>
    <w:rsid w:val="356E2833"/>
    <w:rsid w:val="35747E49"/>
    <w:rsid w:val="357716E7"/>
    <w:rsid w:val="35777939"/>
    <w:rsid w:val="357E0CC8"/>
    <w:rsid w:val="35831E3A"/>
    <w:rsid w:val="35843E04"/>
    <w:rsid w:val="35847960"/>
    <w:rsid w:val="35867B7C"/>
    <w:rsid w:val="358E6A31"/>
    <w:rsid w:val="359758E5"/>
    <w:rsid w:val="359E6C74"/>
    <w:rsid w:val="35A9126F"/>
    <w:rsid w:val="35B91D00"/>
    <w:rsid w:val="35BA15D4"/>
    <w:rsid w:val="35C04978"/>
    <w:rsid w:val="35CD1307"/>
    <w:rsid w:val="35CD57AB"/>
    <w:rsid w:val="35D02BA5"/>
    <w:rsid w:val="35D2691D"/>
    <w:rsid w:val="35D408E8"/>
    <w:rsid w:val="35D73F34"/>
    <w:rsid w:val="35DC603D"/>
    <w:rsid w:val="35DE1766"/>
    <w:rsid w:val="35DE3514"/>
    <w:rsid w:val="35E13004"/>
    <w:rsid w:val="35E5295E"/>
    <w:rsid w:val="35E71A41"/>
    <w:rsid w:val="35EF127D"/>
    <w:rsid w:val="35F745D6"/>
    <w:rsid w:val="35FC1307"/>
    <w:rsid w:val="35FE541E"/>
    <w:rsid w:val="360A255B"/>
    <w:rsid w:val="360D3DFA"/>
    <w:rsid w:val="36105698"/>
    <w:rsid w:val="361433DA"/>
    <w:rsid w:val="361B02C4"/>
    <w:rsid w:val="36203B2D"/>
    <w:rsid w:val="362353CB"/>
    <w:rsid w:val="36280C33"/>
    <w:rsid w:val="362F0E3F"/>
    <w:rsid w:val="36363350"/>
    <w:rsid w:val="3638029F"/>
    <w:rsid w:val="36533F02"/>
    <w:rsid w:val="36541A28"/>
    <w:rsid w:val="36575075"/>
    <w:rsid w:val="365B4B65"/>
    <w:rsid w:val="365E4655"/>
    <w:rsid w:val="366003CD"/>
    <w:rsid w:val="36617CA1"/>
    <w:rsid w:val="36625EF3"/>
    <w:rsid w:val="366854D4"/>
    <w:rsid w:val="36785717"/>
    <w:rsid w:val="367D2D2D"/>
    <w:rsid w:val="368C11C2"/>
    <w:rsid w:val="36924296"/>
    <w:rsid w:val="36965B9D"/>
    <w:rsid w:val="36967D4F"/>
    <w:rsid w:val="36981915"/>
    <w:rsid w:val="369F6096"/>
    <w:rsid w:val="36A24542"/>
    <w:rsid w:val="36A63BA7"/>
    <w:rsid w:val="36B64ED3"/>
    <w:rsid w:val="36B9188B"/>
    <w:rsid w:val="36C21C3F"/>
    <w:rsid w:val="36C344B8"/>
    <w:rsid w:val="36DB5CA6"/>
    <w:rsid w:val="36DD557A"/>
    <w:rsid w:val="36E7289C"/>
    <w:rsid w:val="36E903C3"/>
    <w:rsid w:val="36E96615"/>
    <w:rsid w:val="36EC3A0F"/>
    <w:rsid w:val="36F079A3"/>
    <w:rsid w:val="36F6663C"/>
    <w:rsid w:val="37074CED"/>
    <w:rsid w:val="370C2303"/>
    <w:rsid w:val="371511B8"/>
    <w:rsid w:val="371669D8"/>
    <w:rsid w:val="371A057C"/>
    <w:rsid w:val="37217B5C"/>
    <w:rsid w:val="372907BF"/>
    <w:rsid w:val="372E3435"/>
    <w:rsid w:val="372E4027"/>
    <w:rsid w:val="37353608"/>
    <w:rsid w:val="373A29CC"/>
    <w:rsid w:val="373F4487"/>
    <w:rsid w:val="374675C3"/>
    <w:rsid w:val="3747333B"/>
    <w:rsid w:val="374E46CA"/>
    <w:rsid w:val="37500442"/>
    <w:rsid w:val="375004A1"/>
    <w:rsid w:val="375015E7"/>
    <w:rsid w:val="37517D16"/>
    <w:rsid w:val="375515B4"/>
    <w:rsid w:val="375D2B5F"/>
    <w:rsid w:val="376501BF"/>
    <w:rsid w:val="376B0DD8"/>
    <w:rsid w:val="376E6B1A"/>
    <w:rsid w:val="37802DC5"/>
    <w:rsid w:val="378123A9"/>
    <w:rsid w:val="37826121"/>
    <w:rsid w:val="37856E75"/>
    <w:rsid w:val="37881FD9"/>
    <w:rsid w:val="378B147A"/>
    <w:rsid w:val="378E0F6A"/>
    <w:rsid w:val="379540A7"/>
    <w:rsid w:val="37985945"/>
    <w:rsid w:val="37A4253C"/>
    <w:rsid w:val="37AB5CC7"/>
    <w:rsid w:val="37B22EAA"/>
    <w:rsid w:val="37B564F7"/>
    <w:rsid w:val="37BE184F"/>
    <w:rsid w:val="37BF1155"/>
    <w:rsid w:val="37C60704"/>
    <w:rsid w:val="37C82877"/>
    <w:rsid w:val="37C83A2B"/>
    <w:rsid w:val="37CA01F4"/>
    <w:rsid w:val="37D83F93"/>
    <w:rsid w:val="37DA7D0B"/>
    <w:rsid w:val="37DE37E1"/>
    <w:rsid w:val="37E42938"/>
    <w:rsid w:val="37F05781"/>
    <w:rsid w:val="37F4701F"/>
    <w:rsid w:val="37F64513"/>
    <w:rsid w:val="37FA1A90"/>
    <w:rsid w:val="37FB02A2"/>
    <w:rsid w:val="37FF59C4"/>
    <w:rsid w:val="380354B4"/>
    <w:rsid w:val="38064FA4"/>
    <w:rsid w:val="380B6117"/>
    <w:rsid w:val="380F3E59"/>
    <w:rsid w:val="380F5C07"/>
    <w:rsid w:val="38117DB1"/>
    <w:rsid w:val="38172D0E"/>
    <w:rsid w:val="38187176"/>
    <w:rsid w:val="381B27FE"/>
    <w:rsid w:val="381C6576"/>
    <w:rsid w:val="381E5E4A"/>
    <w:rsid w:val="381F1BC2"/>
    <w:rsid w:val="38206066"/>
    <w:rsid w:val="38315C5A"/>
    <w:rsid w:val="383C2774"/>
    <w:rsid w:val="384A4E91"/>
    <w:rsid w:val="384B7C91"/>
    <w:rsid w:val="384F4255"/>
    <w:rsid w:val="38507FCD"/>
    <w:rsid w:val="38514471"/>
    <w:rsid w:val="385E6B8E"/>
    <w:rsid w:val="38625EEA"/>
    <w:rsid w:val="386341A5"/>
    <w:rsid w:val="38637D01"/>
    <w:rsid w:val="38657F1D"/>
    <w:rsid w:val="38673C95"/>
    <w:rsid w:val="386A108F"/>
    <w:rsid w:val="387168C2"/>
    <w:rsid w:val="387803EF"/>
    <w:rsid w:val="388859B9"/>
    <w:rsid w:val="388B02BA"/>
    <w:rsid w:val="388E7474"/>
    <w:rsid w:val="388F2DAC"/>
    <w:rsid w:val="388F4F9A"/>
    <w:rsid w:val="389418CE"/>
    <w:rsid w:val="3894610C"/>
    <w:rsid w:val="38975BFC"/>
    <w:rsid w:val="389E6F8B"/>
    <w:rsid w:val="38A24CCD"/>
    <w:rsid w:val="38A5656B"/>
    <w:rsid w:val="38AA3B82"/>
    <w:rsid w:val="38AA5930"/>
    <w:rsid w:val="38AC78FA"/>
    <w:rsid w:val="38AD71CE"/>
    <w:rsid w:val="38BB7B3D"/>
    <w:rsid w:val="38C06F01"/>
    <w:rsid w:val="38C2711D"/>
    <w:rsid w:val="38C420A7"/>
    <w:rsid w:val="38C509BB"/>
    <w:rsid w:val="38D1110E"/>
    <w:rsid w:val="38D17360"/>
    <w:rsid w:val="38D330D8"/>
    <w:rsid w:val="38D46E50"/>
    <w:rsid w:val="38D806EF"/>
    <w:rsid w:val="38EA21D0"/>
    <w:rsid w:val="38EF5A38"/>
    <w:rsid w:val="38F244D2"/>
    <w:rsid w:val="3902576C"/>
    <w:rsid w:val="390C0398"/>
    <w:rsid w:val="39137979"/>
    <w:rsid w:val="3917707D"/>
    <w:rsid w:val="391F00CC"/>
    <w:rsid w:val="392751D2"/>
    <w:rsid w:val="392D5D13"/>
    <w:rsid w:val="392E6561"/>
    <w:rsid w:val="392F4087"/>
    <w:rsid w:val="393A3157"/>
    <w:rsid w:val="393B0C7E"/>
    <w:rsid w:val="393F251C"/>
    <w:rsid w:val="3942200C"/>
    <w:rsid w:val="394C4C39"/>
    <w:rsid w:val="394E09B1"/>
    <w:rsid w:val="3950297B"/>
    <w:rsid w:val="3958538C"/>
    <w:rsid w:val="39602492"/>
    <w:rsid w:val="396226AE"/>
    <w:rsid w:val="396E2E01"/>
    <w:rsid w:val="39755F3E"/>
    <w:rsid w:val="398268AC"/>
    <w:rsid w:val="3986014B"/>
    <w:rsid w:val="399D36E6"/>
    <w:rsid w:val="39A369DF"/>
    <w:rsid w:val="39A44A75"/>
    <w:rsid w:val="39A71695"/>
    <w:rsid w:val="39B12CEE"/>
    <w:rsid w:val="39B32F0A"/>
    <w:rsid w:val="39B418FA"/>
    <w:rsid w:val="39B60304"/>
    <w:rsid w:val="39B747A8"/>
    <w:rsid w:val="39C24EFB"/>
    <w:rsid w:val="39C42A21"/>
    <w:rsid w:val="39CB3DB0"/>
    <w:rsid w:val="39CE1AF2"/>
    <w:rsid w:val="39D0586A"/>
    <w:rsid w:val="39D13674"/>
    <w:rsid w:val="39E66E3B"/>
    <w:rsid w:val="39E906DA"/>
    <w:rsid w:val="39F728F0"/>
    <w:rsid w:val="39FF3A59"/>
    <w:rsid w:val="3A013C75"/>
    <w:rsid w:val="3A053765"/>
    <w:rsid w:val="3A105C66"/>
    <w:rsid w:val="3A1219DE"/>
    <w:rsid w:val="3A12378C"/>
    <w:rsid w:val="3A25040D"/>
    <w:rsid w:val="3A2506FB"/>
    <w:rsid w:val="3A2801BE"/>
    <w:rsid w:val="3A281202"/>
    <w:rsid w:val="3A2D4A6A"/>
    <w:rsid w:val="3A2F2590"/>
    <w:rsid w:val="3A3758E9"/>
    <w:rsid w:val="3A39340F"/>
    <w:rsid w:val="3A3E4582"/>
    <w:rsid w:val="3A43428E"/>
    <w:rsid w:val="3A4A561C"/>
    <w:rsid w:val="3A4B3142"/>
    <w:rsid w:val="3A5337E7"/>
    <w:rsid w:val="3A543DA5"/>
    <w:rsid w:val="3A5706CA"/>
    <w:rsid w:val="3A5913BB"/>
    <w:rsid w:val="3A5C534F"/>
    <w:rsid w:val="3A5E1C16"/>
    <w:rsid w:val="3A6B16A6"/>
    <w:rsid w:val="3A7458CC"/>
    <w:rsid w:val="3A79380C"/>
    <w:rsid w:val="3A887EF3"/>
    <w:rsid w:val="3A8A5A19"/>
    <w:rsid w:val="3A914FF9"/>
    <w:rsid w:val="3A920D71"/>
    <w:rsid w:val="3A9248CD"/>
    <w:rsid w:val="3A9E2E5F"/>
    <w:rsid w:val="3AA52853"/>
    <w:rsid w:val="3AA7481D"/>
    <w:rsid w:val="3AAD1707"/>
    <w:rsid w:val="3AAF36D1"/>
    <w:rsid w:val="3AB807D8"/>
    <w:rsid w:val="3AB83A06"/>
    <w:rsid w:val="3ABB02C8"/>
    <w:rsid w:val="3AC52EF5"/>
    <w:rsid w:val="3AC54CA3"/>
    <w:rsid w:val="3AC802EF"/>
    <w:rsid w:val="3AC84793"/>
    <w:rsid w:val="3ACA050B"/>
    <w:rsid w:val="3ACF5B21"/>
    <w:rsid w:val="3AD16020"/>
    <w:rsid w:val="3AD4138A"/>
    <w:rsid w:val="3AD60C5E"/>
    <w:rsid w:val="3AD62A0C"/>
    <w:rsid w:val="3AD9074E"/>
    <w:rsid w:val="3AE113B1"/>
    <w:rsid w:val="3AE72E6B"/>
    <w:rsid w:val="3AE80991"/>
    <w:rsid w:val="3AEA295B"/>
    <w:rsid w:val="3AEC0AD1"/>
    <w:rsid w:val="3AEE244B"/>
    <w:rsid w:val="3B0C5F1A"/>
    <w:rsid w:val="3B1654FE"/>
    <w:rsid w:val="3B181276"/>
    <w:rsid w:val="3B1F2605"/>
    <w:rsid w:val="3B253993"/>
    <w:rsid w:val="3B273268"/>
    <w:rsid w:val="3B2A0FAA"/>
    <w:rsid w:val="3B2C2F74"/>
    <w:rsid w:val="3B2C4D22"/>
    <w:rsid w:val="3B39619E"/>
    <w:rsid w:val="3B3F4A55"/>
    <w:rsid w:val="3B44206B"/>
    <w:rsid w:val="3B514788"/>
    <w:rsid w:val="3B516536"/>
    <w:rsid w:val="3B5330AD"/>
    <w:rsid w:val="3B547DD5"/>
    <w:rsid w:val="3B5D1DC1"/>
    <w:rsid w:val="3B5F6EA5"/>
    <w:rsid w:val="3B655989"/>
    <w:rsid w:val="3B673FAC"/>
    <w:rsid w:val="3B6A75F8"/>
    <w:rsid w:val="3B7010B2"/>
    <w:rsid w:val="3B742225"/>
    <w:rsid w:val="3B7444A1"/>
    <w:rsid w:val="3B765F9D"/>
    <w:rsid w:val="3B783AC3"/>
    <w:rsid w:val="3B862684"/>
    <w:rsid w:val="3B950B19"/>
    <w:rsid w:val="3B9603ED"/>
    <w:rsid w:val="3B974891"/>
    <w:rsid w:val="3B9823B7"/>
    <w:rsid w:val="3B9A7EDD"/>
    <w:rsid w:val="3B9C1EA7"/>
    <w:rsid w:val="3BA26D92"/>
    <w:rsid w:val="3BA40D5C"/>
    <w:rsid w:val="3BA7084C"/>
    <w:rsid w:val="3BAC19BF"/>
    <w:rsid w:val="3BAF01E0"/>
    <w:rsid w:val="3BB014AF"/>
    <w:rsid w:val="3BB23479"/>
    <w:rsid w:val="3BB56AC5"/>
    <w:rsid w:val="3BBC0A63"/>
    <w:rsid w:val="3BC92571"/>
    <w:rsid w:val="3BD57167"/>
    <w:rsid w:val="3BE850ED"/>
    <w:rsid w:val="3BE86E9B"/>
    <w:rsid w:val="3BE9676F"/>
    <w:rsid w:val="3BF375EE"/>
    <w:rsid w:val="3BF53366"/>
    <w:rsid w:val="3BF910A8"/>
    <w:rsid w:val="3BFC46F4"/>
    <w:rsid w:val="3C011D0B"/>
    <w:rsid w:val="3C030416"/>
    <w:rsid w:val="3C070A0C"/>
    <w:rsid w:val="3C0D4B53"/>
    <w:rsid w:val="3C0F2EDB"/>
    <w:rsid w:val="3C187054"/>
    <w:rsid w:val="3C1C08F2"/>
    <w:rsid w:val="3C1E28BD"/>
    <w:rsid w:val="3C28373B"/>
    <w:rsid w:val="3C2E0626"/>
    <w:rsid w:val="3C326368"/>
    <w:rsid w:val="3C362D74"/>
    <w:rsid w:val="3C3814A4"/>
    <w:rsid w:val="3C3A346E"/>
    <w:rsid w:val="3C3C2D43"/>
    <w:rsid w:val="3C3D44BF"/>
    <w:rsid w:val="3C4B11D8"/>
    <w:rsid w:val="3C4D13F4"/>
    <w:rsid w:val="3C4D4F50"/>
    <w:rsid w:val="3C53008C"/>
    <w:rsid w:val="3C601BD9"/>
    <w:rsid w:val="3C6329C5"/>
    <w:rsid w:val="3C7544A7"/>
    <w:rsid w:val="3C7C5835"/>
    <w:rsid w:val="3C926E07"/>
    <w:rsid w:val="3C937993"/>
    <w:rsid w:val="3C940DD1"/>
    <w:rsid w:val="3C964B49"/>
    <w:rsid w:val="3C9C5ED7"/>
    <w:rsid w:val="3C9E39FD"/>
    <w:rsid w:val="3C9E57AB"/>
    <w:rsid w:val="3CA8662A"/>
    <w:rsid w:val="3CB7061B"/>
    <w:rsid w:val="3CC03974"/>
    <w:rsid w:val="3CCA2A44"/>
    <w:rsid w:val="3CD25455"/>
    <w:rsid w:val="3CD45671"/>
    <w:rsid w:val="3CE04016"/>
    <w:rsid w:val="3CE05DC4"/>
    <w:rsid w:val="3CE24DF8"/>
    <w:rsid w:val="3CE84C78"/>
    <w:rsid w:val="3CF278A5"/>
    <w:rsid w:val="3CFE624A"/>
    <w:rsid w:val="3CFE679F"/>
    <w:rsid w:val="3D000214"/>
    <w:rsid w:val="3D033860"/>
    <w:rsid w:val="3D053A7C"/>
    <w:rsid w:val="3D08531B"/>
    <w:rsid w:val="3D0E0B83"/>
    <w:rsid w:val="3D1141CF"/>
    <w:rsid w:val="3D115F7D"/>
    <w:rsid w:val="3D1E4B3E"/>
    <w:rsid w:val="3D202664"/>
    <w:rsid w:val="3D2832C7"/>
    <w:rsid w:val="3D2C1009"/>
    <w:rsid w:val="3D324146"/>
    <w:rsid w:val="3D332398"/>
    <w:rsid w:val="3D3954D4"/>
    <w:rsid w:val="3D3F6F8E"/>
    <w:rsid w:val="3D476492"/>
    <w:rsid w:val="3D4C16AB"/>
    <w:rsid w:val="3D567E34"/>
    <w:rsid w:val="3D5F66E9"/>
    <w:rsid w:val="3D624A2B"/>
    <w:rsid w:val="3D6E33D0"/>
    <w:rsid w:val="3D7B3D3F"/>
    <w:rsid w:val="3D872B79"/>
    <w:rsid w:val="3D94095C"/>
    <w:rsid w:val="3DAB63D2"/>
    <w:rsid w:val="3DAC5CA6"/>
    <w:rsid w:val="3DBC05DF"/>
    <w:rsid w:val="3DBF59D9"/>
    <w:rsid w:val="3DC254CA"/>
    <w:rsid w:val="3DC8149C"/>
    <w:rsid w:val="3DCC00F6"/>
    <w:rsid w:val="3DD82F3F"/>
    <w:rsid w:val="3DE10BB3"/>
    <w:rsid w:val="3DEB0EC4"/>
    <w:rsid w:val="3DEB4A20"/>
    <w:rsid w:val="3DEE4511"/>
    <w:rsid w:val="3DEF2039"/>
    <w:rsid w:val="3DFB09DB"/>
    <w:rsid w:val="3DFF3C2D"/>
    <w:rsid w:val="3DFF671E"/>
    <w:rsid w:val="3E027EEC"/>
    <w:rsid w:val="3E045AE2"/>
    <w:rsid w:val="3E047890"/>
    <w:rsid w:val="3E063608"/>
    <w:rsid w:val="3E083824"/>
    <w:rsid w:val="3E104487"/>
    <w:rsid w:val="3E1A5306"/>
    <w:rsid w:val="3E1A70B4"/>
    <w:rsid w:val="3E1C2E2C"/>
    <w:rsid w:val="3E1D4DF6"/>
    <w:rsid w:val="3E281B36"/>
    <w:rsid w:val="3E3208A1"/>
    <w:rsid w:val="3E3363C7"/>
    <w:rsid w:val="3E344619"/>
    <w:rsid w:val="3E4B54BF"/>
    <w:rsid w:val="3E4E4FAF"/>
    <w:rsid w:val="3E54456C"/>
    <w:rsid w:val="3E594D47"/>
    <w:rsid w:val="3E5B3322"/>
    <w:rsid w:val="3E612F34"/>
    <w:rsid w:val="3E66032A"/>
    <w:rsid w:val="3E686071"/>
    <w:rsid w:val="3E6A012A"/>
    <w:rsid w:val="3E6B5B61"/>
    <w:rsid w:val="3E6D1F29"/>
    <w:rsid w:val="3E6F5651"/>
    <w:rsid w:val="3E7A3FF6"/>
    <w:rsid w:val="3EA0270D"/>
    <w:rsid w:val="3EA572C5"/>
    <w:rsid w:val="3EA846BF"/>
    <w:rsid w:val="3EAF1EF2"/>
    <w:rsid w:val="3EB47508"/>
    <w:rsid w:val="3EB63280"/>
    <w:rsid w:val="3EC11C25"/>
    <w:rsid w:val="3EC84D62"/>
    <w:rsid w:val="3ECD05CA"/>
    <w:rsid w:val="3ED8393F"/>
    <w:rsid w:val="3EDC25BB"/>
    <w:rsid w:val="3EEC4EF4"/>
    <w:rsid w:val="3EEF6792"/>
    <w:rsid w:val="3EF20030"/>
    <w:rsid w:val="3EF47905"/>
    <w:rsid w:val="3F012022"/>
    <w:rsid w:val="3F1104B7"/>
    <w:rsid w:val="3F160DD8"/>
    <w:rsid w:val="3F163D1F"/>
    <w:rsid w:val="3F180A9E"/>
    <w:rsid w:val="3F2521B4"/>
    <w:rsid w:val="3F283A52"/>
    <w:rsid w:val="3F2D1069"/>
    <w:rsid w:val="3F310B59"/>
    <w:rsid w:val="3F3146B5"/>
    <w:rsid w:val="3F3E3276"/>
    <w:rsid w:val="3F400D9C"/>
    <w:rsid w:val="3F4563B2"/>
    <w:rsid w:val="3F4940F4"/>
    <w:rsid w:val="3F4E170B"/>
    <w:rsid w:val="3F5605BF"/>
    <w:rsid w:val="3F566811"/>
    <w:rsid w:val="3F620D12"/>
    <w:rsid w:val="3F626F64"/>
    <w:rsid w:val="3F676329"/>
    <w:rsid w:val="3F6902F3"/>
    <w:rsid w:val="3F731171"/>
    <w:rsid w:val="3F7942AE"/>
    <w:rsid w:val="3F8838CF"/>
    <w:rsid w:val="3F886B2B"/>
    <w:rsid w:val="3F8A6905"/>
    <w:rsid w:val="3F9410E8"/>
    <w:rsid w:val="3F984734"/>
    <w:rsid w:val="3F9B4224"/>
    <w:rsid w:val="3FA532F5"/>
    <w:rsid w:val="3FA76085"/>
    <w:rsid w:val="3FAA26B9"/>
    <w:rsid w:val="3FAC4683"/>
    <w:rsid w:val="3FB3156E"/>
    <w:rsid w:val="3FB35DA1"/>
    <w:rsid w:val="3FB47094"/>
    <w:rsid w:val="3FBB501D"/>
    <w:rsid w:val="3FBE50DF"/>
    <w:rsid w:val="3FC419CD"/>
    <w:rsid w:val="3FC65745"/>
    <w:rsid w:val="3FD00372"/>
    <w:rsid w:val="3FD87226"/>
    <w:rsid w:val="3FE47979"/>
    <w:rsid w:val="3FEB51AC"/>
    <w:rsid w:val="3FEC2CD2"/>
    <w:rsid w:val="3FEE6A4A"/>
    <w:rsid w:val="3FF37BBC"/>
    <w:rsid w:val="3FF676AC"/>
    <w:rsid w:val="3FFD6C8D"/>
    <w:rsid w:val="3FFF0C57"/>
    <w:rsid w:val="3FFF47B3"/>
    <w:rsid w:val="4004626D"/>
    <w:rsid w:val="400C4B76"/>
    <w:rsid w:val="400D3374"/>
    <w:rsid w:val="401D34DA"/>
    <w:rsid w:val="402204A1"/>
    <w:rsid w:val="40275AB8"/>
    <w:rsid w:val="402B37FA"/>
    <w:rsid w:val="402E32EA"/>
    <w:rsid w:val="402E5098"/>
    <w:rsid w:val="402F139F"/>
    <w:rsid w:val="403536BA"/>
    <w:rsid w:val="403F1053"/>
    <w:rsid w:val="403F2E01"/>
    <w:rsid w:val="403F72A5"/>
    <w:rsid w:val="40420B44"/>
    <w:rsid w:val="40477F08"/>
    <w:rsid w:val="404B79F8"/>
    <w:rsid w:val="404E573A"/>
    <w:rsid w:val="4050500F"/>
    <w:rsid w:val="40526FD9"/>
    <w:rsid w:val="40550877"/>
    <w:rsid w:val="40610FCA"/>
    <w:rsid w:val="4076423A"/>
    <w:rsid w:val="407A02DD"/>
    <w:rsid w:val="407A208B"/>
    <w:rsid w:val="407E7DCE"/>
    <w:rsid w:val="407F3B46"/>
    <w:rsid w:val="4081166C"/>
    <w:rsid w:val="40817506"/>
    <w:rsid w:val="40833636"/>
    <w:rsid w:val="408D6263"/>
    <w:rsid w:val="408E3D89"/>
    <w:rsid w:val="4092099C"/>
    <w:rsid w:val="40953369"/>
    <w:rsid w:val="40984D90"/>
    <w:rsid w:val="409A44DC"/>
    <w:rsid w:val="409E221E"/>
    <w:rsid w:val="40A4535A"/>
    <w:rsid w:val="40B01F51"/>
    <w:rsid w:val="40B76E3C"/>
    <w:rsid w:val="40C003E6"/>
    <w:rsid w:val="40C1415E"/>
    <w:rsid w:val="40C15F0C"/>
    <w:rsid w:val="40CA3013"/>
    <w:rsid w:val="40D94361"/>
    <w:rsid w:val="40DC68A2"/>
    <w:rsid w:val="40E13EB9"/>
    <w:rsid w:val="40E55CFB"/>
    <w:rsid w:val="40FC5196"/>
    <w:rsid w:val="40FC6F44"/>
    <w:rsid w:val="4105229D"/>
    <w:rsid w:val="41083B3B"/>
    <w:rsid w:val="410A78B3"/>
    <w:rsid w:val="410B7187"/>
    <w:rsid w:val="41120516"/>
    <w:rsid w:val="41173D7E"/>
    <w:rsid w:val="411918A4"/>
    <w:rsid w:val="411B561D"/>
    <w:rsid w:val="41230975"/>
    <w:rsid w:val="412F06F1"/>
    <w:rsid w:val="41395AA3"/>
    <w:rsid w:val="41412BA9"/>
    <w:rsid w:val="41432DC5"/>
    <w:rsid w:val="414803DC"/>
    <w:rsid w:val="414A4154"/>
    <w:rsid w:val="414F3518"/>
    <w:rsid w:val="41523008"/>
    <w:rsid w:val="415723CD"/>
    <w:rsid w:val="41586871"/>
    <w:rsid w:val="415D5C35"/>
    <w:rsid w:val="41605725"/>
    <w:rsid w:val="41631BA6"/>
    <w:rsid w:val="416E7E42"/>
    <w:rsid w:val="41752D86"/>
    <w:rsid w:val="417F09A2"/>
    <w:rsid w:val="4182744A"/>
    <w:rsid w:val="41847666"/>
    <w:rsid w:val="41856F3A"/>
    <w:rsid w:val="418D4040"/>
    <w:rsid w:val="41961147"/>
    <w:rsid w:val="419929E5"/>
    <w:rsid w:val="41A57C2B"/>
    <w:rsid w:val="41AE6491"/>
    <w:rsid w:val="41AF045B"/>
    <w:rsid w:val="41B8730F"/>
    <w:rsid w:val="41B873F1"/>
    <w:rsid w:val="41BA3087"/>
    <w:rsid w:val="41BE244C"/>
    <w:rsid w:val="41C061C4"/>
    <w:rsid w:val="41C2018E"/>
    <w:rsid w:val="41C71300"/>
    <w:rsid w:val="41C932CA"/>
    <w:rsid w:val="41EF2605"/>
    <w:rsid w:val="41F235E8"/>
    <w:rsid w:val="41F320F5"/>
    <w:rsid w:val="41FA16D6"/>
    <w:rsid w:val="42010CB6"/>
    <w:rsid w:val="4205007B"/>
    <w:rsid w:val="42075BA1"/>
    <w:rsid w:val="420C1409"/>
    <w:rsid w:val="420F4A55"/>
    <w:rsid w:val="42116A20"/>
    <w:rsid w:val="421309EA"/>
    <w:rsid w:val="42162288"/>
    <w:rsid w:val="421B789E"/>
    <w:rsid w:val="42246753"/>
    <w:rsid w:val="42283129"/>
    <w:rsid w:val="422846C0"/>
    <w:rsid w:val="422E312E"/>
    <w:rsid w:val="422E5823"/>
    <w:rsid w:val="423050F8"/>
    <w:rsid w:val="423158B3"/>
    <w:rsid w:val="42332E3A"/>
    <w:rsid w:val="42334BE8"/>
    <w:rsid w:val="42366486"/>
    <w:rsid w:val="42415557"/>
    <w:rsid w:val="42440BA3"/>
    <w:rsid w:val="42462B6D"/>
    <w:rsid w:val="4246491B"/>
    <w:rsid w:val="424B0183"/>
    <w:rsid w:val="425D1C65"/>
    <w:rsid w:val="425E2A05"/>
    <w:rsid w:val="426052B1"/>
    <w:rsid w:val="4262404C"/>
    <w:rsid w:val="42650575"/>
    <w:rsid w:val="42707588"/>
    <w:rsid w:val="42742392"/>
    <w:rsid w:val="4278084D"/>
    <w:rsid w:val="427E2307"/>
    <w:rsid w:val="427F7E2D"/>
    <w:rsid w:val="42843695"/>
    <w:rsid w:val="428611BC"/>
    <w:rsid w:val="42876CE2"/>
    <w:rsid w:val="42890CAC"/>
    <w:rsid w:val="429A6A15"/>
    <w:rsid w:val="429D02B3"/>
    <w:rsid w:val="429F227D"/>
    <w:rsid w:val="42A653BA"/>
    <w:rsid w:val="42A67168"/>
    <w:rsid w:val="42AD6748"/>
    <w:rsid w:val="42AE5DE9"/>
    <w:rsid w:val="42AF358B"/>
    <w:rsid w:val="42B555FD"/>
    <w:rsid w:val="42BC2E2F"/>
    <w:rsid w:val="42BF022A"/>
    <w:rsid w:val="42C24FD0"/>
    <w:rsid w:val="42C65A5C"/>
    <w:rsid w:val="42CD6DEA"/>
    <w:rsid w:val="42D40179"/>
    <w:rsid w:val="42D57A4D"/>
    <w:rsid w:val="42D77C69"/>
    <w:rsid w:val="42D9753D"/>
    <w:rsid w:val="42DA1507"/>
    <w:rsid w:val="42DF6B1E"/>
    <w:rsid w:val="42E83C24"/>
    <w:rsid w:val="42E91FDB"/>
    <w:rsid w:val="42F56341"/>
    <w:rsid w:val="42F97BDF"/>
    <w:rsid w:val="430622FC"/>
    <w:rsid w:val="430B7913"/>
    <w:rsid w:val="430F11B1"/>
    <w:rsid w:val="430F7403"/>
    <w:rsid w:val="43104F29"/>
    <w:rsid w:val="431E7600"/>
    <w:rsid w:val="431E7646"/>
    <w:rsid w:val="432664FB"/>
    <w:rsid w:val="43324E9F"/>
    <w:rsid w:val="4335673E"/>
    <w:rsid w:val="43362BE2"/>
    <w:rsid w:val="43366823"/>
    <w:rsid w:val="43374264"/>
    <w:rsid w:val="4339622E"/>
    <w:rsid w:val="433B1FA6"/>
    <w:rsid w:val="43482915"/>
    <w:rsid w:val="434D3A87"/>
    <w:rsid w:val="4359242C"/>
    <w:rsid w:val="436112E1"/>
    <w:rsid w:val="4368266F"/>
    <w:rsid w:val="436C6603"/>
    <w:rsid w:val="436E3370"/>
    <w:rsid w:val="43827BD5"/>
    <w:rsid w:val="43916EF7"/>
    <w:rsid w:val="439671DC"/>
    <w:rsid w:val="43A044FF"/>
    <w:rsid w:val="43AA0EDA"/>
    <w:rsid w:val="43AC6A00"/>
    <w:rsid w:val="43AF64F0"/>
    <w:rsid w:val="43B12268"/>
    <w:rsid w:val="43B27D8E"/>
    <w:rsid w:val="43B35FE0"/>
    <w:rsid w:val="43B86640"/>
    <w:rsid w:val="43B92ECB"/>
    <w:rsid w:val="43BF2BD7"/>
    <w:rsid w:val="43D30430"/>
    <w:rsid w:val="43D61CCF"/>
    <w:rsid w:val="43D917BF"/>
    <w:rsid w:val="43DF5A69"/>
    <w:rsid w:val="43E51F12"/>
    <w:rsid w:val="43F6411F"/>
    <w:rsid w:val="44000AFA"/>
    <w:rsid w:val="44022AC4"/>
    <w:rsid w:val="4404683C"/>
    <w:rsid w:val="440525B4"/>
    <w:rsid w:val="44096A35"/>
    <w:rsid w:val="440A7BCA"/>
    <w:rsid w:val="440B0BF3"/>
    <w:rsid w:val="441427F7"/>
    <w:rsid w:val="441B1DD7"/>
    <w:rsid w:val="441D16AC"/>
    <w:rsid w:val="442C18EF"/>
    <w:rsid w:val="443F2D9E"/>
    <w:rsid w:val="44466E54"/>
    <w:rsid w:val="444F55DD"/>
    <w:rsid w:val="4450382F"/>
    <w:rsid w:val="44531571"/>
    <w:rsid w:val="445C6678"/>
    <w:rsid w:val="445E272C"/>
    <w:rsid w:val="446217B4"/>
    <w:rsid w:val="446A2417"/>
    <w:rsid w:val="446B68BB"/>
    <w:rsid w:val="446C43E1"/>
    <w:rsid w:val="446C618F"/>
    <w:rsid w:val="447339C1"/>
    <w:rsid w:val="447514E8"/>
    <w:rsid w:val="44775260"/>
    <w:rsid w:val="447D039C"/>
    <w:rsid w:val="4484172B"/>
    <w:rsid w:val="448636F5"/>
    <w:rsid w:val="448E6105"/>
    <w:rsid w:val="449000D0"/>
    <w:rsid w:val="449138C6"/>
    <w:rsid w:val="4497145E"/>
    <w:rsid w:val="44B518E4"/>
    <w:rsid w:val="44B87626"/>
    <w:rsid w:val="44BD69EB"/>
    <w:rsid w:val="44BE2E8F"/>
    <w:rsid w:val="44C13B24"/>
    <w:rsid w:val="44C24001"/>
    <w:rsid w:val="44C257D4"/>
    <w:rsid w:val="44C50779"/>
    <w:rsid w:val="44C91833"/>
    <w:rsid w:val="44D81A76"/>
    <w:rsid w:val="44DA46CB"/>
    <w:rsid w:val="44E328F5"/>
    <w:rsid w:val="44E421C9"/>
    <w:rsid w:val="44E623E5"/>
    <w:rsid w:val="44E92D30"/>
    <w:rsid w:val="44EB79FC"/>
    <w:rsid w:val="44F17D02"/>
    <w:rsid w:val="44F87A23"/>
    <w:rsid w:val="44FC5765"/>
    <w:rsid w:val="450308A1"/>
    <w:rsid w:val="4504461A"/>
    <w:rsid w:val="450A60D4"/>
    <w:rsid w:val="450D7972"/>
    <w:rsid w:val="451A208F"/>
    <w:rsid w:val="451E56DB"/>
    <w:rsid w:val="45224346"/>
    <w:rsid w:val="452D591E"/>
    <w:rsid w:val="45327C70"/>
    <w:rsid w:val="453727C7"/>
    <w:rsid w:val="454113CA"/>
    <w:rsid w:val="4541761C"/>
    <w:rsid w:val="45462E84"/>
    <w:rsid w:val="454D7D6F"/>
    <w:rsid w:val="454F3AE7"/>
    <w:rsid w:val="45576E3F"/>
    <w:rsid w:val="455C4456"/>
    <w:rsid w:val="455E0543"/>
    <w:rsid w:val="45603F46"/>
    <w:rsid w:val="456A0921"/>
    <w:rsid w:val="45795008"/>
    <w:rsid w:val="457C0EFB"/>
    <w:rsid w:val="4590203B"/>
    <w:rsid w:val="45921C25"/>
    <w:rsid w:val="45927E77"/>
    <w:rsid w:val="45A1630C"/>
    <w:rsid w:val="45A57BAB"/>
    <w:rsid w:val="45AD6A5F"/>
    <w:rsid w:val="45B002FD"/>
    <w:rsid w:val="45B222C8"/>
    <w:rsid w:val="45B44292"/>
    <w:rsid w:val="45C142B9"/>
    <w:rsid w:val="45C5024D"/>
    <w:rsid w:val="45CF69D6"/>
    <w:rsid w:val="45D43FEC"/>
    <w:rsid w:val="45E00BE3"/>
    <w:rsid w:val="45E83F3B"/>
    <w:rsid w:val="45E96F9B"/>
    <w:rsid w:val="45EA1A61"/>
    <w:rsid w:val="45EC7588"/>
    <w:rsid w:val="45F43BFF"/>
    <w:rsid w:val="45F823D0"/>
    <w:rsid w:val="46004DE1"/>
    <w:rsid w:val="46026DAB"/>
    <w:rsid w:val="460348D1"/>
    <w:rsid w:val="46040D75"/>
    <w:rsid w:val="46080139"/>
    <w:rsid w:val="460F771A"/>
    <w:rsid w:val="46102858"/>
    <w:rsid w:val="46144D30"/>
    <w:rsid w:val="461E795D"/>
    <w:rsid w:val="4629258A"/>
    <w:rsid w:val="462C207A"/>
    <w:rsid w:val="462E5E6E"/>
    <w:rsid w:val="462E7BA0"/>
    <w:rsid w:val="462F66AF"/>
    <w:rsid w:val="46310FCF"/>
    <w:rsid w:val="463158E2"/>
    <w:rsid w:val="46340F2E"/>
    <w:rsid w:val="463827CD"/>
    <w:rsid w:val="46401681"/>
    <w:rsid w:val="46431172"/>
    <w:rsid w:val="46447445"/>
    <w:rsid w:val="464F7B16"/>
    <w:rsid w:val="46541B0B"/>
    <w:rsid w:val="46582E6F"/>
    <w:rsid w:val="4665733A"/>
    <w:rsid w:val="4676240A"/>
    <w:rsid w:val="46805F22"/>
    <w:rsid w:val="46820877"/>
    <w:rsid w:val="468C48C7"/>
    <w:rsid w:val="4690085B"/>
    <w:rsid w:val="46916381"/>
    <w:rsid w:val="4692772F"/>
    <w:rsid w:val="4698326B"/>
    <w:rsid w:val="469D0882"/>
    <w:rsid w:val="469D6AD4"/>
    <w:rsid w:val="46A00372"/>
    <w:rsid w:val="46A240EA"/>
    <w:rsid w:val="46A47E62"/>
    <w:rsid w:val="46A55988"/>
    <w:rsid w:val="46A61E2C"/>
    <w:rsid w:val="46AA2F9F"/>
    <w:rsid w:val="46AC4F69"/>
    <w:rsid w:val="46C16C66"/>
    <w:rsid w:val="46C73B51"/>
    <w:rsid w:val="46C978C9"/>
    <w:rsid w:val="46CB706D"/>
    <w:rsid w:val="46CF55AF"/>
    <w:rsid w:val="46D149CF"/>
    <w:rsid w:val="46D52711"/>
    <w:rsid w:val="46DA7D28"/>
    <w:rsid w:val="46DF78FC"/>
    <w:rsid w:val="46E75FA1"/>
    <w:rsid w:val="46E841F3"/>
    <w:rsid w:val="46E91D19"/>
    <w:rsid w:val="46EE10DD"/>
    <w:rsid w:val="46F661E4"/>
    <w:rsid w:val="46FA3F26"/>
    <w:rsid w:val="470628CB"/>
    <w:rsid w:val="47072FAE"/>
    <w:rsid w:val="470924B5"/>
    <w:rsid w:val="470E1780"/>
    <w:rsid w:val="470E352E"/>
    <w:rsid w:val="471A45C8"/>
    <w:rsid w:val="471C20EE"/>
    <w:rsid w:val="472745EF"/>
    <w:rsid w:val="4729480B"/>
    <w:rsid w:val="472B0583"/>
    <w:rsid w:val="472C347D"/>
    <w:rsid w:val="473016F6"/>
    <w:rsid w:val="473236C0"/>
    <w:rsid w:val="473531B0"/>
    <w:rsid w:val="473867FC"/>
    <w:rsid w:val="4740402F"/>
    <w:rsid w:val="47431429"/>
    <w:rsid w:val="474B29D4"/>
    <w:rsid w:val="474D04FA"/>
    <w:rsid w:val="474E4F60"/>
    <w:rsid w:val="474F593B"/>
    <w:rsid w:val="47531190"/>
    <w:rsid w:val="475573AE"/>
    <w:rsid w:val="47596E9F"/>
    <w:rsid w:val="475A49C5"/>
    <w:rsid w:val="475E6263"/>
    <w:rsid w:val="47633879"/>
    <w:rsid w:val="4764581D"/>
    <w:rsid w:val="476639B9"/>
    <w:rsid w:val="47685334"/>
    <w:rsid w:val="477B2F1C"/>
    <w:rsid w:val="478163F5"/>
    <w:rsid w:val="47857C94"/>
    <w:rsid w:val="478A34FC"/>
    <w:rsid w:val="478D6B48"/>
    <w:rsid w:val="47A125F4"/>
    <w:rsid w:val="47A143A2"/>
    <w:rsid w:val="47A607CF"/>
    <w:rsid w:val="47AB6FCE"/>
    <w:rsid w:val="47AF2F63"/>
    <w:rsid w:val="47B16CDB"/>
    <w:rsid w:val="47B972D2"/>
    <w:rsid w:val="47C00CCC"/>
    <w:rsid w:val="47C06F1E"/>
    <w:rsid w:val="47C46FB6"/>
    <w:rsid w:val="47CA1B4A"/>
    <w:rsid w:val="47CD19D7"/>
    <w:rsid w:val="47D429C9"/>
    <w:rsid w:val="47D604EF"/>
    <w:rsid w:val="47DD7AD0"/>
    <w:rsid w:val="47DE1152"/>
    <w:rsid w:val="47E26E94"/>
    <w:rsid w:val="47ED3A8B"/>
    <w:rsid w:val="47EF644C"/>
    <w:rsid w:val="47F67274"/>
    <w:rsid w:val="47FD2B0E"/>
    <w:rsid w:val="48015AC8"/>
    <w:rsid w:val="48082673"/>
    <w:rsid w:val="480A63EB"/>
    <w:rsid w:val="480C16A5"/>
    <w:rsid w:val="480F1EC9"/>
    <w:rsid w:val="48141018"/>
    <w:rsid w:val="48253225"/>
    <w:rsid w:val="482A083B"/>
    <w:rsid w:val="482F5E51"/>
    <w:rsid w:val="48400C1E"/>
    <w:rsid w:val="484841A9"/>
    <w:rsid w:val="48486B1C"/>
    <w:rsid w:val="484F02A2"/>
    <w:rsid w:val="48517B76"/>
    <w:rsid w:val="4860600B"/>
    <w:rsid w:val="486620A5"/>
    <w:rsid w:val="48674C76"/>
    <w:rsid w:val="48693111"/>
    <w:rsid w:val="48710218"/>
    <w:rsid w:val="48711FC6"/>
    <w:rsid w:val="487321E2"/>
    <w:rsid w:val="48741AB6"/>
    <w:rsid w:val="487D6BBD"/>
    <w:rsid w:val="48802209"/>
    <w:rsid w:val="48853CC3"/>
    <w:rsid w:val="48855A71"/>
    <w:rsid w:val="48A24875"/>
    <w:rsid w:val="48A73C3A"/>
    <w:rsid w:val="48AF2AEE"/>
    <w:rsid w:val="48BB76E5"/>
    <w:rsid w:val="48C61658"/>
    <w:rsid w:val="48D6451F"/>
    <w:rsid w:val="48D8709A"/>
    <w:rsid w:val="48D97AD5"/>
    <w:rsid w:val="48E3695A"/>
    <w:rsid w:val="48E42798"/>
    <w:rsid w:val="48E924A4"/>
    <w:rsid w:val="48F13107"/>
    <w:rsid w:val="48F30C2D"/>
    <w:rsid w:val="48FA645F"/>
    <w:rsid w:val="48FC3F85"/>
    <w:rsid w:val="48FD17C2"/>
    <w:rsid w:val="4901159C"/>
    <w:rsid w:val="490746D8"/>
    <w:rsid w:val="490F0B9F"/>
    <w:rsid w:val="4917140F"/>
    <w:rsid w:val="491B2179"/>
    <w:rsid w:val="491C12E5"/>
    <w:rsid w:val="491D214E"/>
    <w:rsid w:val="49231ACD"/>
    <w:rsid w:val="49267254"/>
    <w:rsid w:val="492928A1"/>
    <w:rsid w:val="4929464F"/>
    <w:rsid w:val="492B6619"/>
    <w:rsid w:val="49305CE7"/>
    <w:rsid w:val="49396F88"/>
    <w:rsid w:val="493A685C"/>
    <w:rsid w:val="49492F43"/>
    <w:rsid w:val="495C4A24"/>
    <w:rsid w:val="495D254A"/>
    <w:rsid w:val="495F62C2"/>
    <w:rsid w:val="496E2AA3"/>
    <w:rsid w:val="497C6E74"/>
    <w:rsid w:val="498126DD"/>
    <w:rsid w:val="49861AA1"/>
    <w:rsid w:val="49883A6B"/>
    <w:rsid w:val="49892DB7"/>
    <w:rsid w:val="499279B0"/>
    <w:rsid w:val="49951CE4"/>
    <w:rsid w:val="49997A26"/>
    <w:rsid w:val="499E503D"/>
    <w:rsid w:val="49A10689"/>
    <w:rsid w:val="49A60395"/>
    <w:rsid w:val="49AD34D2"/>
    <w:rsid w:val="49AE2DA6"/>
    <w:rsid w:val="49B02FC2"/>
    <w:rsid w:val="49B22896"/>
    <w:rsid w:val="49C64593"/>
    <w:rsid w:val="49C66341"/>
    <w:rsid w:val="49C8668D"/>
    <w:rsid w:val="49CA4084"/>
    <w:rsid w:val="49CA7BE0"/>
    <w:rsid w:val="49CF169A"/>
    <w:rsid w:val="49CF51F6"/>
    <w:rsid w:val="49D942C7"/>
    <w:rsid w:val="49D97E23"/>
    <w:rsid w:val="49E07403"/>
    <w:rsid w:val="49EB7B56"/>
    <w:rsid w:val="49F20EE5"/>
    <w:rsid w:val="49F904C5"/>
    <w:rsid w:val="4A0C644A"/>
    <w:rsid w:val="4A2B43F6"/>
    <w:rsid w:val="4A3239D7"/>
    <w:rsid w:val="4A3A67A3"/>
    <w:rsid w:val="4A3B288C"/>
    <w:rsid w:val="4A3D2AA8"/>
    <w:rsid w:val="4A4200BE"/>
    <w:rsid w:val="4A422817"/>
    <w:rsid w:val="4A49144C"/>
    <w:rsid w:val="4A4A2ACF"/>
    <w:rsid w:val="4A4C2CEB"/>
    <w:rsid w:val="4A4F6337"/>
    <w:rsid w:val="4A520E1F"/>
    <w:rsid w:val="4A5C2802"/>
    <w:rsid w:val="4A5E31D9"/>
    <w:rsid w:val="4A600544"/>
    <w:rsid w:val="4A6873F9"/>
    <w:rsid w:val="4A6A13C3"/>
    <w:rsid w:val="4A6F0787"/>
    <w:rsid w:val="4A712751"/>
    <w:rsid w:val="4A783AE0"/>
    <w:rsid w:val="4A7D2EA4"/>
    <w:rsid w:val="4A7E6C1C"/>
    <w:rsid w:val="4A800BE6"/>
    <w:rsid w:val="4A82495E"/>
    <w:rsid w:val="4A895CED"/>
    <w:rsid w:val="4A8A736F"/>
    <w:rsid w:val="4A8C30E7"/>
    <w:rsid w:val="4A8E50B1"/>
    <w:rsid w:val="4A963F66"/>
    <w:rsid w:val="4A993A56"/>
    <w:rsid w:val="4A995804"/>
    <w:rsid w:val="4A9D70A2"/>
    <w:rsid w:val="4A9E2E1A"/>
    <w:rsid w:val="4AA01FB7"/>
    <w:rsid w:val="4AAC3789"/>
    <w:rsid w:val="4AAE0160"/>
    <w:rsid w:val="4AAE7501"/>
    <w:rsid w:val="4AB16FF2"/>
    <w:rsid w:val="4AC565F9"/>
    <w:rsid w:val="4AC76815"/>
    <w:rsid w:val="4ACC3E2B"/>
    <w:rsid w:val="4ACC7988"/>
    <w:rsid w:val="4AD239F8"/>
    <w:rsid w:val="4AD30D16"/>
    <w:rsid w:val="4AD4683C"/>
    <w:rsid w:val="4AD54A8E"/>
    <w:rsid w:val="4ADF76BB"/>
    <w:rsid w:val="4AE42F23"/>
    <w:rsid w:val="4AF018C8"/>
    <w:rsid w:val="4AF56EDE"/>
    <w:rsid w:val="4AF8077D"/>
    <w:rsid w:val="4AFA44F5"/>
    <w:rsid w:val="4AFB201B"/>
    <w:rsid w:val="4B007631"/>
    <w:rsid w:val="4B045373"/>
    <w:rsid w:val="4B054C48"/>
    <w:rsid w:val="4B094738"/>
    <w:rsid w:val="4B1530DD"/>
    <w:rsid w:val="4B187071"/>
    <w:rsid w:val="4B217CD3"/>
    <w:rsid w:val="4B241572"/>
    <w:rsid w:val="4B272E10"/>
    <w:rsid w:val="4B3D6AD7"/>
    <w:rsid w:val="4B3F0159"/>
    <w:rsid w:val="4B490FD8"/>
    <w:rsid w:val="4B4C2876"/>
    <w:rsid w:val="4B4C4BB5"/>
    <w:rsid w:val="4B4C600B"/>
    <w:rsid w:val="4B4E4840"/>
    <w:rsid w:val="4B5160DF"/>
    <w:rsid w:val="4B517E8D"/>
    <w:rsid w:val="4B5736F5"/>
    <w:rsid w:val="4B6127C6"/>
    <w:rsid w:val="4B6422B6"/>
    <w:rsid w:val="4B647BC0"/>
    <w:rsid w:val="4B6B0F4E"/>
    <w:rsid w:val="4B6E6C91"/>
    <w:rsid w:val="4B736055"/>
    <w:rsid w:val="4B781855"/>
    <w:rsid w:val="4B7C13AE"/>
    <w:rsid w:val="4B814C16"/>
    <w:rsid w:val="4B83273C"/>
    <w:rsid w:val="4B897627"/>
    <w:rsid w:val="4B8A5FB1"/>
    <w:rsid w:val="4B920E8F"/>
    <w:rsid w:val="4B9304A5"/>
    <w:rsid w:val="4B9534D3"/>
    <w:rsid w:val="4B9E1324"/>
    <w:rsid w:val="4BA44460"/>
    <w:rsid w:val="4BAD5A0B"/>
    <w:rsid w:val="4BB33A7C"/>
    <w:rsid w:val="4BBC79FC"/>
    <w:rsid w:val="4BBE3774"/>
    <w:rsid w:val="4BC62629"/>
    <w:rsid w:val="4BDC3BFA"/>
    <w:rsid w:val="4BE40D01"/>
    <w:rsid w:val="4BE4534F"/>
    <w:rsid w:val="4BE64A79"/>
    <w:rsid w:val="4BEA4569"/>
    <w:rsid w:val="4BF058F8"/>
    <w:rsid w:val="4BF076A6"/>
    <w:rsid w:val="4BF54CBC"/>
    <w:rsid w:val="4BF74ED8"/>
    <w:rsid w:val="4C0575F5"/>
    <w:rsid w:val="4C066EC9"/>
    <w:rsid w:val="4C0F2222"/>
    <w:rsid w:val="4C0F5D7E"/>
    <w:rsid w:val="4C107D48"/>
    <w:rsid w:val="4C193AAC"/>
    <w:rsid w:val="4C1A290C"/>
    <w:rsid w:val="4C2630C7"/>
    <w:rsid w:val="4C2832E3"/>
    <w:rsid w:val="4C2F0F0C"/>
    <w:rsid w:val="4C324162"/>
    <w:rsid w:val="4C455C43"/>
    <w:rsid w:val="4C466C94"/>
    <w:rsid w:val="4C485734"/>
    <w:rsid w:val="4C4B0D80"/>
    <w:rsid w:val="4C5145E8"/>
    <w:rsid w:val="4C577725"/>
    <w:rsid w:val="4C583BC9"/>
    <w:rsid w:val="4C5B5467"/>
    <w:rsid w:val="4C5C2F8D"/>
    <w:rsid w:val="4C742085"/>
    <w:rsid w:val="4C804ECE"/>
    <w:rsid w:val="4C8A7AFA"/>
    <w:rsid w:val="4C96649F"/>
    <w:rsid w:val="4C972C2F"/>
    <w:rsid w:val="4C9B3AB5"/>
    <w:rsid w:val="4C9D5A7F"/>
    <w:rsid w:val="4CA46E0E"/>
    <w:rsid w:val="4CA87053"/>
    <w:rsid w:val="4CA94424"/>
    <w:rsid w:val="4CAA3CF8"/>
    <w:rsid w:val="4CAD5011"/>
    <w:rsid w:val="4CAE1A3B"/>
    <w:rsid w:val="4CB44B77"/>
    <w:rsid w:val="4CB71CC9"/>
    <w:rsid w:val="4CBD3A2C"/>
    <w:rsid w:val="4CC312AD"/>
    <w:rsid w:val="4CC72AFC"/>
    <w:rsid w:val="4CC96874"/>
    <w:rsid w:val="4CD86AB8"/>
    <w:rsid w:val="4CDB0356"/>
    <w:rsid w:val="4CE57C6E"/>
    <w:rsid w:val="4CE718DD"/>
    <w:rsid w:val="4CE74F4D"/>
    <w:rsid w:val="4CEA0599"/>
    <w:rsid w:val="4CF338F1"/>
    <w:rsid w:val="4CFB4554"/>
    <w:rsid w:val="4D096C71"/>
    <w:rsid w:val="4D1A0E7E"/>
    <w:rsid w:val="4D1D44CA"/>
    <w:rsid w:val="4D1E7C86"/>
    <w:rsid w:val="4D227280"/>
    <w:rsid w:val="4D27359B"/>
    <w:rsid w:val="4D2F41FE"/>
    <w:rsid w:val="4D2F4E2E"/>
    <w:rsid w:val="4D330192"/>
    <w:rsid w:val="4D3B2BA3"/>
    <w:rsid w:val="4D427081"/>
    <w:rsid w:val="4D4759EB"/>
    <w:rsid w:val="4D4C3002"/>
    <w:rsid w:val="4D4C53FF"/>
    <w:rsid w:val="4D5325E2"/>
    <w:rsid w:val="4D5D520F"/>
    <w:rsid w:val="4D654BD1"/>
    <w:rsid w:val="4D752558"/>
    <w:rsid w:val="4D7D31BB"/>
    <w:rsid w:val="4D824513"/>
    <w:rsid w:val="4D8C1650"/>
    <w:rsid w:val="4D92310A"/>
    <w:rsid w:val="4D956757"/>
    <w:rsid w:val="4D9724CF"/>
    <w:rsid w:val="4D9C1893"/>
    <w:rsid w:val="4DA370C6"/>
    <w:rsid w:val="4DA60964"/>
    <w:rsid w:val="4DAC584E"/>
    <w:rsid w:val="4DB12E65"/>
    <w:rsid w:val="4DB72B71"/>
    <w:rsid w:val="4DB841F3"/>
    <w:rsid w:val="4DBA61BD"/>
    <w:rsid w:val="4DBC0187"/>
    <w:rsid w:val="4DC1754C"/>
    <w:rsid w:val="4DC80BAD"/>
    <w:rsid w:val="4DCB03CA"/>
    <w:rsid w:val="4DCB3F26"/>
    <w:rsid w:val="4DCD141B"/>
    <w:rsid w:val="4DCE1C69"/>
    <w:rsid w:val="4DD70B1D"/>
    <w:rsid w:val="4DDC6134"/>
    <w:rsid w:val="4DDD3C5A"/>
    <w:rsid w:val="4DDE1EAC"/>
    <w:rsid w:val="4DDF5C24"/>
    <w:rsid w:val="4DE17BEE"/>
    <w:rsid w:val="4DE81F80"/>
    <w:rsid w:val="4DEA5FE1"/>
    <w:rsid w:val="4DED20EF"/>
    <w:rsid w:val="4DED6593"/>
    <w:rsid w:val="4DF25957"/>
    <w:rsid w:val="4DF3347D"/>
    <w:rsid w:val="4DFA7BDD"/>
    <w:rsid w:val="4DFC38F3"/>
    <w:rsid w:val="4DFE254E"/>
    <w:rsid w:val="4E0631B0"/>
    <w:rsid w:val="4E0D453F"/>
    <w:rsid w:val="4E140128"/>
    <w:rsid w:val="4E141D71"/>
    <w:rsid w:val="4E17716C"/>
    <w:rsid w:val="4E200716"/>
    <w:rsid w:val="4E266826"/>
    <w:rsid w:val="4E3441C2"/>
    <w:rsid w:val="4E3715BC"/>
    <w:rsid w:val="4E393586"/>
    <w:rsid w:val="4E473EF5"/>
    <w:rsid w:val="4E516B22"/>
    <w:rsid w:val="4E5864F2"/>
    <w:rsid w:val="4E61488B"/>
    <w:rsid w:val="4E6600F3"/>
    <w:rsid w:val="4E6A1991"/>
    <w:rsid w:val="4E6A7057"/>
    <w:rsid w:val="4E6F51FA"/>
    <w:rsid w:val="4E7C16C5"/>
    <w:rsid w:val="4E834801"/>
    <w:rsid w:val="4E9904C8"/>
    <w:rsid w:val="4E9B5FEF"/>
    <w:rsid w:val="4EA330F5"/>
    <w:rsid w:val="4EAD5D22"/>
    <w:rsid w:val="4EB40E5E"/>
    <w:rsid w:val="4EB62E28"/>
    <w:rsid w:val="4EB946C7"/>
    <w:rsid w:val="4EBE1CDD"/>
    <w:rsid w:val="4EC41512"/>
    <w:rsid w:val="4ECC6563"/>
    <w:rsid w:val="4ED27537"/>
    <w:rsid w:val="4ED908C5"/>
    <w:rsid w:val="4EDB463D"/>
    <w:rsid w:val="4EDD6607"/>
    <w:rsid w:val="4EE527CC"/>
    <w:rsid w:val="4EE94FAC"/>
    <w:rsid w:val="4EE96D5A"/>
    <w:rsid w:val="4EEF44CD"/>
    <w:rsid w:val="4EF179BD"/>
    <w:rsid w:val="4EFA0F67"/>
    <w:rsid w:val="4EFB4CDF"/>
    <w:rsid w:val="4F0771E0"/>
    <w:rsid w:val="4F0A4F22"/>
    <w:rsid w:val="4F135B85"/>
    <w:rsid w:val="4F1B712F"/>
    <w:rsid w:val="4F231B40"/>
    <w:rsid w:val="4F2558B8"/>
    <w:rsid w:val="4F294A17"/>
    <w:rsid w:val="4F2C30EB"/>
    <w:rsid w:val="4F336227"/>
    <w:rsid w:val="4F3501F1"/>
    <w:rsid w:val="4F361873"/>
    <w:rsid w:val="4F4A3571"/>
    <w:rsid w:val="4F530677"/>
    <w:rsid w:val="4F532425"/>
    <w:rsid w:val="4F5368C9"/>
    <w:rsid w:val="4F672375"/>
    <w:rsid w:val="4F6B5525"/>
    <w:rsid w:val="4F754A92"/>
    <w:rsid w:val="4F7A5C04"/>
    <w:rsid w:val="4F7D3946"/>
    <w:rsid w:val="4F7F76BE"/>
    <w:rsid w:val="4F8545A9"/>
    <w:rsid w:val="4F860A4D"/>
    <w:rsid w:val="4F87507A"/>
    <w:rsid w:val="4F905428"/>
    <w:rsid w:val="4F933C06"/>
    <w:rsid w:val="4F960564"/>
    <w:rsid w:val="4F98252E"/>
    <w:rsid w:val="4F9B5B7A"/>
    <w:rsid w:val="4FA3275B"/>
    <w:rsid w:val="4FA64C4B"/>
    <w:rsid w:val="4FAD5FDA"/>
    <w:rsid w:val="4FB82BD0"/>
    <w:rsid w:val="4FBA24A4"/>
    <w:rsid w:val="4FBF5290"/>
    <w:rsid w:val="4FCD667C"/>
    <w:rsid w:val="4FCE5F50"/>
    <w:rsid w:val="4FD03A76"/>
    <w:rsid w:val="4FDF07AC"/>
    <w:rsid w:val="4FE439C5"/>
    <w:rsid w:val="4FF21C3E"/>
    <w:rsid w:val="4FF77255"/>
    <w:rsid w:val="50016325"/>
    <w:rsid w:val="50025BF9"/>
    <w:rsid w:val="50081462"/>
    <w:rsid w:val="501147DB"/>
    <w:rsid w:val="501A5E16"/>
    <w:rsid w:val="502838B2"/>
    <w:rsid w:val="502A762A"/>
    <w:rsid w:val="502D711A"/>
    <w:rsid w:val="503404A9"/>
    <w:rsid w:val="50377F99"/>
    <w:rsid w:val="5038161B"/>
    <w:rsid w:val="503A35E5"/>
    <w:rsid w:val="503E1327"/>
    <w:rsid w:val="503F0BFC"/>
    <w:rsid w:val="504601DC"/>
    <w:rsid w:val="504A1A7A"/>
    <w:rsid w:val="504B134F"/>
    <w:rsid w:val="50575F45"/>
    <w:rsid w:val="50597F0F"/>
    <w:rsid w:val="5060304C"/>
    <w:rsid w:val="506A211C"/>
    <w:rsid w:val="506D3551"/>
    <w:rsid w:val="50715259"/>
    <w:rsid w:val="50812FC2"/>
    <w:rsid w:val="50830AE8"/>
    <w:rsid w:val="508825A3"/>
    <w:rsid w:val="508F1B83"/>
    <w:rsid w:val="509E5922"/>
    <w:rsid w:val="50A078EC"/>
    <w:rsid w:val="50AA0865"/>
    <w:rsid w:val="50B54B14"/>
    <w:rsid w:val="50BB0282"/>
    <w:rsid w:val="50BC3FFA"/>
    <w:rsid w:val="50BE3E79"/>
    <w:rsid w:val="50BE7D72"/>
    <w:rsid w:val="50C25AB5"/>
    <w:rsid w:val="50C80BF1"/>
    <w:rsid w:val="50D15CF8"/>
    <w:rsid w:val="50D2381E"/>
    <w:rsid w:val="50D43A3A"/>
    <w:rsid w:val="50D852D8"/>
    <w:rsid w:val="50DB0924"/>
    <w:rsid w:val="50DC291C"/>
    <w:rsid w:val="50E27F05"/>
    <w:rsid w:val="50E7376D"/>
    <w:rsid w:val="50F11EF6"/>
    <w:rsid w:val="50F419E6"/>
    <w:rsid w:val="50F750F6"/>
    <w:rsid w:val="50FB3A77"/>
    <w:rsid w:val="50FC089B"/>
    <w:rsid w:val="50FD6AED"/>
    <w:rsid w:val="510A120A"/>
    <w:rsid w:val="511107EA"/>
    <w:rsid w:val="51121E6C"/>
    <w:rsid w:val="5114461E"/>
    <w:rsid w:val="5119144D"/>
    <w:rsid w:val="511A58F1"/>
    <w:rsid w:val="511F54FA"/>
    <w:rsid w:val="51366528"/>
    <w:rsid w:val="51385D77"/>
    <w:rsid w:val="51387B25"/>
    <w:rsid w:val="513D513B"/>
    <w:rsid w:val="513E2C61"/>
    <w:rsid w:val="51422751"/>
    <w:rsid w:val="514F0813"/>
    <w:rsid w:val="51644DBE"/>
    <w:rsid w:val="517A638F"/>
    <w:rsid w:val="517C6A98"/>
    <w:rsid w:val="5184720E"/>
    <w:rsid w:val="518E5997"/>
    <w:rsid w:val="51954F77"/>
    <w:rsid w:val="519901E5"/>
    <w:rsid w:val="51A74CAA"/>
    <w:rsid w:val="51AC406F"/>
    <w:rsid w:val="51AE6039"/>
    <w:rsid w:val="51B3364F"/>
    <w:rsid w:val="51B65454"/>
    <w:rsid w:val="51BA2C30"/>
    <w:rsid w:val="51C94C21"/>
    <w:rsid w:val="51C969CF"/>
    <w:rsid w:val="51CB2747"/>
    <w:rsid w:val="51D33CF1"/>
    <w:rsid w:val="51D3784E"/>
    <w:rsid w:val="51D830B6"/>
    <w:rsid w:val="51DF61F2"/>
    <w:rsid w:val="51DF6918"/>
    <w:rsid w:val="51E14F57"/>
    <w:rsid w:val="51E43809"/>
    <w:rsid w:val="51FA3520"/>
    <w:rsid w:val="520619D1"/>
    <w:rsid w:val="52100AA2"/>
    <w:rsid w:val="521C2FA3"/>
    <w:rsid w:val="521F6F37"/>
    <w:rsid w:val="52285DEB"/>
    <w:rsid w:val="522A26AA"/>
    <w:rsid w:val="522B762E"/>
    <w:rsid w:val="523227C6"/>
    <w:rsid w:val="523634E2"/>
    <w:rsid w:val="52377DDC"/>
    <w:rsid w:val="523F1387"/>
    <w:rsid w:val="52410C5B"/>
    <w:rsid w:val="525965F4"/>
    <w:rsid w:val="525A7F6F"/>
    <w:rsid w:val="525E7637"/>
    <w:rsid w:val="525E7A5F"/>
    <w:rsid w:val="526861E8"/>
    <w:rsid w:val="52691F60"/>
    <w:rsid w:val="52707792"/>
    <w:rsid w:val="52720E14"/>
    <w:rsid w:val="52741030"/>
    <w:rsid w:val="5288688A"/>
    <w:rsid w:val="528B1ED6"/>
    <w:rsid w:val="528B637A"/>
    <w:rsid w:val="528D20F2"/>
    <w:rsid w:val="52923265"/>
    <w:rsid w:val="52943481"/>
    <w:rsid w:val="5294522F"/>
    <w:rsid w:val="529C0587"/>
    <w:rsid w:val="529E7E5B"/>
    <w:rsid w:val="52AF02BB"/>
    <w:rsid w:val="52B825F7"/>
    <w:rsid w:val="52BD6CE2"/>
    <w:rsid w:val="52C5188C"/>
    <w:rsid w:val="52C673B2"/>
    <w:rsid w:val="52C701E7"/>
    <w:rsid w:val="52D407EB"/>
    <w:rsid w:val="52DB10B0"/>
    <w:rsid w:val="52DD4E28"/>
    <w:rsid w:val="52E141EC"/>
    <w:rsid w:val="52E635B0"/>
    <w:rsid w:val="52FE62F4"/>
    <w:rsid w:val="53035F10"/>
    <w:rsid w:val="530879CB"/>
    <w:rsid w:val="530A54F1"/>
    <w:rsid w:val="530F6FAB"/>
    <w:rsid w:val="531040BB"/>
    <w:rsid w:val="53184DC3"/>
    <w:rsid w:val="531978A0"/>
    <w:rsid w:val="531D5787"/>
    <w:rsid w:val="53224DA7"/>
    <w:rsid w:val="532760A3"/>
    <w:rsid w:val="53284218"/>
    <w:rsid w:val="532E7431"/>
    <w:rsid w:val="532F31A9"/>
    <w:rsid w:val="53422EDD"/>
    <w:rsid w:val="53495B9C"/>
    <w:rsid w:val="53511372"/>
    <w:rsid w:val="535624E4"/>
    <w:rsid w:val="53591FD4"/>
    <w:rsid w:val="535B3F9E"/>
    <w:rsid w:val="53656BCB"/>
    <w:rsid w:val="536F35A6"/>
    <w:rsid w:val="536F7A4A"/>
    <w:rsid w:val="5371731E"/>
    <w:rsid w:val="53837051"/>
    <w:rsid w:val="538A03E0"/>
    <w:rsid w:val="538E6122"/>
    <w:rsid w:val="53963229"/>
    <w:rsid w:val="53986FA1"/>
    <w:rsid w:val="539D6365"/>
    <w:rsid w:val="539F3E8B"/>
    <w:rsid w:val="53A546CE"/>
    <w:rsid w:val="53A94D0A"/>
    <w:rsid w:val="53A95E5E"/>
    <w:rsid w:val="53AB6CD4"/>
    <w:rsid w:val="53AF1317"/>
    <w:rsid w:val="53B65679"/>
    <w:rsid w:val="53B8319F"/>
    <w:rsid w:val="53BF0089"/>
    <w:rsid w:val="53BF452D"/>
    <w:rsid w:val="53DD49B3"/>
    <w:rsid w:val="53DF24DA"/>
    <w:rsid w:val="53DF697E"/>
    <w:rsid w:val="53E2646E"/>
    <w:rsid w:val="53E421E6"/>
    <w:rsid w:val="53E97A13"/>
    <w:rsid w:val="53EC2E48"/>
    <w:rsid w:val="53EC4BF7"/>
    <w:rsid w:val="53F00978"/>
    <w:rsid w:val="53F378A4"/>
    <w:rsid w:val="53F71F19"/>
    <w:rsid w:val="53F82099"/>
    <w:rsid w:val="53FD4338"/>
    <w:rsid w:val="53FF492A"/>
    <w:rsid w:val="540208BE"/>
    <w:rsid w:val="540463E4"/>
    <w:rsid w:val="54106B37"/>
    <w:rsid w:val="54161C73"/>
    <w:rsid w:val="54212AF2"/>
    <w:rsid w:val="5429409D"/>
    <w:rsid w:val="542D76E9"/>
    <w:rsid w:val="543547EF"/>
    <w:rsid w:val="54387E3C"/>
    <w:rsid w:val="543C5B7E"/>
    <w:rsid w:val="54444A33"/>
    <w:rsid w:val="54462559"/>
    <w:rsid w:val="544762D1"/>
    <w:rsid w:val="5449029B"/>
    <w:rsid w:val="544A72F2"/>
    <w:rsid w:val="54617393"/>
    <w:rsid w:val="546649A9"/>
    <w:rsid w:val="54686973"/>
    <w:rsid w:val="54705828"/>
    <w:rsid w:val="5472399D"/>
    <w:rsid w:val="5472687E"/>
    <w:rsid w:val="54751090"/>
    <w:rsid w:val="54752E3E"/>
    <w:rsid w:val="547849B9"/>
    <w:rsid w:val="548117E3"/>
    <w:rsid w:val="5481389E"/>
    <w:rsid w:val="54834C53"/>
    <w:rsid w:val="5486329D"/>
    <w:rsid w:val="548A4B3B"/>
    <w:rsid w:val="54907C78"/>
    <w:rsid w:val="54996B2C"/>
    <w:rsid w:val="54A13C33"/>
    <w:rsid w:val="54A13E2A"/>
    <w:rsid w:val="54A6749B"/>
    <w:rsid w:val="54AA6F8B"/>
    <w:rsid w:val="54AB6860"/>
    <w:rsid w:val="54AC256F"/>
    <w:rsid w:val="54AD6A7C"/>
    <w:rsid w:val="54BE47E5"/>
    <w:rsid w:val="54BE6593"/>
    <w:rsid w:val="54CC5154"/>
    <w:rsid w:val="54CD67D6"/>
    <w:rsid w:val="54DE09E3"/>
    <w:rsid w:val="54E16725"/>
    <w:rsid w:val="54E87AB4"/>
    <w:rsid w:val="54ED50CA"/>
    <w:rsid w:val="54F2345A"/>
    <w:rsid w:val="54F75F49"/>
    <w:rsid w:val="54FC355F"/>
    <w:rsid w:val="54FE1085"/>
    <w:rsid w:val="55097B6F"/>
    <w:rsid w:val="550C37A2"/>
    <w:rsid w:val="55110DB9"/>
    <w:rsid w:val="55164621"/>
    <w:rsid w:val="55172147"/>
    <w:rsid w:val="551D59AF"/>
    <w:rsid w:val="551E6CEE"/>
    <w:rsid w:val="5523289A"/>
    <w:rsid w:val="552D54C7"/>
    <w:rsid w:val="553D1BAE"/>
    <w:rsid w:val="553D7E00"/>
    <w:rsid w:val="55425416"/>
    <w:rsid w:val="55474FEC"/>
    <w:rsid w:val="55515659"/>
    <w:rsid w:val="55676C2B"/>
    <w:rsid w:val="556A2E62"/>
    <w:rsid w:val="556D1D67"/>
    <w:rsid w:val="556F5ADF"/>
    <w:rsid w:val="557C3F5E"/>
    <w:rsid w:val="557F21C6"/>
    <w:rsid w:val="55805F3E"/>
    <w:rsid w:val="55825812"/>
    <w:rsid w:val="5583158B"/>
    <w:rsid w:val="558A46C7"/>
    <w:rsid w:val="559A7000"/>
    <w:rsid w:val="55A57753"/>
    <w:rsid w:val="55A734CB"/>
    <w:rsid w:val="55A82D9F"/>
    <w:rsid w:val="55AE2AAB"/>
    <w:rsid w:val="55BE2D74"/>
    <w:rsid w:val="55C0458D"/>
    <w:rsid w:val="55C53951"/>
    <w:rsid w:val="55C67DF5"/>
    <w:rsid w:val="55C84413"/>
    <w:rsid w:val="55DB3175"/>
    <w:rsid w:val="55DB7EE4"/>
    <w:rsid w:val="55E115BF"/>
    <w:rsid w:val="55E4027B"/>
    <w:rsid w:val="55E62245"/>
    <w:rsid w:val="55E95892"/>
    <w:rsid w:val="55EB785C"/>
    <w:rsid w:val="55F04E72"/>
    <w:rsid w:val="55F06C20"/>
    <w:rsid w:val="55F61D5C"/>
    <w:rsid w:val="55FD758F"/>
    <w:rsid w:val="56002BDB"/>
    <w:rsid w:val="560B1CAC"/>
    <w:rsid w:val="56187F25"/>
    <w:rsid w:val="561A1EEF"/>
    <w:rsid w:val="561A5A4B"/>
    <w:rsid w:val="561C0617"/>
    <w:rsid w:val="561D378D"/>
    <w:rsid w:val="56290384"/>
    <w:rsid w:val="562B7C58"/>
    <w:rsid w:val="562E77E4"/>
    <w:rsid w:val="56333137"/>
    <w:rsid w:val="56431446"/>
    <w:rsid w:val="564B43CE"/>
    <w:rsid w:val="56570A4D"/>
    <w:rsid w:val="565C42B5"/>
    <w:rsid w:val="56666EE2"/>
    <w:rsid w:val="56680EAC"/>
    <w:rsid w:val="567315FF"/>
    <w:rsid w:val="567333AD"/>
    <w:rsid w:val="567D7990"/>
    <w:rsid w:val="56813D1C"/>
    <w:rsid w:val="5689497F"/>
    <w:rsid w:val="56960673"/>
    <w:rsid w:val="569752EE"/>
    <w:rsid w:val="569972B8"/>
    <w:rsid w:val="569A4C92"/>
    <w:rsid w:val="569E48CE"/>
    <w:rsid w:val="56A66BBF"/>
    <w:rsid w:val="56A812A9"/>
    <w:rsid w:val="56AD4B11"/>
    <w:rsid w:val="56AE5351"/>
    <w:rsid w:val="56C1236A"/>
    <w:rsid w:val="56C500AD"/>
    <w:rsid w:val="56CE4A87"/>
    <w:rsid w:val="56D227CA"/>
    <w:rsid w:val="56D24578"/>
    <w:rsid w:val="56EA18C1"/>
    <w:rsid w:val="56EC52F3"/>
    <w:rsid w:val="56F57AE6"/>
    <w:rsid w:val="56FF57CA"/>
    <w:rsid w:val="570010E5"/>
    <w:rsid w:val="571050A0"/>
    <w:rsid w:val="57137AAC"/>
    <w:rsid w:val="571C57F3"/>
    <w:rsid w:val="571F7091"/>
    <w:rsid w:val="57234DD3"/>
    <w:rsid w:val="57266671"/>
    <w:rsid w:val="572823EA"/>
    <w:rsid w:val="57362D58"/>
    <w:rsid w:val="57372832"/>
    <w:rsid w:val="57390153"/>
    <w:rsid w:val="573B211D"/>
    <w:rsid w:val="573C40E7"/>
    <w:rsid w:val="573E1C0D"/>
    <w:rsid w:val="574134AB"/>
    <w:rsid w:val="57437223"/>
    <w:rsid w:val="57441E9D"/>
    <w:rsid w:val="57476D14"/>
    <w:rsid w:val="57521214"/>
    <w:rsid w:val="57541431"/>
    <w:rsid w:val="57633422"/>
    <w:rsid w:val="5765719A"/>
    <w:rsid w:val="57684EDC"/>
    <w:rsid w:val="57711FE2"/>
    <w:rsid w:val="5774562F"/>
    <w:rsid w:val="5778511F"/>
    <w:rsid w:val="57790E97"/>
    <w:rsid w:val="577B69BD"/>
    <w:rsid w:val="577E46FF"/>
    <w:rsid w:val="57827D4C"/>
    <w:rsid w:val="5789732C"/>
    <w:rsid w:val="578C0DF0"/>
    <w:rsid w:val="578F2469"/>
    <w:rsid w:val="57911D3D"/>
    <w:rsid w:val="579D6934"/>
    <w:rsid w:val="57A31A70"/>
    <w:rsid w:val="57A852D8"/>
    <w:rsid w:val="57A9177C"/>
    <w:rsid w:val="57AC301B"/>
    <w:rsid w:val="57AE0B41"/>
    <w:rsid w:val="57BB14B0"/>
    <w:rsid w:val="57BC3819"/>
    <w:rsid w:val="57C55E8A"/>
    <w:rsid w:val="57C9597B"/>
    <w:rsid w:val="57CB5E90"/>
    <w:rsid w:val="57CF6D09"/>
    <w:rsid w:val="57D52571"/>
    <w:rsid w:val="57E02CC4"/>
    <w:rsid w:val="57E24C8E"/>
    <w:rsid w:val="57E52089"/>
    <w:rsid w:val="57E87EC5"/>
    <w:rsid w:val="57EA58F1"/>
    <w:rsid w:val="57FA1FD8"/>
    <w:rsid w:val="57FA3D86"/>
    <w:rsid w:val="58020E8D"/>
    <w:rsid w:val="580544D9"/>
    <w:rsid w:val="5806097D"/>
    <w:rsid w:val="580A7D41"/>
    <w:rsid w:val="58117322"/>
    <w:rsid w:val="581A4428"/>
    <w:rsid w:val="581B1F4E"/>
    <w:rsid w:val="581D5CC6"/>
    <w:rsid w:val="58443253"/>
    <w:rsid w:val="58466FCB"/>
    <w:rsid w:val="58533496"/>
    <w:rsid w:val="58535244"/>
    <w:rsid w:val="586C27AA"/>
    <w:rsid w:val="587358E6"/>
    <w:rsid w:val="5878114F"/>
    <w:rsid w:val="58783461"/>
    <w:rsid w:val="587A6C75"/>
    <w:rsid w:val="587C0C3F"/>
    <w:rsid w:val="5889335C"/>
    <w:rsid w:val="58896EB8"/>
    <w:rsid w:val="588E2720"/>
    <w:rsid w:val="58902E07"/>
    <w:rsid w:val="589046EA"/>
    <w:rsid w:val="589870FB"/>
    <w:rsid w:val="58A80DA5"/>
    <w:rsid w:val="58B8779D"/>
    <w:rsid w:val="58BD6B62"/>
    <w:rsid w:val="58BF6D7E"/>
    <w:rsid w:val="58C12AF6"/>
    <w:rsid w:val="58C425E6"/>
    <w:rsid w:val="58DA3BB7"/>
    <w:rsid w:val="58DC7930"/>
    <w:rsid w:val="58DF2F7C"/>
    <w:rsid w:val="58E14F46"/>
    <w:rsid w:val="58FC58DC"/>
    <w:rsid w:val="58FC6995"/>
    <w:rsid w:val="58FC6B4A"/>
    <w:rsid w:val="59030A18"/>
    <w:rsid w:val="590824D3"/>
    <w:rsid w:val="590B1FC3"/>
    <w:rsid w:val="59123351"/>
    <w:rsid w:val="5915074C"/>
    <w:rsid w:val="59172716"/>
    <w:rsid w:val="591C7D2C"/>
    <w:rsid w:val="592A2449"/>
    <w:rsid w:val="592F3F03"/>
    <w:rsid w:val="59345076"/>
    <w:rsid w:val="59352B9C"/>
    <w:rsid w:val="59372DB8"/>
    <w:rsid w:val="59376914"/>
    <w:rsid w:val="593C03CE"/>
    <w:rsid w:val="593E7CA2"/>
    <w:rsid w:val="59407EBE"/>
    <w:rsid w:val="594554D5"/>
    <w:rsid w:val="59554FEC"/>
    <w:rsid w:val="595C45CC"/>
    <w:rsid w:val="595E0345"/>
    <w:rsid w:val="597B0EF6"/>
    <w:rsid w:val="597E2795"/>
    <w:rsid w:val="598A2EE8"/>
    <w:rsid w:val="598E57BD"/>
    <w:rsid w:val="59905198"/>
    <w:rsid w:val="599476BF"/>
    <w:rsid w:val="59A33FA9"/>
    <w:rsid w:val="59AD307A"/>
    <w:rsid w:val="59AD6BD6"/>
    <w:rsid w:val="59B44408"/>
    <w:rsid w:val="59B47F65"/>
    <w:rsid w:val="59B63CDD"/>
    <w:rsid w:val="59BB12F3"/>
    <w:rsid w:val="59BE0DE3"/>
    <w:rsid w:val="59C4289D"/>
    <w:rsid w:val="59C75EEA"/>
    <w:rsid w:val="59CF5E44"/>
    <w:rsid w:val="59D40607"/>
    <w:rsid w:val="59DB3743"/>
    <w:rsid w:val="59DD570D"/>
    <w:rsid w:val="59DE1485"/>
    <w:rsid w:val="59DF76D7"/>
    <w:rsid w:val="59E44CEE"/>
    <w:rsid w:val="59E7658C"/>
    <w:rsid w:val="59EA607C"/>
    <w:rsid w:val="59F111B9"/>
    <w:rsid w:val="59F52EB6"/>
    <w:rsid w:val="59F6057D"/>
    <w:rsid w:val="59F803A7"/>
    <w:rsid w:val="5A0233C6"/>
    <w:rsid w:val="5A042160"/>
    <w:rsid w:val="5A0B57A5"/>
    <w:rsid w:val="5A0C1B4F"/>
    <w:rsid w:val="5A160C1F"/>
    <w:rsid w:val="5A1924BD"/>
    <w:rsid w:val="5A1A3741"/>
    <w:rsid w:val="5A305322"/>
    <w:rsid w:val="5A307F33"/>
    <w:rsid w:val="5A3160A8"/>
    <w:rsid w:val="5A3572F7"/>
    <w:rsid w:val="5A3F0176"/>
    <w:rsid w:val="5A407A4A"/>
    <w:rsid w:val="5A4532B2"/>
    <w:rsid w:val="5A517EA9"/>
    <w:rsid w:val="5A5A59F2"/>
    <w:rsid w:val="5A663955"/>
    <w:rsid w:val="5A84202D"/>
    <w:rsid w:val="5A843DDB"/>
    <w:rsid w:val="5A8738CB"/>
    <w:rsid w:val="5A89319F"/>
    <w:rsid w:val="5A8D2322"/>
    <w:rsid w:val="5A8E07B6"/>
    <w:rsid w:val="5A951B44"/>
    <w:rsid w:val="5A963B0E"/>
    <w:rsid w:val="5A980168"/>
    <w:rsid w:val="5A981634"/>
    <w:rsid w:val="5A9A04E4"/>
    <w:rsid w:val="5A9B1124"/>
    <w:rsid w:val="5A9C7376"/>
    <w:rsid w:val="5A9F316B"/>
    <w:rsid w:val="5AAB580B"/>
    <w:rsid w:val="5AAE70AA"/>
    <w:rsid w:val="5AB50438"/>
    <w:rsid w:val="5AB741B0"/>
    <w:rsid w:val="5AC643F3"/>
    <w:rsid w:val="5AD54636"/>
    <w:rsid w:val="5ADA39FB"/>
    <w:rsid w:val="5ADC59C5"/>
    <w:rsid w:val="5AE01AED"/>
    <w:rsid w:val="5AE1122D"/>
    <w:rsid w:val="5AED7BD2"/>
    <w:rsid w:val="5AF26F96"/>
    <w:rsid w:val="5B060C94"/>
    <w:rsid w:val="5B084A0C"/>
    <w:rsid w:val="5B0E18F6"/>
    <w:rsid w:val="5B101B12"/>
    <w:rsid w:val="5B102138"/>
    <w:rsid w:val="5B1A5413"/>
    <w:rsid w:val="5B264E92"/>
    <w:rsid w:val="5B2D4472"/>
    <w:rsid w:val="5B3C6463"/>
    <w:rsid w:val="5B423BDA"/>
    <w:rsid w:val="5B467A81"/>
    <w:rsid w:val="5B5E07F4"/>
    <w:rsid w:val="5B5E462C"/>
    <w:rsid w:val="5B61236E"/>
    <w:rsid w:val="5B631C42"/>
    <w:rsid w:val="5B6339F0"/>
    <w:rsid w:val="5B6F4A8B"/>
    <w:rsid w:val="5B8027F4"/>
    <w:rsid w:val="5B834000"/>
    <w:rsid w:val="5B843E3C"/>
    <w:rsid w:val="5B857613"/>
    <w:rsid w:val="5B9444F1"/>
    <w:rsid w:val="5B9B5880"/>
    <w:rsid w:val="5BAF30D9"/>
    <w:rsid w:val="5BB46942"/>
    <w:rsid w:val="5BBC0EAA"/>
    <w:rsid w:val="5BC00E43"/>
    <w:rsid w:val="5BCB4E4A"/>
    <w:rsid w:val="5BCE14BF"/>
    <w:rsid w:val="5BCE3938"/>
    <w:rsid w:val="5BDC19F5"/>
    <w:rsid w:val="5BE069CE"/>
    <w:rsid w:val="5BE07737"/>
    <w:rsid w:val="5BE865EB"/>
    <w:rsid w:val="5BEA6629"/>
    <w:rsid w:val="5BEC7E8A"/>
    <w:rsid w:val="5BED3C02"/>
    <w:rsid w:val="5BEF797A"/>
    <w:rsid w:val="5BF1724E"/>
    <w:rsid w:val="5BF94355"/>
    <w:rsid w:val="5BFD2097"/>
    <w:rsid w:val="5C000ECD"/>
    <w:rsid w:val="5C0276AD"/>
    <w:rsid w:val="5C036F81"/>
    <w:rsid w:val="5C076A71"/>
    <w:rsid w:val="5C0C22DA"/>
    <w:rsid w:val="5C0C4088"/>
    <w:rsid w:val="5C0D7E00"/>
    <w:rsid w:val="5C0F1DCA"/>
    <w:rsid w:val="5C125416"/>
    <w:rsid w:val="5C1B076F"/>
    <w:rsid w:val="5C1B251D"/>
    <w:rsid w:val="5C225659"/>
    <w:rsid w:val="5C2515ED"/>
    <w:rsid w:val="5C2A2760"/>
    <w:rsid w:val="5C2C64D8"/>
    <w:rsid w:val="5C335AB8"/>
    <w:rsid w:val="5C337866"/>
    <w:rsid w:val="5C3D2493"/>
    <w:rsid w:val="5C3E7FB9"/>
    <w:rsid w:val="5C441A74"/>
    <w:rsid w:val="5C49708A"/>
    <w:rsid w:val="5C4C26D6"/>
    <w:rsid w:val="5C515F3F"/>
    <w:rsid w:val="5C5D2B35"/>
    <w:rsid w:val="5C5F68AD"/>
    <w:rsid w:val="5C62014C"/>
    <w:rsid w:val="5C6739B4"/>
    <w:rsid w:val="5C71038F"/>
    <w:rsid w:val="5C71213D"/>
    <w:rsid w:val="5C7A3771"/>
    <w:rsid w:val="5C89392A"/>
    <w:rsid w:val="5C936557"/>
    <w:rsid w:val="5C961BA3"/>
    <w:rsid w:val="5C966047"/>
    <w:rsid w:val="5CA16EC6"/>
    <w:rsid w:val="5CA42512"/>
    <w:rsid w:val="5CA644DC"/>
    <w:rsid w:val="5CAB38A1"/>
    <w:rsid w:val="5CAE3391"/>
    <w:rsid w:val="5CB07109"/>
    <w:rsid w:val="5CB309A7"/>
    <w:rsid w:val="5CB32755"/>
    <w:rsid w:val="5CBB785C"/>
    <w:rsid w:val="5CCB3F43"/>
    <w:rsid w:val="5CD526CC"/>
    <w:rsid w:val="5CD901EE"/>
    <w:rsid w:val="5CDA4186"/>
    <w:rsid w:val="5CE943C9"/>
    <w:rsid w:val="5CEB3AB8"/>
    <w:rsid w:val="5CED0D9F"/>
    <w:rsid w:val="5CEE7C31"/>
    <w:rsid w:val="5CF3349A"/>
    <w:rsid w:val="5CF35248"/>
    <w:rsid w:val="5CFB23F4"/>
    <w:rsid w:val="5D016D97"/>
    <w:rsid w:val="5D017965"/>
    <w:rsid w:val="5D0336DD"/>
    <w:rsid w:val="5D04461F"/>
    <w:rsid w:val="5D047455"/>
    <w:rsid w:val="5D0D455B"/>
    <w:rsid w:val="5D115A5F"/>
    <w:rsid w:val="5D1443E0"/>
    <w:rsid w:val="5D192F00"/>
    <w:rsid w:val="5D1C654D"/>
    <w:rsid w:val="5D1D108A"/>
    <w:rsid w:val="5D1F603D"/>
    <w:rsid w:val="5D1F7DEB"/>
    <w:rsid w:val="5D235B2D"/>
    <w:rsid w:val="5D283143"/>
    <w:rsid w:val="5D2B6790"/>
    <w:rsid w:val="5D2D2508"/>
    <w:rsid w:val="5D2E68CF"/>
    <w:rsid w:val="5D301FF8"/>
    <w:rsid w:val="5D333896"/>
    <w:rsid w:val="5D405373"/>
    <w:rsid w:val="5D414205"/>
    <w:rsid w:val="5D417D61"/>
    <w:rsid w:val="5D45320E"/>
    <w:rsid w:val="5D491B8F"/>
    <w:rsid w:val="5D562E76"/>
    <w:rsid w:val="5D586F53"/>
    <w:rsid w:val="5D6121B1"/>
    <w:rsid w:val="5D6972B8"/>
    <w:rsid w:val="5D722610"/>
    <w:rsid w:val="5D795D9C"/>
    <w:rsid w:val="5D845EA0"/>
    <w:rsid w:val="5D8660BC"/>
    <w:rsid w:val="5D97217A"/>
    <w:rsid w:val="5D973E25"/>
    <w:rsid w:val="5D995DEF"/>
    <w:rsid w:val="5DA402F0"/>
    <w:rsid w:val="5DA87DE0"/>
    <w:rsid w:val="5DAF73C1"/>
    <w:rsid w:val="5DC170F4"/>
    <w:rsid w:val="5DC866D4"/>
    <w:rsid w:val="5DCC7F73"/>
    <w:rsid w:val="5DCF1811"/>
    <w:rsid w:val="5DD62B9F"/>
    <w:rsid w:val="5DD86F40"/>
    <w:rsid w:val="5DDD2180"/>
    <w:rsid w:val="5DE3706A"/>
    <w:rsid w:val="5DEA03F9"/>
    <w:rsid w:val="5DEA21A7"/>
    <w:rsid w:val="5DFB43B4"/>
    <w:rsid w:val="5E086AD1"/>
    <w:rsid w:val="5E0F1C0D"/>
    <w:rsid w:val="5E226434"/>
    <w:rsid w:val="5E227B93"/>
    <w:rsid w:val="5E231B5D"/>
    <w:rsid w:val="5E23390B"/>
    <w:rsid w:val="5E287173"/>
    <w:rsid w:val="5E337FF2"/>
    <w:rsid w:val="5E3C677A"/>
    <w:rsid w:val="5E443FAD"/>
    <w:rsid w:val="5E4915C3"/>
    <w:rsid w:val="5E4A70E9"/>
    <w:rsid w:val="5E4D2736"/>
    <w:rsid w:val="5E5341F0"/>
    <w:rsid w:val="5E5A2C8C"/>
    <w:rsid w:val="5E5D506F"/>
    <w:rsid w:val="5E5E146F"/>
    <w:rsid w:val="5E5E4943"/>
    <w:rsid w:val="5E5F0DE7"/>
    <w:rsid w:val="5E60690D"/>
    <w:rsid w:val="5E641CDC"/>
    <w:rsid w:val="5E6A32E8"/>
    <w:rsid w:val="5E6C3504"/>
    <w:rsid w:val="5E6C7060"/>
    <w:rsid w:val="5E6F6B50"/>
    <w:rsid w:val="5E772257"/>
    <w:rsid w:val="5E934044"/>
    <w:rsid w:val="5EA44A4C"/>
    <w:rsid w:val="5EA92062"/>
    <w:rsid w:val="5EB36A3D"/>
    <w:rsid w:val="5EB804F7"/>
    <w:rsid w:val="5EBA601D"/>
    <w:rsid w:val="5EBB7FE7"/>
    <w:rsid w:val="5EBD5B0D"/>
    <w:rsid w:val="5EC23124"/>
    <w:rsid w:val="5EC450EE"/>
    <w:rsid w:val="5EC7698C"/>
    <w:rsid w:val="5ECB28DF"/>
    <w:rsid w:val="5ECE7D1A"/>
    <w:rsid w:val="5ED52E57"/>
    <w:rsid w:val="5EDA046D"/>
    <w:rsid w:val="5EE25574"/>
    <w:rsid w:val="5EE50BC0"/>
    <w:rsid w:val="5EE67461"/>
    <w:rsid w:val="5EEA61D6"/>
    <w:rsid w:val="5EED47E9"/>
    <w:rsid w:val="5EF534F9"/>
    <w:rsid w:val="5EFA0B0F"/>
    <w:rsid w:val="5EFD0600"/>
    <w:rsid w:val="5F092881"/>
    <w:rsid w:val="5F163569"/>
    <w:rsid w:val="5F1A6ABC"/>
    <w:rsid w:val="5F21609C"/>
    <w:rsid w:val="5F223BC2"/>
    <w:rsid w:val="5F313E05"/>
    <w:rsid w:val="5F381638"/>
    <w:rsid w:val="5F3F29C6"/>
    <w:rsid w:val="5F48187B"/>
    <w:rsid w:val="5F4955F3"/>
    <w:rsid w:val="5F4B3119"/>
    <w:rsid w:val="5F530220"/>
    <w:rsid w:val="5F5A7800"/>
    <w:rsid w:val="5F61293D"/>
    <w:rsid w:val="5F7408C2"/>
    <w:rsid w:val="5F7563E8"/>
    <w:rsid w:val="5F7D704B"/>
    <w:rsid w:val="5F8A6636"/>
    <w:rsid w:val="5F8B1768"/>
    <w:rsid w:val="5F924D5C"/>
    <w:rsid w:val="5F930E29"/>
    <w:rsid w:val="5F950838"/>
    <w:rsid w:val="5F97635E"/>
    <w:rsid w:val="5F9F3465"/>
    <w:rsid w:val="5FAB1E0A"/>
    <w:rsid w:val="5FAD7930"/>
    <w:rsid w:val="5FB46F10"/>
    <w:rsid w:val="5FB506C1"/>
    <w:rsid w:val="5FB52C88"/>
    <w:rsid w:val="5FB567E4"/>
    <w:rsid w:val="5FBE1B3D"/>
    <w:rsid w:val="5FC03B07"/>
    <w:rsid w:val="5FC1162D"/>
    <w:rsid w:val="5FC86518"/>
    <w:rsid w:val="5FD924D3"/>
    <w:rsid w:val="5FE5596B"/>
    <w:rsid w:val="5FE80968"/>
    <w:rsid w:val="5FEC48FC"/>
    <w:rsid w:val="5FF732A1"/>
    <w:rsid w:val="5FFB4B3F"/>
    <w:rsid w:val="600A6B30"/>
    <w:rsid w:val="600D18C6"/>
    <w:rsid w:val="600F05EB"/>
    <w:rsid w:val="600F4147"/>
    <w:rsid w:val="60123C37"/>
    <w:rsid w:val="60161979"/>
    <w:rsid w:val="6017749F"/>
    <w:rsid w:val="601C6864"/>
    <w:rsid w:val="601E082E"/>
    <w:rsid w:val="60237BF2"/>
    <w:rsid w:val="602816AC"/>
    <w:rsid w:val="602A2D2E"/>
    <w:rsid w:val="60395667"/>
    <w:rsid w:val="6045400C"/>
    <w:rsid w:val="604638E0"/>
    <w:rsid w:val="604751DF"/>
    <w:rsid w:val="604A72F7"/>
    <w:rsid w:val="604C539B"/>
    <w:rsid w:val="604E5AA3"/>
    <w:rsid w:val="60583D40"/>
    <w:rsid w:val="60593614"/>
    <w:rsid w:val="60602BF4"/>
    <w:rsid w:val="606D70BF"/>
    <w:rsid w:val="607466A0"/>
    <w:rsid w:val="60787F3E"/>
    <w:rsid w:val="60795A64"/>
    <w:rsid w:val="607E751E"/>
    <w:rsid w:val="60806DF2"/>
    <w:rsid w:val="6085265B"/>
    <w:rsid w:val="608A5EC3"/>
    <w:rsid w:val="60917251"/>
    <w:rsid w:val="60986C17"/>
    <w:rsid w:val="60997EB4"/>
    <w:rsid w:val="609D79A4"/>
    <w:rsid w:val="60A24FBB"/>
    <w:rsid w:val="60A32AE1"/>
    <w:rsid w:val="60A46F85"/>
    <w:rsid w:val="60A5520C"/>
    <w:rsid w:val="60B3541A"/>
    <w:rsid w:val="60B371C8"/>
    <w:rsid w:val="60B80627"/>
    <w:rsid w:val="60C018E5"/>
    <w:rsid w:val="60CC028A"/>
    <w:rsid w:val="60CE4002"/>
    <w:rsid w:val="60CE7B5E"/>
    <w:rsid w:val="60D73318"/>
    <w:rsid w:val="60D86C2E"/>
    <w:rsid w:val="60DD59AD"/>
    <w:rsid w:val="60F021CA"/>
    <w:rsid w:val="60F65306"/>
    <w:rsid w:val="60FB0B6F"/>
    <w:rsid w:val="6109503A"/>
    <w:rsid w:val="610A4816"/>
    <w:rsid w:val="610B0DB2"/>
    <w:rsid w:val="610B7637"/>
    <w:rsid w:val="61134B4C"/>
    <w:rsid w:val="61135EB8"/>
    <w:rsid w:val="61151C31"/>
    <w:rsid w:val="6115578D"/>
    <w:rsid w:val="61204131"/>
    <w:rsid w:val="61291238"/>
    <w:rsid w:val="612C6F7A"/>
    <w:rsid w:val="61330309"/>
    <w:rsid w:val="61363955"/>
    <w:rsid w:val="613876CD"/>
    <w:rsid w:val="614222FA"/>
    <w:rsid w:val="61493688"/>
    <w:rsid w:val="61497B2C"/>
    <w:rsid w:val="614E6EF1"/>
    <w:rsid w:val="61502C69"/>
    <w:rsid w:val="615362B5"/>
    <w:rsid w:val="615A3AE7"/>
    <w:rsid w:val="615D0EE2"/>
    <w:rsid w:val="615E238B"/>
    <w:rsid w:val="615F4C5A"/>
    <w:rsid w:val="616109D2"/>
    <w:rsid w:val="61794F77"/>
    <w:rsid w:val="617C580C"/>
    <w:rsid w:val="617F354E"/>
    <w:rsid w:val="617F70AA"/>
    <w:rsid w:val="6183303E"/>
    <w:rsid w:val="618648DC"/>
    <w:rsid w:val="61903065"/>
    <w:rsid w:val="61932B55"/>
    <w:rsid w:val="61971C41"/>
    <w:rsid w:val="619D0D68"/>
    <w:rsid w:val="619E45ED"/>
    <w:rsid w:val="61A44D62"/>
    <w:rsid w:val="61A556D5"/>
    <w:rsid w:val="61AD3C17"/>
    <w:rsid w:val="61B34FA6"/>
    <w:rsid w:val="61BA4C41"/>
    <w:rsid w:val="61C40F61"/>
    <w:rsid w:val="61C97ABD"/>
    <w:rsid w:val="61DE64C6"/>
    <w:rsid w:val="61E15FB7"/>
    <w:rsid w:val="61E17D65"/>
    <w:rsid w:val="61E73B15"/>
    <w:rsid w:val="61E810F3"/>
    <w:rsid w:val="61F45CEA"/>
    <w:rsid w:val="62035F2D"/>
    <w:rsid w:val="621041A6"/>
    <w:rsid w:val="621974FF"/>
    <w:rsid w:val="622A5268"/>
    <w:rsid w:val="62344338"/>
    <w:rsid w:val="62375BD7"/>
    <w:rsid w:val="623936FD"/>
    <w:rsid w:val="623C31ED"/>
    <w:rsid w:val="624A76B8"/>
    <w:rsid w:val="62595B4D"/>
    <w:rsid w:val="62606EDB"/>
    <w:rsid w:val="62612C54"/>
    <w:rsid w:val="62620EA5"/>
    <w:rsid w:val="62634D18"/>
    <w:rsid w:val="626545E7"/>
    <w:rsid w:val="6269142E"/>
    <w:rsid w:val="626A1B08"/>
    <w:rsid w:val="626D15F8"/>
    <w:rsid w:val="62724E61"/>
    <w:rsid w:val="62740BD9"/>
    <w:rsid w:val="627666FF"/>
    <w:rsid w:val="627B3D15"/>
    <w:rsid w:val="62854B94"/>
    <w:rsid w:val="6287090C"/>
    <w:rsid w:val="628D3A49"/>
    <w:rsid w:val="628E1C9B"/>
    <w:rsid w:val="628F156F"/>
    <w:rsid w:val="62946B85"/>
    <w:rsid w:val="62966DA1"/>
    <w:rsid w:val="629D1EDE"/>
    <w:rsid w:val="629E7A04"/>
    <w:rsid w:val="62A36DC8"/>
    <w:rsid w:val="62A414BE"/>
    <w:rsid w:val="62AC0373"/>
    <w:rsid w:val="62AE5E99"/>
    <w:rsid w:val="62BB6808"/>
    <w:rsid w:val="62BE1E54"/>
    <w:rsid w:val="62C05BCC"/>
    <w:rsid w:val="62C54F90"/>
    <w:rsid w:val="62CA25A7"/>
    <w:rsid w:val="62CC631F"/>
    <w:rsid w:val="62CE653B"/>
    <w:rsid w:val="62D022B3"/>
    <w:rsid w:val="62D17DD9"/>
    <w:rsid w:val="62D653F0"/>
    <w:rsid w:val="62D96C8E"/>
    <w:rsid w:val="62DB47B4"/>
    <w:rsid w:val="62E278F0"/>
    <w:rsid w:val="62E80C7F"/>
    <w:rsid w:val="62EC69C1"/>
    <w:rsid w:val="62EE2739"/>
    <w:rsid w:val="62F94AE8"/>
    <w:rsid w:val="62FB4E56"/>
    <w:rsid w:val="63057A83"/>
    <w:rsid w:val="6309447C"/>
    <w:rsid w:val="630C7063"/>
    <w:rsid w:val="630E06E5"/>
    <w:rsid w:val="630E2DDB"/>
    <w:rsid w:val="631A1780"/>
    <w:rsid w:val="632C3261"/>
    <w:rsid w:val="63302D52"/>
    <w:rsid w:val="63387E58"/>
    <w:rsid w:val="63422A85"/>
    <w:rsid w:val="634B6F1D"/>
    <w:rsid w:val="634C56B2"/>
    <w:rsid w:val="63506F50"/>
    <w:rsid w:val="63556314"/>
    <w:rsid w:val="635822A8"/>
    <w:rsid w:val="635F53E5"/>
    <w:rsid w:val="63636CDD"/>
    <w:rsid w:val="636447A9"/>
    <w:rsid w:val="636E73D6"/>
    <w:rsid w:val="63715118"/>
    <w:rsid w:val="637D1D0F"/>
    <w:rsid w:val="637F3E60"/>
    <w:rsid w:val="638135AD"/>
    <w:rsid w:val="63822E81"/>
    <w:rsid w:val="6384309D"/>
    <w:rsid w:val="6390559E"/>
    <w:rsid w:val="63957059"/>
    <w:rsid w:val="639826A5"/>
    <w:rsid w:val="63A021A6"/>
    <w:rsid w:val="63B219B9"/>
    <w:rsid w:val="63B41BD1"/>
    <w:rsid w:val="63BC0650"/>
    <w:rsid w:val="63BE035D"/>
    <w:rsid w:val="63C4349A"/>
    <w:rsid w:val="63CB65D6"/>
    <w:rsid w:val="63CC234F"/>
    <w:rsid w:val="63D23E09"/>
    <w:rsid w:val="63D80CF3"/>
    <w:rsid w:val="63DF02D4"/>
    <w:rsid w:val="63EB0A27"/>
    <w:rsid w:val="63EB6C79"/>
    <w:rsid w:val="63F024E1"/>
    <w:rsid w:val="63FA2F2B"/>
    <w:rsid w:val="640D4E41"/>
    <w:rsid w:val="64104931"/>
    <w:rsid w:val="64195594"/>
    <w:rsid w:val="64216B3E"/>
    <w:rsid w:val="64306D81"/>
    <w:rsid w:val="643B7C00"/>
    <w:rsid w:val="643C5726"/>
    <w:rsid w:val="64410F8F"/>
    <w:rsid w:val="644A7E43"/>
    <w:rsid w:val="64502F80"/>
    <w:rsid w:val="6457430E"/>
    <w:rsid w:val="64610CE9"/>
    <w:rsid w:val="64790728"/>
    <w:rsid w:val="647A264F"/>
    <w:rsid w:val="6488096B"/>
    <w:rsid w:val="648A46E4"/>
    <w:rsid w:val="648D1ADE"/>
    <w:rsid w:val="649474DD"/>
    <w:rsid w:val="64966BE4"/>
    <w:rsid w:val="64985A94"/>
    <w:rsid w:val="64992B79"/>
    <w:rsid w:val="64A31301"/>
    <w:rsid w:val="64BE25DF"/>
    <w:rsid w:val="64C64FF0"/>
    <w:rsid w:val="64CA4AE0"/>
    <w:rsid w:val="64CF659A"/>
    <w:rsid w:val="64D4595F"/>
    <w:rsid w:val="64DE2339"/>
    <w:rsid w:val="64E501BB"/>
    <w:rsid w:val="64EE4C72"/>
    <w:rsid w:val="64F61D79"/>
    <w:rsid w:val="64FF0C2E"/>
    <w:rsid w:val="650A1380"/>
    <w:rsid w:val="65110961"/>
    <w:rsid w:val="6511270F"/>
    <w:rsid w:val="651346D9"/>
    <w:rsid w:val="651421FF"/>
    <w:rsid w:val="65143FAD"/>
    <w:rsid w:val="65181CEF"/>
    <w:rsid w:val="65222B6E"/>
    <w:rsid w:val="6522491C"/>
    <w:rsid w:val="652524CF"/>
    <w:rsid w:val="65270184"/>
    <w:rsid w:val="652A2386"/>
    <w:rsid w:val="652B4C3D"/>
    <w:rsid w:val="65384140"/>
    <w:rsid w:val="653B59DE"/>
    <w:rsid w:val="653D3504"/>
    <w:rsid w:val="65476131"/>
    <w:rsid w:val="654A79CF"/>
    <w:rsid w:val="654F0FE3"/>
    <w:rsid w:val="654F3237"/>
    <w:rsid w:val="65556AA0"/>
    <w:rsid w:val="655578D8"/>
    <w:rsid w:val="65566374"/>
    <w:rsid w:val="655A40B6"/>
    <w:rsid w:val="655B1BDC"/>
    <w:rsid w:val="655F355B"/>
    <w:rsid w:val="65613696"/>
    <w:rsid w:val="65652A5B"/>
    <w:rsid w:val="656A1E1F"/>
    <w:rsid w:val="65711400"/>
    <w:rsid w:val="657333CA"/>
    <w:rsid w:val="65757142"/>
    <w:rsid w:val="657A6506"/>
    <w:rsid w:val="65862968"/>
    <w:rsid w:val="658B0713"/>
    <w:rsid w:val="65905D2A"/>
    <w:rsid w:val="65907AD8"/>
    <w:rsid w:val="659B0B9A"/>
    <w:rsid w:val="65A05841"/>
    <w:rsid w:val="65A56070"/>
    <w:rsid w:val="65A82571"/>
    <w:rsid w:val="65B43127"/>
    <w:rsid w:val="65B7603D"/>
    <w:rsid w:val="65B907AB"/>
    <w:rsid w:val="65C854C3"/>
    <w:rsid w:val="65C94D98"/>
    <w:rsid w:val="65CE0600"/>
    <w:rsid w:val="65D11E9E"/>
    <w:rsid w:val="65D80B7F"/>
    <w:rsid w:val="65E322FD"/>
    <w:rsid w:val="65F004D2"/>
    <w:rsid w:val="65F91B21"/>
    <w:rsid w:val="65FF2424"/>
    <w:rsid w:val="660022E7"/>
    <w:rsid w:val="66012783"/>
    <w:rsid w:val="66044022"/>
    <w:rsid w:val="660D56C6"/>
    <w:rsid w:val="6615622F"/>
    <w:rsid w:val="661C7073"/>
    <w:rsid w:val="6626043C"/>
    <w:rsid w:val="662925FC"/>
    <w:rsid w:val="66293A88"/>
    <w:rsid w:val="663E1B76"/>
    <w:rsid w:val="66456B14"/>
    <w:rsid w:val="66482160"/>
    <w:rsid w:val="66495ED8"/>
    <w:rsid w:val="665054B9"/>
    <w:rsid w:val="66524D8D"/>
    <w:rsid w:val="6655613C"/>
    <w:rsid w:val="665705F5"/>
    <w:rsid w:val="665B6338"/>
    <w:rsid w:val="665D4746"/>
    <w:rsid w:val="665E1984"/>
    <w:rsid w:val="665E7BD6"/>
    <w:rsid w:val="66623861"/>
    <w:rsid w:val="66664CDC"/>
    <w:rsid w:val="666B22F3"/>
    <w:rsid w:val="666F1DE3"/>
    <w:rsid w:val="666F3B91"/>
    <w:rsid w:val="66721395"/>
    <w:rsid w:val="667271DD"/>
    <w:rsid w:val="66754F1F"/>
    <w:rsid w:val="66756CCD"/>
    <w:rsid w:val="667967BE"/>
    <w:rsid w:val="66862210"/>
    <w:rsid w:val="669B4986"/>
    <w:rsid w:val="66A13719"/>
    <w:rsid w:val="66A355E9"/>
    <w:rsid w:val="66AA2E1B"/>
    <w:rsid w:val="66AC5827"/>
    <w:rsid w:val="66B07D06"/>
    <w:rsid w:val="66B9305E"/>
    <w:rsid w:val="66B94E0C"/>
    <w:rsid w:val="66C1025F"/>
    <w:rsid w:val="66D47E98"/>
    <w:rsid w:val="66DB4D83"/>
    <w:rsid w:val="66E77BCB"/>
    <w:rsid w:val="66EA3218"/>
    <w:rsid w:val="66ED2D08"/>
    <w:rsid w:val="66EF6A80"/>
    <w:rsid w:val="66F05574"/>
    <w:rsid w:val="66F127F8"/>
    <w:rsid w:val="66F2031E"/>
    <w:rsid w:val="66F26570"/>
    <w:rsid w:val="66F916AD"/>
    <w:rsid w:val="670544F5"/>
    <w:rsid w:val="670C7632"/>
    <w:rsid w:val="671958AB"/>
    <w:rsid w:val="671D183F"/>
    <w:rsid w:val="6722074B"/>
    <w:rsid w:val="67277FC8"/>
    <w:rsid w:val="67332E10"/>
    <w:rsid w:val="67397CFB"/>
    <w:rsid w:val="674C3ED2"/>
    <w:rsid w:val="67520380"/>
    <w:rsid w:val="67530DBD"/>
    <w:rsid w:val="67566AFF"/>
    <w:rsid w:val="6759039D"/>
    <w:rsid w:val="675B2F4B"/>
    <w:rsid w:val="675D7E8D"/>
    <w:rsid w:val="676E5BF7"/>
    <w:rsid w:val="67786A75"/>
    <w:rsid w:val="67796717"/>
    <w:rsid w:val="678216A2"/>
    <w:rsid w:val="67851192"/>
    <w:rsid w:val="6787796E"/>
    <w:rsid w:val="679413D5"/>
    <w:rsid w:val="67982C74"/>
    <w:rsid w:val="67987117"/>
    <w:rsid w:val="67987287"/>
    <w:rsid w:val="679F4002"/>
    <w:rsid w:val="67A23AF2"/>
    <w:rsid w:val="67A535E2"/>
    <w:rsid w:val="67A56ACE"/>
    <w:rsid w:val="67A6239B"/>
    <w:rsid w:val="67AA29A7"/>
    <w:rsid w:val="67AC2BC3"/>
    <w:rsid w:val="67B33F51"/>
    <w:rsid w:val="67B35CFF"/>
    <w:rsid w:val="67B7628A"/>
    <w:rsid w:val="67BC2E06"/>
    <w:rsid w:val="67C717AB"/>
    <w:rsid w:val="67C95523"/>
    <w:rsid w:val="67CC0B6F"/>
    <w:rsid w:val="67CC6DC1"/>
    <w:rsid w:val="67D53EC8"/>
    <w:rsid w:val="67D55C76"/>
    <w:rsid w:val="67DF6AF4"/>
    <w:rsid w:val="67ED7463"/>
    <w:rsid w:val="67F105D6"/>
    <w:rsid w:val="67F72090"/>
    <w:rsid w:val="67FA56DC"/>
    <w:rsid w:val="67FC1454"/>
    <w:rsid w:val="6808604B"/>
    <w:rsid w:val="68091EBD"/>
    <w:rsid w:val="68150768"/>
    <w:rsid w:val="68183DB4"/>
    <w:rsid w:val="681A3FD0"/>
    <w:rsid w:val="681C38A5"/>
    <w:rsid w:val="68295FC1"/>
    <w:rsid w:val="682B3AE8"/>
    <w:rsid w:val="682B7F8C"/>
    <w:rsid w:val="682C160E"/>
    <w:rsid w:val="682E182A"/>
    <w:rsid w:val="68354966"/>
    <w:rsid w:val="683E6953"/>
    <w:rsid w:val="68460921"/>
    <w:rsid w:val="68484DA6"/>
    <w:rsid w:val="68490412"/>
    <w:rsid w:val="684E5A28"/>
    <w:rsid w:val="68534DEC"/>
    <w:rsid w:val="685E3EBD"/>
    <w:rsid w:val="686139AD"/>
    <w:rsid w:val="68633281"/>
    <w:rsid w:val="687E630D"/>
    <w:rsid w:val="689304E6"/>
    <w:rsid w:val="68A112AF"/>
    <w:rsid w:val="68AB69D7"/>
    <w:rsid w:val="68AD09A1"/>
    <w:rsid w:val="68B166E3"/>
    <w:rsid w:val="68B43ADD"/>
    <w:rsid w:val="68B7537B"/>
    <w:rsid w:val="68BB30BE"/>
    <w:rsid w:val="68BE670A"/>
    <w:rsid w:val="68CB7079"/>
    <w:rsid w:val="68CD1043"/>
    <w:rsid w:val="68DB550E"/>
    <w:rsid w:val="68DC1286"/>
    <w:rsid w:val="68E5013A"/>
    <w:rsid w:val="68E819D9"/>
    <w:rsid w:val="68E87C2B"/>
    <w:rsid w:val="68EA39A3"/>
    <w:rsid w:val="68F55EA4"/>
    <w:rsid w:val="68F62348"/>
    <w:rsid w:val="68FE11FC"/>
    <w:rsid w:val="68FE744E"/>
    <w:rsid w:val="690031C6"/>
    <w:rsid w:val="69036813"/>
    <w:rsid w:val="690507DD"/>
    <w:rsid w:val="690A5DF3"/>
    <w:rsid w:val="690F51B7"/>
    <w:rsid w:val="691B0000"/>
    <w:rsid w:val="691C1682"/>
    <w:rsid w:val="69205616"/>
    <w:rsid w:val="69207E48"/>
    <w:rsid w:val="69270753"/>
    <w:rsid w:val="692769A5"/>
    <w:rsid w:val="69296D2D"/>
    <w:rsid w:val="692C7B17"/>
    <w:rsid w:val="69366BE8"/>
    <w:rsid w:val="693B74C7"/>
    <w:rsid w:val="693D1C6D"/>
    <w:rsid w:val="693D1D24"/>
    <w:rsid w:val="694E2184"/>
    <w:rsid w:val="69567C43"/>
    <w:rsid w:val="695E1C9B"/>
    <w:rsid w:val="695F613F"/>
    <w:rsid w:val="69690D6B"/>
    <w:rsid w:val="696F20FA"/>
    <w:rsid w:val="697B284D"/>
    <w:rsid w:val="697E058F"/>
    <w:rsid w:val="697E1AEF"/>
    <w:rsid w:val="697F058F"/>
    <w:rsid w:val="69855479"/>
    <w:rsid w:val="698A6279"/>
    <w:rsid w:val="698E07D2"/>
    <w:rsid w:val="698F62F8"/>
    <w:rsid w:val="699D0A15"/>
    <w:rsid w:val="69A5373A"/>
    <w:rsid w:val="69A753F0"/>
    <w:rsid w:val="69AB665C"/>
    <w:rsid w:val="69AC12A8"/>
    <w:rsid w:val="69AE2C22"/>
    <w:rsid w:val="69B47B0D"/>
    <w:rsid w:val="69B53FB1"/>
    <w:rsid w:val="69C42446"/>
    <w:rsid w:val="69CC4E56"/>
    <w:rsid w:val="69CE6E20"/>
    <w:rsid w:val="69D00DEB"/>
    <w:rsid w:val="69D56401"/>
    <w:rsid w:val="69D837FB"/>
    <w:rsid w:val="69D87C9F"/>
    <w:rsid w:val="69E228CC"/>
    <w:rsid w:val="69EE1271"/>
    <w:rsid w:val="69F50851"/>
    <w:rsid w:val="69F64A99"/>
    <w:rsid w:val="6A024D1C"/>
    <w:rsid w:val="6A097E59"/>
    <w:rsid w:val="6A1A02B8"/>
    <w:rsid w:val="6A1F0A77"/>
    <w:rsid w:val="6A2627B9"/>
    <w:rsid w:val="6A2829D5"/>
    <w:rsid w:val="6A2B7DCF"/>
    <w:rsid w:val="6A2C1D99"/>
    <w:rsid w:val="6A2E5B11"/>
    <w:rsid w:val="6A3053E5"/>
    <w:rsid w:val="6A314603"/>
    <w:rsid w:val="6A413A96"/>
    <w:rsid w:val="6A470981"/>
    <w:rsid w:val="6A507835"/>
    <w:rsid w:val="6A5103A2"/>
    <w:rsid w:val="6A590DE0"/>
    <w:rsid w:val="6A5D01A4"/>
    <w:rsid w:val="6A6652AB"/>
    <w:rsid w:val="6A6D488B"/>
    <w:rsid w:val="6A701C86"/>
    <w:rsid w:val="6A7E0847"/>
    <w:rsid w:val="6A8B4D12"/>
    <w:rsid w:val="6A955B90"/>
    <w:rsid w:val="6A95793E"/>
    <w:rsid w:val="6A971908"/>
    <w:rsid w:val="6A9739A1"/>
    <w:rsid w:val="6A995680"/>
    <w:rsid w:val="6AA656A7"/>
    <w:rsid w:val="6AA858C3"/>
    <w:rsid w:val="6AAB6D5D"/>
    <w:rsid w:val="6AB51D8E"/>
    <w:rsid w:val="6AC41FD2"/>
    <w:rsid w:val="6AC67AF8"/>
    <w:rsid w:val="6AC975E8"/>
    <w:rsid w:val="6ACB7804"/>
    <w:rsid w:val="6AD541DF"/>
    <w:rsid w:val="6AD55F8D"/>
    <w:rsid w:val="6AD95A7D"/>
    <w:rsid w:val="6ADE3093"/>
    <w:rsid w:val="6ADF6E0B"/>
    <w:rsid w:val="6AE84634"/>
    <w:rsid w:val="6AEF52A0"/>
    <w:rsid w:val="6AF44665"/>
    <w:rsid w:val="6AFC5C0F"/>
    <w:rsid w:val="6B0A032C"/>
    <w:rsid w:val="6B160A7F"/>
    <w:rsid w:val="6B1E16E2"/>
    <w:rsid w:val="6B23319C"/>
    <w:rsid w:val="6B272C8C"/>
    <w:rsid w:val="6B2A452A"/>
    <w:rsid w:val="6B2B4BE8"/>
    <w:rsid w:val="6B2D5DC9"/>
    <w:rsid w:val="6B32518D"/>
    <w:rsid w:val="6B340F05"/>
    <w:rsid w:val="6B405AFC"/>
    <w:rsid w:val="6B4355EC"/>
    <w:rsid w:val="6B453112"/>
    <w:rsid w:val="6B4A24D7"/>
    <w:rsid w:val="6B5B2936"/>
    <w:rsid w:val="6B6048CC"/>
    <w:rsid w:val="6B69597E"/>
    <w:rsid w:val="6B797260"/>
    <w:rsid w:val="6B7E4876"/>
    <w:rsid w:val="6B80414A"/>
    <w:rsid w:val="6B811C71"/>
    <w:rsid w:val="6B824366"/>
    <w:rsid w:val="6B87197D"/>
    <w:rsid w:val="6B96571C"/>
    <w:rsid w:val="6B9B71D6"/>
    <w:rsid w:val="6B9E2823"/>
    <w:rsid w:val="6BA75B7B"/>
    <w:rsid w:val="6BA77929"/>
    <w:rsid w:val="6BBA0DD9"/>
    <w:rsid w:val="6BC4672D"/>
    <w:rsid w:val="6BC8789F"/>
    <w:rsid w:val="6BCB7ABB"/>
    <w:rsid w:val="6BD050D2"/>
    <w:rsid w:val="6BD10E4A"/>
    <w:rsid w:val="6BD91AAD"/>
    <w:rsid w:val="6BD9385B"/>
    <w:rsid w:val="6BDF70C3"/>
    <w:rsid w:val="6BE02E3B"/>
    <w:rsid w:val="6BEC5C84"/>
    <w:rsid w:val="6BF1329A"/>
    <w:rsid w:val="6BF568E6"/>
    <w:rsid w:val="6BF84629"/>
    <w:rsid w:val="6BFA74DF"/>
    <w:rsid w:val="6BFD39ED"/>
    <w:rsid w:val="6C00528B"/>
    <w:rsid w:val="6C030E4B"/>
    <w:rsid w:val="6C054650"/>
    <w:rsid w:val="6C07661A"/>
    <w:rsid w:val="6C0E79A8"/>
    <w:rsid w:val="6C0F54CE"/>
    <w:rsid w:val="6C1825D5"/>
    <w:rsid w:val="6C1D31AD"/>
    <w:rsid w:val="6C1F3963"/>
    <w:rsid w:val="6C3B62C3"/>
    <w:rsid w:val="6C3D028D"/>
    <w:rsid w:val="6C417D7E"/>
    <w:rsid w:val="6C446F2F"/>
    <w:rsid w:val="6C4636E0"/>
    <w:rsid w:val="6C4C7676"/>
    <w:rsid w:val="6C4D6722"/>
    <w:rsid w:val="6C4E249B"/>
    <w:rsid w:val="6C4E5FF7"/>
    <w:rsid w:val="6C5B7135"/>
    <w:rsid w:val="6C613F7C"/>
    <w:rsid w:val="6C621AA2"/>
    <w:rsid w:val="6C657D25"/>
    <w:rsid w:val="6C691082"/>
    <w:rsid w:val="6C6D0B73"/>
    <w:rsid w:val="6C7528AD"/>
    <w:rsid w:val="6C77379F"/>
    <w:rsid w:val="6C783074"/>
    <w:rsid w:val="6C7C2B64"/>
    <w:rsid w:val="6C807B96"/>
    <w:rsid w:val="6C81461E"/>
    <w:rsid w:val="6C823EF2"/>
    <w:rsid w:val="6C830396"/>
    <w:rsid w:val="6C891725"/>
    <w:rsid w:val="6C8D2FC3"/>
    <w:rsid w:val="6C8D4D71"/>
    <w:rsid w:val="6C8E6D3B"/>
    <w:rsid w:val="6C9500C9"/>
    <w:rsid w:val="6C991968"/>
    <w:rsid w:val="6C9954F4"/>
    <w:rsid w:val="6CA1081C"/>
    <w:rsid w:val="6CA67BE1"/>
    <w:rsid w:val="6CA87DFD"/>
    <w:rsid w:val="6CA95923"/>
    <w:rsid w:val="6CAE2F39"/>
    <w:rsid w:val="6CB467A2"/>
    <w:rsid w:val="6CD10828"/>
    <w:rsid w:val="6CDC7AA6"/>
    <w:rsid w:val="6CDE381E"/>
    <w:rsid w:val="6CE801F9"/>
    <w:rsid w:val="6CEB6BE5"/>
    <w:rsid w:val="6CF62EDC"/>
    <w:rsid w:val="6CF90658"/>
    <w:rsid w:val="6CF92406"/>
    <w:rsid w:val="6D01750D"/>
    <w:rsid w:val="6D050DAB"/>
    <w:rsid w:val="6D0A63C2"/>
    <w:rsid w:val="6D1234C8"/>
    <w:rsid w:val="6D1E00BF"/>
    <w:rsid w:val="6D2531FB"/>
    <w:rsid w:val="6D265DE3"/>
    <w:rsid w:val="6D323B6A"/>
    <w:rsid w:val="6D341690"/>
    <w:rsid w:val="6D396CA7"/>
    <w:rsid w:val="6D3C0545"/>
    <w:rsid w:val="6D3C22F3"/>
    <w:rsid w:val="6D4318D3"/>
    <w:rsid w:val="6D437B25"/>
    <w:rsid w:val="6D45758A"/>
    <w:rsid w:val="6D463172"/>
    <w:rsid w:val="6D512242"/>
    <w:rsid w:val="6D527D69"/>
    <w:rsid w:val="6D667370"/>
    <w:rsid w:val="6D747CDF"/>
    <w:rsid w:val="6D7E0B5E"/>
    <w:rsid w:val="6D801F45"/>
    <w:rsid w:val="6D853C9A"/>
    <w:rsid w:val="6D881C5D"/>
    <w:rsid w:val="6D8F2D6B"/>
    <w:rsid w:val="6D8F4B19"/>
    <w:rsid w:val="6D9143ED"/>
    <w:rsid w:val="6D93423A"/>
    <w:rsid w:val="6D943EDD"/>
    <w:rsid w:val="6D9B170F"/>
    <w:rsid w:val="6D9B60A0"/>
    <w:rsid w:val="6DA87988"/>
    <w:rsid w:val="6DB9234E"/>
    <w:rsid w:val="6DBB2F75"/>
    <w:rsid w:val="6DBB590E"/>
    <w:rsid w:val="6DBE53FE"/>
    <w:rsid w:val="6DC87A8E"/>
    <w:rsid w:val="6DE2636F"/>
    <w:rsid w:val="6DE44E65"/>
    <w:rsid w:val="6DEE7A91"/>
    <w:rsid w:val="6DF826BE"/>
    <w:rsid w:val="6DFC62F0"/>
    <w:rsid w:val="6DFD7CD4"/>
    <w:rsid w:val="6E09355F"/>
    <w:rsid w:val="6E0E0133"/>
    <w:rsid w:val="6E1119D2"/>
    <w:rsid w:val="6E153270"/>
    <w:rsid w:val="6E192634"/>
    <w:rsid w:val="6E1D0376"/>
    <w:rsid w:val="6E1F7C4B"/>
    <w:rsid w:val="6E3918BE"/>
    <w:rsid w:val="6E3971A4"/>
    <w:rsid w:val="6E3C23F0"/>
    <w:rsid w:val="6E3D1B65"/>
    <w:rsid w:val="6E4476B1"/>
    <w:rsid w:val="6E4678CD"/>
    <w:rsid w:val="6E49116B"/>
    <w:rsid w:val="6E4A620A"/>
    <w:rsid w:val="6E4B4EE4"/>
    <w:rsid w:val="6E4E7458"/>
    <w:rsid w:val="6E4F7FF6"/>
    <w:rsid w:val="6E535B46"/>
    <w:rsid w:val="6E5673E4"/>
    <w:rsid w:val="6E58315D"/>
    <w:rsid w:val="6E5A5127"/>
    <w:rsid w:val="6E6B2E90"/>
    <w:rsid w:val="6E723B1F"/>
    <w:rsid w:val="6E775CD9"/>
    <w:rsid w:val="6E777A87"/>
    <w:rsid w:val="6E7A30D3"/>
    <w:rsid w:val="6E7C32EF"/>
    <w:rsid w:val="6E7D2BC3"/>
    <w:rsid w:val="6E7F4C87"/>
    <w:rsid w:val="6E825D78"/>
    <w:rsid w:val="6E8403F6"/>
    <w:rsid w:val="6E8D72AA"/>
    <w:rsid w:val="6E8F02FB"/>
    <w:rsid w:val="6E930639"/>
    <w:rsid w:val="6E95615F"/>
    <w:rsid w:val="6E985C4F"/>
    <w:rsid w:val="6EA168B2"/>
    <w:rsid w:val="6EA6211A"/>
    <w:rsid w:val="6EAE5472"/>
    <w:rsid w:val="6EBD1212"/>
    <w:rsid w:val="6EC24A7A"/>
    <w:rsid w:val="6EC86534"/>
    <w:rsid w:val="6ECD3B4B"/>
    <w:rsid w:val="6ECE341F"/>
    <w:rsid w:val="6ED8429D"/>
    <w:rsid w:val="6EDB4DC7"/>
    <w:rsid w:val="6EDC0332"/>
    <w:rsid w:val="6EDC5B3C"/>
    <w:rsid w:val="6EDD3662"/>
    <w:rsid w:val="6EE3336E"/>
    <w:rsid w:val="6EEB00C0"/>
    <w:rsid w:val="6EF03395"/>
    <w:rsid w:val="6EF74724"/>
    <w:rsid w:val="6F0230C8"/>
    <w:rsid w:val="6F08284F"/>
    <w:rsid w:val="6F0E7CBF"/>
    <w:rsid w:val="6F1C418A"/>
    <w:rsid w:val="6F3239AE"/>
    <w:rsid w:val="6F3E67F6"/>
    <w:rsid w:val="6F411E43"/>
    <w:rsid w:val="6F4656AB"/>
    <w:rsid w:val="6F4F630E"/>
    <w:rsid w:val="6F547DC8"/>
    <w:rsid w:val="6F593630"/>
    <w:rsid w:val="6F602316"/>
    <w:rsid w:val="6F616041"/>
    <w:rsid w:val="6F692303"/>
    <w:rsid w:val="6F7447ED"/>
    <w:rsid w:val="6F7A7103"/>
    <w:rsid w:val="6F7E3097"/>
    <w:rsid w:val="6F7E6BF3"/>
    <w:rsid w:val="6F806E0F"/>
    <w:rsid w:val="6F857F81"/>
    <w:rsid w:val="6F8A09F4"/>
    <w:rsid w:val="6F8A5598"/>
    <w:rsid w:val="6F914B78"/>
    <w:rsid w:val="6F9401C4"/>
    <w:rsid w:val="6F941206"/>
    <w:rsid w:val="6F95026E"/>
    <w:rsid w:val="6F9E7295"/>
    <w:rsid w:val="6FB22D40"/>
    <w:rsid w:val="6FB72105"/>
    <w:rsid w:val="6FC50CC6"/>
    <w:rsid w:val="6FC5343F"/>
    <w:rsid w:val="6FC566E6"/>
    <w:rsid w:val="6FC860C0"/>
    <w:rsid w:val="6FCC5BB0"/>
    <w:rsid w:val="6FCD732C"/>
    <w:rsid w:val="6FD64C81"/>
    <w:rsid w:val="6FD76303"/>
    <w:rsid w:val="6FD9651F"/>
    <w:rsid w:val="6FE0165C"/>
    <w:rsid w:val="6FE40D44"/>
    <w:rsid w:val="6FE95DE3"/>
    <w:rsid w:val="6FEA072C"/>
    <w:rsid w:val="6FEA24DA"/>
    <w:rsid w:val="6FEC3203"/>
    <w:rsid w:val="6FEF5D43"/>
    <w:rsid w:val="6FF15617"/>
    <w:rsid w:val="6FF319DE"/>
    <w:rsid w:val="6FF84BF7"/>
    <w:rsid w:val="6FF9271D"/>
    <w:rsid w:val="6FF944CB"/>
    <w:rsid w:val="6FFB46E7"/>
    <w:rsid w:val="700E441B"/>
    <w:rsid w:val="700E61C9"/>
    <w:rsid w:val="70115CB9"/>
    <w:rsid w:val="70131A31"/>
    <w:rsid w:val="70134ABB"/>
    <w:rsid w:val="70221C74"/>
    <w:rsid w:val="702847D9"/>
    <w:rsid w:val="702E23C7"/>
    <w:rsid w:val="703A6FBE"/>
    <w:rsid w:val="705838E8"/>
    <w:rsid w:val="70585696"/>
    <w:rsid w:val="705B437A"/>
    <w:rsid w:val="705D0EFE"/>
    <w:rsid w:val="706C7393"/>
    <w:rsid w:val="7075449A"/>
    <w:rsid w:val="70755580"/>
    <w:rsid w:val="70756248"/>
    <w:rsid w:val="707F0E75"/>
    <w:rsid w:val="707F2C23"/>
    <w:rsid w:val="70891CF3"/>
    <w:rsid w:val="70980188"/>
    <w:rsid w:val="709A3F00"/>
    <w:rsid w:val="709D579F"/>
    <w:rsid w:val="709F32C5"/>
    <w:rsid w:val="70A408DB"/>
    <w:rsid w:val="70A42689"/>
    <w:rsid w:val="70A94143"/>
    <w:rsid w:val="70B86135"/>
    <w:rsid w:val="70C34349"/>
    <w:rsid w:val="70D0347E"/>
    <w:rsid w:val="70D32F6E"/>
    <w:rsid w:val="70D34D1C"/>
    <w:rsid w:val="70DD5B9B"/>
    <w:rsid w:val="70E247A7"/>
    <w:rsid w:val="70E92792"/>
    <w:rsid w:val="70FA04FB"/>
    <w:rsid w:val="71000C49"/>
    <w:rsid w:val="71063344"/>
    <w:rsid w:val="710B2708"/>
    <w:rsid w:val="711B4938"/>
    <w:rsid w:val="713D663A"/>
    <w:rsid w:val="71494BA2"/>
    <w:rsid w:val="714C3766"/>
    <w:rsid w:val="715220E5"/>
    <w:rsid w:val="71526589"/>
    <w:rsid w:val="715A44A2"/>
    <w:rsid w:val="715C11B6"/>
    <w:rsid w:val="71600CA6"/>
    <w:rsid w:val="7161057A"/>
    <w:rsid w:val="71685DAD"/>
    <w:rsid w:val="716A38D3"/>
    <w:rsid w:val="717209D9"/>
    <w:rsid w:val="71791AD8"/>
    <w:rsid w:val="717A163C"/>
    <w:rsid w:val="718304F0"/>
    <w:rsid w:val="71834994"/>
    <w:rsid w:val="71883D59"/>
    <w:rsid w:val="718A5D23"/>
    <w:rsid w:val="718A6372"/>
    <w:rsid w:val="718F3339"/>
    <w:rsid w:val="71940950"/>
    <w:rsid w:val="719E532A"/>
    <w:rsid w:val="71A16BC9"/>
    <w:rsid w:val="71A62431"/>
    <w:rsid w:val="71AD7C63"/>
    <w:rsid w:val="71AF7537"/>
    <w:rsid w:val="71B2527A"/>
    <w:rsid w:val="71BA427F"/>
    <w:rsid w:val="71BB412E"/>
    <w:rsid w:val="71BE777B"/>
    <w:rsid w:val="71C13613"/>
    <w:rsid w:val="71C6221A"/>
    <w:rsid w:val="71C971CF"/>
    <w:rsid w:val="71E35433"/>
    <w:rsid w:val="71E74F23"/>
    <w:rsid w:val="71F633B8"/>
    <w:rsid w:val="71FB277D"/>
    <w:rsid w:val="72086C48"/>
    <w:rsid w:val="72181581"/>
    <w:rsid w:val="7229553C"/>
    <w:rsid w:val="722A12B4"/>
    <w:rsid w:val="722C2936"/>
    <w:rsid w:val="722C6DDA"/>
    <w:rsid w:val="722E78BF"/>
    <w:rsid w:val="7232489D"/>
    <w:rsid w:val="72331F17"/>
    <w:rsid w:val="72347A3D"/>
    <w:rsid w:val="72402885"/>
    <w:rsid w:val="72442376"/>
    <w:rsid w:val="72485159"/>
    <w:rsid w:val="72514A93"/>
    <w:rsid w:val="72541E8D"/>
    <w:rsid w:val="72587BCF"/>
    <w:rsid w:val="725D51E5"/>
    <w:rsid w:val="72606A84"/>
    <w:rsid w:val="726E2F4F"/>
    <w:rsid w:val="727A15DA"/>
    <w:rsid w:val="728275F0"/>
    <w:rsid w:val="728564EA"/>
    <w:rsid w:val="729055BB"/>
    <w:rsid w:val="72912870"/>
    <w:rsid w:val="72952BD1"/>
    <w:rsid w:val="72987FCC"/>
    <w:rsid w:val="729C3F60"/>
    <w:rsid w:val="729F75AC"/>
    <w:rsid w:val="72A526E9"/>
    <w:rsid w:val="72A9042B"/>
    <w:rsid w:val="72B8241C"/>
    <w:rsid w:val="72BA43E6"/>
    <w:rsid w:val="72BD7A32"/>
    <w:rsid w:val="72C45265"/>
    <w:rsid w:val="72CE7E91"/>
    <w:rsid w:val="72D336FA"/>
    <w:rsid w:val="72D41674"/>
    <w:rsid w:val="72DD1E82"/>
    <w:rsid w:val="72F36482"/>
    <w:rsid w:val="72F62F44"/>
    <w:rsid w:val="72F773E8"/>
    <w:rsid w:val="72F922F4"/>
    <w:rsid w:val="7306587D"/>
    <w:rsid w:val="7306762B"/>
    <w:rsid w:val="7309711B"/>
    <w:rsid w:val="731A1BF5"/>
    <w:rsid w:val="731A30D6"/>
    <w:rsid w:val="731B2ABD"/>
    <w:rsid w:val="732B0E40"/>
    <w:rsid w:val="732E6B82"/>
    <w:rsid w:val="733E6DC5"/>
    <w:rsid w:val="733F48EB"/>
    <w:rsid w:val="734343DB"/>
    <w:rsid w:val="7346211D"/>
    <w:rsid w:val="734E4B2E"/>
    <w:rsid w:val="73532623"/>
    <w:rsid w:val="7355410F"/>
    <w:rsid w:val="735E7467"/>
    <w:rsid w:val="735F4F8D"/>
    <w:rsid w:val="73634FBB"/>
    <w:rsid w:val="736600CA"/>
    <w:rsid w:val="73816CB2"/>
    <w:rsid w:val="7386251A"/>
    <w:rsid w:val="73920EBF"/>
    <w:rsid w:val="73AA6208"/>
    <w:rsid w:val="73B40854"/>
    <w:rsid w:val="73B76B77"/>
    <w:rsid w:val="73BE7F06"/>
    <w:rsid w:val="73C80D84"/>
    <w:rsid w:val="73D17C39"/>
    <w:rsid w:val="73DD4830"/>
    <w:rsid w:val="73DE3FB3"/>
    <w:rsid w:val="73E73938"/>
    <w:rsid w:val="73E86D31"/>
    <w:rsid w:val="73EF6311"/>
    <w:rsid w:val="73F43927"/>
    <w:rsid w:val="740C0C71"/>
    <w:rsid w:val="741144D9"/>
    <w:rsid w:val="74145D78"/>
    <w:rsid w:val="74185868"/>
    <w:rsid w:val="74226DA6"/>
    <w:rsid w:val="74253AE1"/>
    <w:rsid w:val="742E4103"/>
    <w:rsid w:val="7431488C"/>
    <w:rsid w:val="743261FE"/>
    <w:rsid w:val="743425C5"/>
    <w:rsid w:val="74367A9C"/>
    <w:rsid w:val="743957DE"/>
    <w:rsid w:val="74400593"/>
    <w:rsid w:val="744228E5"/>
    <w:rsid w:val="7443665D"/>
    <w:rsid w:val="744F0B5E"/>
    <w:rsid w:val="74534AF2"/>
    <w:rsid w:val="745D143B"/>
    <w:rsid w:val="74675EA7"/>
    <w:rsid w:val="74786307"/>
    <w:rsid w:val="74797294"/>
    <w:rsid w:val="747D391D"/>
    <w:rsid w:val="74836A59"/>
    <w:rsid w:val="748603E1"/>
    <w:rsid w:val="7487654A"/>
    <w:rsid w:val="748A428C"/>
    <w:rsid w:val="74940C67"/>
    <w:rsid w:val="74980757"/>
    <w:rsid w:val="74A964C0"/>
    <w:rsid w:val="74B44E65"/>
    <w:rsid w:val="74B530B7"/>
    <w:rsid w:val="74B72AE2"/>
    <w:rsid w:val="74B81FE2"/>
    <w:rsid w:val="74BA06CD"/>
    <w:rsid w:val="74BC04D7"/>
    <w:rsid w:val="74BD1F6B"/>
    <w:rsid w:val="74C23A26"/>
    <w:rsid w:val="74D06143"/>
    <w:rsid w:val="74D3353D"/>
    <w:rsid w:val="74E219D2"/>
    <w:rsid w:val="74E76064"/>
    <w:rsid w:val="74E97204"/>
    <w:rsid w:val="75023E22"/>
    <w:rsid w:val="750951B1"/>
    <w:rsid w:val="750A2CD7"/>
    <w:rsid w:val="75120509"/>
    <w:rsid w:val="75121B9E"/>
    <w:rsid w:val="751A116C"/>
    <w:rsid w:val="752B15CB"/>
    <w:rsid w:val="752B30DA"/>
    <w:rsid w:val="753454BA"/>
    <w:rsid w:val="753D12FE"/>
    <w:rsid w:val="753D30AC"/>
    <w:rsid w:val="753F6E24"/>
    <w:rsid w:val="7541494A"/>
    <w:rsid w:val="7544268D"/>
    <w:rsid w:val="75480FFD"/>
    <w:rsid w:val="754937FF"/>
    <w:rsid w:val="75497CA3"/>
    <w:rsid w:val="75572263"/>
    <w:rsid w:val="755C23E6"/>
    <w:rsid w:val="755F74C6"/>
    <w:rsid w:val="756168F9"/>
    <w:rsid w:val="75640639"/>
    <w:rsid w:val="75671ED7"/>
    <w:rsid w:val="757271FA"/>
    <w:rsid w:val="75774810"/>
    <w:rsid w:val="757840E4"/>
    <w:rsid w:val="75840CDB"/>
    <w:rsid w:val="758E56B6"/>
    <w:rsid w:val="75956A44"/>
    <w:rsid w:val="759A04FF"/>
    <w:rsid w:val="759A22AD"/>
    <w:rsid w:val="759F5B15"/>
    <w:rsid w:val="75A11EDC"/>
    <w:rsid w:val="75A4312B"/>
    <w:rsid w:val="75A629FF"/>
    <w:rsid w:val="75A86778"/>
    <w:rsid w:val="75A90742"/>
    <w:rsid w:val="75AD1FE0"/>
    <w:rsid w:val="75B0387E"/>
    <w:rsid w:val="75B72E5F"/>
    <w:rsid w:val="75B96BD7"/>
    <w:rsid w:val="75BA64AB"/>
    <w:rsid w:val="75BC0475"/>
    <w:rsid w:val="75BF2B4D"/>
    <w:rsid w:val="75C15A8B"/>
    <w:rsid w:val="75C31803"/>
    <w:rsid w:val="75C5557C"/>
    <w:rsid w:val="75C630A2"/>
    <w:rsid w:val="75F53987"/>
    <w:rsid w:val="75F93477"/>
    <w:rsid w:val="75FC6AC3"/>
    <w:rsid w:val="76037E52"/>
    <w:rsid w:val="76045978"/>
    <w:rsid w:val="76065B94"/>
    <w:rsid w:val="760A11E0"/>
    <w:rsid w:val="760D0CD1"/>
    <w:rsid w:val="76163F79"/>
    <w:rsid w:val="761722FD"/>
    <w:rsid w:val="762C55FB"/>
    <w:rsid w:val="762F0C47"/>
    <w:rsid w:val="76312C11"/>
    <w:rsid w:val="76320737"/>
    <w:rsid w:val="76343143"/>
    <w:rsid w:val="763444AF"/>
    <w:rsid w:val="763E70DC"/>
    <w:rsid w:val="76452218"/>
    <w:rsid w:val="76472434"/>
    <w:rsid w:val="76571F4C"/>
    <w:rsid w:val="76595CC4"/>
    <w:rsid w:val="765B7C8E"/>
    <w:rsid w:val="76634D94"/>
    <w:rsid w:val="76650B0D"/>
    <w:rsid w:val="766C59F7"/>
    <w:rsid w:val="767B20DE"/>
    <w:rsid w:val="767D5E56"/>
    <w:rsid w:val="768014A2"/>
    <w:rsid w:val="76816FC9"/>
    <w:rsid w:val="768A0573"/>
    <w:rsid w:val="768C7E47"/>
    <w:rsid w:val="769211D6"/>
    <w:rsid w:val="76960CC6"/>
    <w:rsid w:val="76A038F3"/>
    <w:rsid w:val="76A16046"/>
    <w:rsid w:val="76A333E3"/>
    <w:rsid w:val="76A50F09"/>
    <w:rsid w:val="76A71125"/>
    <w:rsid w:val="76B178AE"/>
    <w:rsid w:val="76B455F0"/>
    <w:rsid w:val="76B707CD"/>
    <w:rsid w:val="76B86E8E"/>
    <w:rsid w:val="76BD26F7"/>
    <w:rsid w:val="76BD6253"/>
    <w:rsid w:val="76C218E6"/>
    <w:rsid w:val="76C23869"/>
    <w:rsid w:val="76C70E7F"/>
    <w:rsid w:val="76CD220E"/>
    <w:rsid w:val="76CE66B2"/>
    <w:rsid w:val="76D33CC8"/>
    <w:rsid w:val="76DF37AF"/>
    <w:rsid w:val="76E41A31"/>
    <w:rsid w:val="76E71522"/>
    <w:rsid w:val="76E934EC"/>
    <w:rsid w:val="76EC030B"/>
    <w:rsid w:val="76F115AC"/>
    <w:rsid w:val="76F31C74"/>
    <w:rsid w:val="76F36118"/>
    <w:rsid w:val="76FD0D45"/>
    <w:rsid w:val="76FD6F97"/>
    <w:rsid w:val="7706409E"/>
    <w:rsid w:val="770E4D00"/>
    <w:rsid w:val="77163BB5"/>
    <w:rsid w:val="77183DD1"/>
    <w:rsid w:val="77253DF8"/>
    <w:rsid w:val="772B58B2"/>
    <w:rsid w:val="772C5186"/>
    <w:rsid w:val="772E0EFE"/>
    <w:rsid w:val="772F1EEA"/>
    <w:rsid w:val="773A3D47"/>
    <w:rsid w:val="77444BC6"/>
    <w:rsid w:val="774626EC"/>
    <w:rsid w:val="774652CE"/>
    <w:rsid w:val="77514BED"/>
    <w:rsid w:val="7759147A"/>
    <w:rsid w:val="77737F33"/>
    <w:rsid w:val="77752FD1"/>
    <w:rsid w:val="77756B2D"/>
    <w:rsid w:val="77764653"/>
    <w:rsid w:val="777C610E"/>
    <w:rsid w:val="777C7EBC"/>
    <w:rsid w:val="7782124A"/>
    <w:rsid w:val="77860D3A"/>
    <w:rsid w:val="778D031B"/>
    <w:rsid w:val="77943750"/>
    <w:rsid w:val="77A23AEF"/>
    <w:rsid w:val="77A6318B"/>
    <w:rsid w:val="77AD4519"/>
    <w:rsid w:val="77B21B30"/>
    <w:rsid w:val="77B27D81"/>
    <w:rsid w:val="77B92EBE"/>
    <w:rsid w:val="77BC650A"/>
    <w:rsid w:val="77C33D3D"/>
    <w:rsid w:val="77C4258D"/>
    <w:rsid w:val="77C655DB"/>
    <w:rsid w:val="77C67389"/>
    <w:rsid w:val="77CA0BC6"/>
    <w:rsid w:val="77D54204"/>
    <w:rsid w:val="77D55B8F"/>
    <w:rsid w:val="77DB72D8"/>
    <w:rsid w:val="77E65C7D"/>
    <w:rsid w:val="77E85551"/>
    <w:rsid w:val="77ED11E6"/>
    <w:rsid w:val="77EE068E"/>
    <w:rsid w:val="77EF4B32"/>
    <w:rsid w:val="77F959B0"/>
    <w:rsid w:val="780103C1"/>
    <w:rsid w:val="78146346"/>
    <w:rsid w:val="78160310"/>
    <w:rsid w:val="78175E36"/>
    <w:rsid w:val="78191BAF"/>
    <w:rsid w:val="782A2A50"/>
    <w:rsid w:val="782D11B6"/>
    <w:rsid w:val="78362761"/>
    <w:rsid w:val="783764D9"/>
    <w:rsid w:val="783B7D77"/>
    <w:rsid w:val="783C589D"/>
    <w:rsid w:val="7847671C"/>
    <w:rsid w:val="784A620C"/>
    <w:rsid w:val="784C3D32"/>
    <w:rsid w:val="784D1858"/>
    <w:rsid w:val="784D7AAA"/>
    <w:rsid w:val="78570929"/>
    <w:rsid w:val="785B3F75"/>
    <w:rsid w:val="785B5D23"/>
    <w:rsid w:val="785D5F3F"/>
    <w:rsid w:val="786077DD"/>
    <w:rsid w:val="78697846"/>
    <w:rsid w:val="78764C12"/>
    <w:rsid w:val="78767001"/>
    <w:rsid w:val="7879089F"/>
    <w:rsid w:val="7883171E"/>
    <w:rsid w:val="788A2AAC"/>
    <w:rsid w:val="788C47F9"/>
    <w:rsid w:val="788F1E71"/>
    <w:rsid w:val="789456D9"/>
    <w:rsid w:val="789631FF"/>
    <w:rsid w:val="78994A9D"/>
    <w:rsid w:val="789D458E"/>
    <w:rsid w:val="78A05E2C"/>
    <w:rsid w:val="78A7540C"/>
    <w:rsid w:val="78AF2513"/>
    <w:rsid w:val="78AF606F"/>
    <w:rsid w:val="78B6564F"/>
    <w:rsid w:val="78BC6AD8"/>
    <w:rsid w:val="78C37D6C"/>
    <w:rsid w:val="78C87131"/>
    <w:rsid w:val="78CD4747"/>
    <w:rsid w:val="78D14237"/>
    <w:rsid w:val="78D87374"/>
    <w:rsid w:val="78D9133E"/>
    <w:rsid w:val="78DC48F3"/>
    <w:rsid w:val="78E026CC"/>
    <w:rsid w:val="78EA52F9"/>
    <w:rsid w:val="78ED02C3"/>
    <w:rsid w:val="78EE4DE9"/>
    <w:rsid w:val="78EF46BD"/>
    <w:rsid w:val="78F846CC"/>
    <w:rsid w:val="78FB4AF5"/>
    <w:rsid w:val="79002D6F"/>
    <w:rsid w:val="79004B1D"/>
    <w:rsid w:val="790740FD"/>
    <w:rsid w:val="790F4D60"/>
    <w:rsid w:val="7913351C"/>
    <w:rsid w:val="791406C2"/>
    <w:rsid w:val="791D122B"/>
    <w:rsid w:val="791D52BE"/>
    <w:rsid w:val="791D56CF"/>
    <w:rsid w:val="79226841"/>
    <w:rsid w:val="79254583"/>
    <w:rsid w:val="79256331"/>
    <w:rsid w:val="79256621"/>
    <w:rsid w:val="79330A4E"/>
    <w:rsid w:val="79330C25"/>
    <w:rsid w:val="793A002E"/>
    <w:rsid w:val="7940316B"/>
    <w:rsid w:val="79441BAA"/>
    <w:rsid w:val="794669D3"/>
    <w:rsid w:val="794744F9"/>
    <w:rsid w:val="794964C4"/>
    <w:rsid w:val="794A735F"/>
    <w:rsid w:val="794B3FEA"/>
    <w:rsid w:val="794E145A"/>
    <w:rsid w:val="79507852"/>
    <w:rsid w:val="795409C4"/>
    <w:rsid w:val="79565B55"/>
    <w:rsid w:val="795A247F"/>
    <w:rsid w:val="795B7FA5"/>
    <w:rsid w:val="79627585"/>
    <w:rsid w:val="796432FD"/>
    <w:rsid w:val="79664F44"/>
    <w:rsid w:val="796B01E8"/>
    <w:rsid w:val="79703A50"/>
    <w:rsid w:val="79751067"/>
    <w:rsid w:val="79773031"/>
    <w:rsid w:val="797F0137"/>
    <w:rsid w:val="797F5A41"/>
    <w:rsid w:val="798219D5"/>
    <w:rsid w:val="798474FC"/>
    <w:rsid w:val="798502D6"/>
    <w:rsid w:val="79894B12"/>
    <w:rsid w:val="798968C0"/>
    <w:rsid w:val="79935991"/>
    <w:rsid w:val="79974DFF"/>
    <w:rsid w:val="799A0ACD"/>
    <w:rsid w:val="799D05BD"/>
    <w:rsid w:val="799D236B"/>
    <w:rsid w:val="799F4335"/>
    <w:rsid w:val="79A47B9E"/>
    <w:rsid w:val="79A90D10"/>
    <w:rsid w:val="79AB0880"/>
    <w:rsid w:val="79B80F53"/>
    <w:rsid w:val="79BA116F"/>
    <w:rsid w:val="79BD2A0E"/>
    <w:rsid w:val="79CB6ED9"/>
    <w:rsid w:val="79D7587D"/>
    <w:rsid w:val="79DC10E6"/>
    <w:rsid w:val="79E32474"/>
    <w:rsid w:val="79F3642F"/>
    <w:rsid w:val="79F91C98"/>
    <w:rsid w:val="79FA5A10"/>
    <w:rsid w:val="79FF3026"/>
    <w:rsid w:val="7A04063C"/>
    <w:rsid w:val="7A08012D"/>
    <w:rsid w:val="7A124B07"/>
    <w:rsid w:val="7A1268B5"/>
    <w:rsid w:val="7A1E16FE"/>
    <w:rsid w:val="7A1E525A"/>
    <w:rsid w:val="7A1F0FD2"/>
    <w:rsid w:val="7A205476"/>
    <w:rsid w:val="7A252A8D"/>
    <w:rsid w:val="7A3251AA"/>
    <w:rsid w:val="7A3C3932"/>
    <w:rsid w:val="7A3D3638"/>
    <w:rsid w:val="7A480529"/>
    <w:rsid w:val="7A4B1DC7"/>
    <w:rsid w:val="7A4B6C8D"/>
    <w:rsid w:val="7A5A200A"/>
    <w:rsid w:val="7A5A52BF"/>
    <w:rsid w:val="7A6D7F90"/>
    <w:rsid w:val="7A770E0E"/>
    <w:rsid w:val="7A7E03EF"/>
    <w:rsid w:val="7A8C2B0C"/>
    <w:rsid w:val="7A8D0632"/>
    <w:rsid w:val="7A923C0B"/>
    <w:rsid w:val="7A923E9A"/>
    <w:rsid w:val="7AA8546C"/>
    <w:rsid w:val="7AAA2F92"/>
    <w:rsid w:val="7AAC3494"/>
    <w:rsid w:val="7AB61937"/>
    <w:rsid w:val="7AB91427"/>
    <w:rsid w:val="7ABC03B8"/>
    <w:rsid w:val="7ABE4C8F"/>
    <w:rsid w:val="7AC1208A"/>
    <w:rsid w:val="7ACA7190"/>
    <w:rsid w:val="7ACA77DF"/>
    <w:rsid w:val="7ACF29F8"/>
    <w:rsid w:val="7AD1051F"/>
    <w:rsid w:val="7AD4000F"/>
    <w:rsid w:val="7AD93877"/>
    <w:rsid w:val="7AD95FCD"/>
    <w:rsid w:val="7AE77D42"/>
    <w:rsid w:val="7AEF4E49"/>
    <w:rsid w:val="7AF50549"/>
    <w:rsid w:val="7AFB1A3F"/>
    <w:rsid w:val="7AFC584B"/>
    <w:rsid w:val="7AFD1314"/>
    <w:rsid w:val="7B024B7C"/>
    <w:rsid w:val="7B0326A2"/>
    <w:rsid w:val="7B0408F4"/>
    <w:rsid w:val="7B0C1557"/>
    <w:rsid w:val="7B246717"/>
    <w:rsid w:val="7B2965AD"/>
    <w:rsid w:val="7B2A7C2F"/>
    <w:rsid w:val="7B2E771F"/>
    <w:rsid w:val="7B30793B"/>
    <w:rsid w:val="7B393AC8"/>
    <w:rsid w:val="7B5178B1"/>
    <w:rsid w:val="7B542EFE"/>
    <w:rsid w:val="7B5455AE"/>
    <w:rsid w:val="7B564EC8"/>
    <w:rsid w:val="7B58479C"/>
    <w:rsid w:val="7B590514"/>
    <w:rsid w:val="7B615D46"/>
    <w:rsid w:val="7B66335D"/>
    <w:rsid w:val="7B737828"/>
    <w:rsid w:val="7B7E5661"/>
    <w:rsid w:val="7B881E48"/>
    <w:rsid w:val="7B9003DA"/>
    <w:rsid w:val="7B915F00"/>
    <w:rsid w:val="7B9559F0"/>
    <w:rsid w:val="7B997A06"/>
    <w:rsid w:val="7BA75723"/>
    <w:rsid w:val="7BAB5214"/>
    <w:rsid w:val="7BAC4AE8"/>
    <w:rsid w:val="7BAE260E"/>
    <w:rsid w:val="7BAE6AB2"/>
    <w:rsid w:val="7BB8348D"/>
    <w:rsid w:val="7BC22CA5"/>
    <w:rsid w:val="7BC231C6"/>
    <w:rsid w:val="7BC2430B"/>
    <w:rsid w:val="7BC41E31"/>
    <w:rsid w:val="7BC71922"/>
    <w:rsid w:val="7BDC34AC"/>
    <w:rsid w:val="7BDC361F"/>
    <w:rsid w:val="7BDD2EF3"/>
    <w:rsid w:val="7BE6624C"/>
    <w:rsid w:val="7BE97AEA"/>
    <w:rsid w:val="7BF02C26"/>
    <w:rsid w:val="7BF72207"/>
    <w:rsid w:val="7BFB6FCF"/>
    <w:rsid w:val="7C06327E"/>
    <w:rsid w:val="7C0924C9"/>
    <w:rsid w:val="7C0E57A2"/>
    <w:rsid w:val="7C0E62A5"/>
    <w:rsid w:val="7C11382C"/>
    <w:rsid w:val="7C136915"/>
    <w:rsid w:val="7C1F275F"/>
    <w:rsid w:val="7C296138"/>
    <w:rsid w:val="7C305719"/>
    <w:rsid w:val="7C372603"/>
    <w:rsid w:val="7C376AA7"/>
    <w:rsid w:val="7C4116D4"/>
    <w:rsid w:val="7C464F3C"/>
    <w:rsid w:val="7C480CB4"/>
    <w:rsid w:val="7C5331B5"/>
    <w:rsid w:val="7C5B2D18"/>
    <w:rsid w:val="7C6F6241"/>
    <w:rsid w:val="7C7F3FAA"/>
    <w:rsid w:val="7C8021FC"/>
    <w:rsid w:val="7C8A307B"/>
    <w:rsid w:val="7C8A4E29"/>
    <w:rsid w:val="7C923CDE"/>
    <w:rsid w:val="7C977546"/>
    <w:rsid w:val="7C9932BE"/>
    <w:rsid w:val="7C99506C"/>
    <w:rsid w:val="7CA103C5"/>
    <w:rsid w:val="7CA3413D"/>
    <w:rsid w:val="7CA659DB"/>
    <w:rsid w:val="7CAF4890"/>
    <w:rsid w:val="7CB02B6A"/>
    <w:rsid w:val="7CB24380"/>
    <w:rsid w:val="7CB35AFC"/>
    <w:rsid w:val="7CB400F8"/>
    <w:rsid w:val="7CB63E70"/>
    <w:rsid w:val="7CB65C1E"/>
    <w:rsid w:val="7CBA2CE5"/>
    <w:rsid w:val="7CBC0D5A"/>
    <w:rsid w:val="7CBC51FE"/>
    <w:rsid w:val="7CBE4AD3"/>
    <w:rsid w:val="7CC04CEF"/>
    <w:rsid w:val="7CC77E2B"/>
    <w:rsid w:val="7CC83BA3"/>
    <w:rsid w:val="7CCA791B"/>
    <w:rsid w:val="7CD2057E"/>
    <w:rsid w:val="7CD42548"/>
    <w:rsid w:val="7CD442F6"/>
    <w:rsid w:val="7CD95DB0"/>
    <w:rsid w:val="7CEF2EDE"/>
    <w:rsid w:val="7CEF7382"/>
    <w:rsid w:val="7CF36E72"/>
    <w:rsid w:val="7D025DD1"/>
    <w:rsid w:val="7D056BA5"/>
    <w:rsid w:val="7D060228"/>
    <w:rsid w:val="7D0C3A90"/>
    <w:rsid w:val="7D172435"/>
    <w:rsid w:val="7D2708CA"/>
    <w:rsid w:val="7D2D6B0F"/>
    <w:rsid w:val="7D341239"/>
    <w:rsid w:val="7D3D1E9B"/>
    <w:rsid w:val="7D3F569E"/>
    <w:rsid w:val="7D4278A5"/>
    <w:rsid w:val="7D4551F4"/>
    <w:rsid w:val="7D480840"/>
    <w:rsid w:val="7D511DEB"/>
    <w:rsid w:val="7D5176F5"/>
    <w:rsid w:val="7D5316BF"/>
    <w:rsid w:val="7D5C45F6"/>
    <w:rsid w:val="7D5D2E53"/>
    <w:rsid w:val="7D621902"/>
    <w:rsid w:val="7D692C90"/>
    <w:rsid w:val="7D6A265F"/>
    <w:rsid w:val="7D6C2781"/>
    <w:rsid w:val="7D781125"/>
    <w:rsid w:val="7D787377"/>
    <w:rsid w:val="7D7B29C4"/>
    <w:rsid w:val="7D871368"/>
    <w:rsid w:val="7D8E2737"/>
    <w:rsid w:val="7D910439"/>
    <w:rsid w:val="7D9F66B2"/>
    <w:rsid w:val="7DA57A41"/>
    <w:rsid w:val="7DAC7021"/>
    <w:rsid w:val="7DB52379"/>
    <w:rsid w:val="7DBA4320"/>
    <w:rsid w:val="7DC1616A"/>
    <w:rsid w:val="7DC26844"/>
    <w:rsid w:val="7DC66335"/>
    <w:rsid w:val="7DCB394B"/>
    <w:rsid w:val="7DCC7E3B"/>
    <w:rsid w:val="7DD32800"/>
    <w:rsid w:val="7DDB3462"/>
    <w:rsid w:val="7DE40569"/>
    <w:rsid w:val="7DE92023"/>
    <w:rsid w:val="7DEB5D9B"/>
    <w:rsid w:val="7DF74740"/>
    <w:rsid w:val="7DFA7D8C"/>
    <w:rsid w:val="7DFD162B"/>
    <w:rsid w:val="7DFF53A3"/>
    <w:rsid w:val="7E026C41"/>
    <w:rsid w:val="7E046E5D"/>
    <w:rsid w:val="7E0705C1"/>
    <w:rsid w:val="7E0D3F64"/>
    <w:rsid w:val="7E17093E"/>
    <w:rsid w:val="7E192D13"/>
    <w:rsid w:val="7E1B4386"/>
    <w:rsid w:val="7E2F6A52"/>
    <w:rsid w:val="7E350DC4"/>
    <w:rsid w:val="7E394D59"/>
    <w:rsid w:val="7E5E656D"/>
    <w:rsid w:val="7E5F22E5"/>
    <w:rsid w:val="7E6B6EDC"/>
    <w:rsid w:val="7E70004F"/>
    <w:rsid w:val="7E7044F2"/>
    <w:rsid w:val="7E790A3C"/>
    <w:rsid w:val="7E7C4C45"/>
    <w:rsid w:val="7E7E09BD"/>
    <w:rsid w:val="7E7F0292"/>
    <w:rsid w:val="7E867872"/>
    <w:rsid w:val="7E891110"/>
    <w:rsid w:val="7E8A55B4"/>
    <w:rsid w:val="7E8A7362"/>
    <w:rsid w:val="7E991353"/>
    <w:rsid w:val="7EA5419C"/>
    <w:rsid w:val="7EA67F14"/>
    <w:rsid w:val="7EAB1087"/>
    <w:rsid w:val="7EBA751C"/>
    <w:rsid w:val="7EBB7543"/>
    <w:rsid w:val="7EBC7738"/>
    <w:rsid w:val="7EBE0DBA"/>
    <w:rsid w:val="7EC860DC"/>
    <w:rsid w:val="7EC87E8B"/>
    <w:rsid w:val="7ED9163C"/>
    <w:rsid w:val="7ED95BF4"/>
    <w:rsid w:val="7EE03426"/>
    <w:rsid w:val="7EE10F4C"/>
    <w:rsid w:val="7EE50A3C"/>
    <w:rsid w:val="7EE63C40"/>
    <w:rsid w:val="7EED0F42"/>
    <w:rsid w:val="7EF70770"/>
    <w:rsid w:val="7F01514B"/>
    <w:rsid w:val="7F0709B3"/>
    <w:rsid w:val="7F0F7867"/>
    <w:rsid w:val="7F132C5D"/>
    <w:rsid w:val="7F144E7E"/>
    <w:rsid w:val="7F1A64F1"/>
    <w:rsid w:val="7F1B7FBA"/>
    <w:rsid w:val="7F20695A"/>
    <w:rsid w:val="7F231565"/>
    <w:rsid w:val="7F25708B"/>
    <w:rsid w:val="7F280929"/>
    <w:rsid w:val="7F2826D7"/>
    <w:rsid w:val="7F2A46A1"/>
    <w:rsid w:val="7F2A644F"/>
    <w:rsid w:val="7F2C0419"/>
    <w:rsid w:val="7F2D5F40"/>
    <w:rsid w:val="7F341F96"/>
    <w:rsid w:val="7F392B36"/>
    <w:rsid w:val="7F453289"/>
    <w:rsid w:val="7F4D213E"/>
    <w:rsid w:val="7F4F4108"/>
    <w:rsid w:val="7F5434CC"/>
    <w:rsid w:val="7F5476B9"/>
    <w:rsid w:val="7F567244"/>
    <w:rsid w:val="7F5B2AAD"/>
    <w:rsid w:val="7F601E71"/>
    <w:rsid w:val="7F73429A"/>
    <w:rsid w:val="7F741DC0"/>
    <w:rsid w:val="7F7973D7"/>
    <w:rsid w:val="7F7D6EC7"/>
    <w:rsid w:val="7F7F2C3F"/>
    <w:rsid w:val="7F9B734D"/>
    <w:rsid w:val="7F9E0BEB"/>
    <w:rsid w:val="7F9F508F"/>
    <w:rsid w:val="7FA2692E"/>
    <w:rsid w:val="7FA97CBC"/>
    <w:rsid w:val="7FAA7BDF"/>
    <w:rsid w:val="7FAC3308"/>
    <w:rsid w:val="7FAE52D2"/>
    <w:rsid w:val="7FB16B71"/>
    <w:rsid w:val="7FB81CAD"/>
    <w:rsid w:val="7FBB354B"/>
    <w:rsid w:val="7FC44AF6"/>
    <w:rsid w:val="7FD14B1D"/>
    <w:rsid w:val="7FD34D39"/>
    <w:rsid w:val="7FD42011"/>
    <w:rsid w:val="7FD95146"/>
    <w:rsid w:val="7FE361F8"/>
    <w:rsid w:val="7FE42AA2"/>
    <w:rsid w:val="7FEE1B73"/>
    <w:rsid w:val="7FEE3921"/>
    <w:rsid w:val="7FF07CE8"/>
    <w:rsid w:val="7FFA0518"/>
    <w:rsid w:val="7FFA4074"/>
    <w:rsid w:val="7FFC4290"/>
    <w:rsid w:val="7FFD1DB6"/>
    <w:rsid w:val="7FFD3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5">
    <w:name w:val="Body Text"/>
    <w:basedOn w:val="1"/>
    <w:qFormat/>
    <w:uiPriority w:val="1"/>
  </w:style>
  <w:style w:type="paragraph" w:styleId="6">
    <w:name w:val="footer"/>
    <w:basedOn w:val="1"/>
    <w:uiPriority w:val="0"/>
    <w:pPr>
      <w:tabs>
        <w:tab w:val="center" w:pos="4153"/>
        <w:tab w:val="right" w:pos="8306"/>
      </w:tabs>
      <w:snapToGrid w:val="0"/>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560" w:hanging="360"/>
      <w:jc w:val="both"/>
    </w:pPr>
  </w:style>
  <w:style w:type="paragraph" w:customStyle="1" w:styleId="12">
    <w:name w:val="Table Paragraph"/>
    <w:basedOn w:val="1"/>
    <w:qFormat/>
    <w:uiPriority w:val="1"/>
    <w:pPr>
      <w:ind w:left="107"/>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3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C464B0-88F4-4B09-A664-5F18672F120C}">
  <ds:schemaRefs/>
</ds:datastoreItem>
</file>

<file path=docProps/app.xml><?xml version="1.0" encoding="utf-8"?>
<Properties xmlns="http://schemas.openxmlformats.org/officeDocument/2006/extended-properties" xmlns:vt="http://schemas.openxmlformats.org/officeDocument/2006/docPropsVTypes">
  <Template>Normal</Template>
  <Pages>1</Pages>
  <Words>11207</Words>
  <Characters>63880</Characters>
  <Lines>532</Lines>
  <Paragraphs>149</Paragraphs>
  <TotalTime>7</TotalTime>
  <ScaleCrop>false</ScaleCrop>
  <LinksUpToDate>false</LinksUpToDate>
  <CharactersWithSpaces>74938</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2023-05-04T07:36:00Z</dcterms:created>
  <dc:creator>xiao</dc:creator>
  <cp:lastModifiedBy>WpsUser</cp:lastModifiedBy>
  <cp:lastPrinted>2023-05-16T03:56:00Z</cp:lastPrinted>
  <dcterms:modified xsi:type="dcterms:W3CDTF">2023-05-19T06:34:04Z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2023-05-04T00:00:00Z</vt:filetime>
  </property>
  <property fmtid="{D5CDD505-2E9C-101B-9397-08002B2CF9AE}" pid="3" name="KSOProductBuildVer">
    <vt:lpwstr>2052-11.1.0.11045</vt:lpwstr>
  </property>
  <property fmtid="{D5CDD505-2E9C-101B-9397-08002B2CF9AE}" pid="4" name="ICV">
    <vt:lpwstr>0EA48A03EE9D4EEB8147FFB1FDD12F10_13</vt:lpwstr>
  </property>
</Properties>
</file>