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Lines="100" w:line="400" w:lineRule="exact"/>
        <w:jc w:val="center"/>
        <w:rPr>
          <w:rFonts w:eastAsia="宋体"/>
          <w:b/>
          <w:sz w:val="32"/>
          <w:szCs w:val="32"/>
          <w:lang w:eastAsia="zh-CN"/>
        </w:rPr>
      </w:pPr>
      <w:r>
        <w:rPr>
          <w:rFonts w:hint="eastAsia" w:ascii="黑体" w:hAnsi="黑体" w:eastAsia="黑体" w:cs="黑体"/>
          <w:b/>
          <w:sz w:val="32"/>
          <w:szCs w:val="32"/>
          <w:u w:val="single"/>
          <w:lang w:eastAsia="zh-CN"/>
        </w:rPr>
        <w:t>第十一章  企业破产</w:t>
      </w:r>
    </w:p>
    <w:p>
      <w:pPr>
        <w:pStyle w:val="2"/>
        <w:spacing w:after="240" w:afterLines="100" w:line="400" w:lineRule="exact"/>
        <w:jc w:val="center"/>
        <w:rPr>
          <w:rFonts w:eastAsia="宋体"/>
          <w:sz w:val="28"/>
          <w:lang w:eastAsia="zh-CN"/>
        </w:rPr>
      </w:pPr>
      <w:r>
        <w:rPr>
          <w:rFonts w:hint="eastAsia" w:eastAsia="宋体" w:cs="黑体"/>
          <w:sz w:val="28"/>
          <w:szCs w:val="28"/>
          <w:lang w:eastAsia="zh-CN"/>
        </w:rPr>
        <w:t>方法说明</w:t>
      </w:r>
    </w:p>
    <w:p>
      <w:pPr>
        <w:pStyle w:val="9"/>
        <w:tabs>
          <w:tab w:val="left" w:pos="4234"/>
          <w:tab w:val="left" w:pos="4235"/>
        </w:tabs>
        <w:spacing w:after="240" w:afterLines="100" w:line="400" w:lineRule="exact"/>
        <w:ind w:left="0" w:firstLine="0"/>
        <w:jc w:val="center"/>
        <w:rPr>
          <w:rFonts w:eastAsia="宋体"/>
          <w:b/>
          <w:sz w:val="28"/>
          <w:lang w:eastAsia="zh-CN"/>
        </w:rPr>
      </w:pPr>
      <w:r>
        <w:rPr>
          <w:rFonts w:eastAsia="宋体"/>
          <w:b/>
          <w:spacing w:val="-2"/>
          <w:sz w:val="28"/>
          <w:szCs w:val="28"/>
          <w:lang w:eastAsia="zh-CN"/>
        </w:rPr>
        <w:t>I.动机</w:t>
      </w:r>
    </w:p>
    <w:p>
      <w:pPr>
        <w:pStyle w:val="3"/>
        <w:spacing w:line="400" w:lineRule="exact"/>
        <w:ind w:left="119" w:right="195" w:firstLine="560" w:firstLineChars="200"/>
        <w:jc w:val="both"/>
        <w:rPr>
          <w:rFonts w:eastAsia="宋体"/>
          <w:sz w:val="28"/>
          <w:lang w:eastAsia="zh-CN"/>
        </w:rPr>
      </w:pPr>
      <w:r>
        <w:rPr>
          <w:rFonts w:hint="eastAsia" w:eastAsia="宋体" w:cs="宋体"/>
          <w:sz w:val="28"/>
          <w:lang w:eastAsia="zh-CN"/>
        </w:rPr>
        <w:t>无法生存的企业的高效快速退出，在经济长周期中起着重要的作用，通过淘汰无效企业为更有生产力的企业让路，从而促进经济的更新。</w:t>
      </w:r>
      <w:r>
        <w:rPr>
          <w:rFonts w:eastAsia="宋体" w:cs="宋体"/>
          <w:sz w:val="28"/>
          <w:lang w:eastAsia="zh-CN"/>
        </w:rPr>
        <w:t>一个有效的破产框架的目的是确保无法生存的企业迅速清算，而能够生存的企业以可持续的方式进行有效重组。当破产制度没有足够的工具来及时有效地处理公司的重组和清算时，这些公司的经济困境就会被放大，</w:t>
      </w:r>
      <w:r>
        <w:rPr>
          <w:rFonts w:eastAsia="宋体" w:cs="宋体"/>
          <w:sz w:val="28"/>
          <w:vertAlign w:val="superscript"/>
          <w:lang w:eastAsia="zh-CN"/>
        </w:rPr>
        <w:t>1</w:t>
      </w:r>
      <w:r>
        <w:rPr>
          <w:rFonts w:eastAsia="宋体" w:cs="宋体"/>
          <w:sz w:val="28"/>
          <w:lang w:eastAsia="zh-CN"/>
        </w:rPr>
        <w:t>从而危及金融体系的稳定。</w:t>
      </w:r>
      <w:r>
        <w:rPr>
          <w:rFonts w:hint="eastAsia" w:eastAsia="宋体" w:cs="宋体"/>
          <w:sz w:val="28"/>
          <w:lang w:eastAsia="zh-CN"/>
        </w:rPr>
        <w:t>在债权人回收率高、解决时间快的经济体中，正式破产程序内部的</w:t>
      </w:r>
      <w:bookmarkStart w:id="2" w:name="_GoBack"/>
      <w:bookmarkEnd w:id="2"/>
      <w:r>
        <w:rPr>
          <w:rFonts w:hint="eastAsia" w:eastAsia="宋体" w:cs="宋体"/>
          <w:sz w:val="28"/>
          <w:lang w:eastAsia="zh-CN"/>
        </w:rPr>
        <w:t>重组通过让企业维持运营，在经济衰退期间发挥着周期性作用。</w:t>
      </w:r>
    </w:p>
    <w:p>
      <w:pPr>
        <w:pStyle w:val="3"/>
        <w:spacing w:before="1" w:line="400" w:lineRule="exact"/>
        <w:ind w:left="119" w:right="193" w:firstLine="560" w:firstLineChars="200"/>
        <w:jc w:val="both"/>
        <w:rPr>
          <w:rFonts w:eastAsia="宋体"/>
          <w:sz w:val="28"/>
          <w:lang w:eastAsia="zh-CN"/>
        </w:rPr>
      </w:pPr>
      <w:r>
        <w:rPr>
          <w:rFonts w:eastAsia="宋体" w:cs="宋体"/>
          <w:sz w:val="28"/>
          <w:lang w:eastAsia="zh-CN"/>
        </w:rPr>
        <w:t>研究表明，有效的破产制度在促进新公司创建、扩大私营部门规模和鼓励更大的创业活动方面发挥着作用。</w:t>
      </w:r>
      <w:r>
        <w:rPr>
          <w:rFonts w:eastAsia="宋体" w:cs="宋体"/>
          <w:sz w:val="28"/>
          <w:vertAlign w:val="superscript"/>
          <w:lang w:eastAsia="zh-CN"/>
        </w:rPr>
        <w:t>3</w:t>
      </w:r>
      <w:r>
        <w:rPr>
          <w:rFonts w:eastAsia="宋体" w:cs="宋体"/>
          <w:sz w:val="28"/>
          <w:lang w:eastAsia="zh-CN"/>
        </w:rPr>
        <w:t>要做到这一点，需要具备适当的法律机制，使破产程序能够发挥周期性作用:利用预先预警工具避免财务困境;所有有关各方，包括债务人、债权人和其他代理人的积极参与;在破产程序中对债权人给予充分保护;以及对债务人资产的有效管理。</w:t>
      </w:r>
      <w:r>
        <w:rPr>
          <w:rFonts w:eastAsia="宋体" w:cs="宋体"/>
          <w:sz w:val="28"/>
          <w:vertAlign w:val="superscript"/>
          <w:lang w:eastAsia="zh-CN"/>
        </w:rPr>
        <w:t>4</w:t>
      </w:r>
      <w:r>
        <w:rPr>
          <w:rFonts w:eastAsia="宋体" w:cs="宋体"/>
          <w:sz w:val="28"/>
          <w:lang w:eastAsia="zh-CN"/>
        </w:rPr>
        <w:t>有效的破产制度可以促进创造就业</w:t>
      </w:r>
      <w:r>
        <w:rPr>
          <w:rFonts w:hint="eastAsia" w:eastAsia="宋体" w:cs="宋体"/>
          <w:sz w:val="28"/>
          <w:lang w:eastAsia="zh-CN"/>
        </w:rPr>
        <w:t>岗位</w:t>
      </w:r>
      <w:r>
        <w:rPr>
          <w:rFonts w:eastAsia="宋体" w:cs="宋体"/>
          <w:sz w:val="28"/>
          <w:lang w:eastAsia="zh-CN"/>
        </w:rPr>
        <w:t>，</w:t>
      </w:r>
      <w:r>
        <w:rPr>
          <w:rFonts w:hint="eastAsia" w:eastAsia="宋体" w:cs="宋体"/>
          <w:sz w:val="28"/>
          <w:lang w:eastAsia="zh-CN"/>
        </w:rPr>
        <w:t>通过清退已无生存能力的公司，资本得以重新分配，从而提高了生产率</w:t>
      </w:r>
      <w:r>
        <w:rPr>
          <w:rFonts w:eastAsia="宋体" w:cs="宋体"/>
          <w:sz w:val="28"/>
          <w:lang w:eastAsia="zh-CN"/>
        </w:rPr>
        <w:t>。</w:t>
      </w:r>
      <w:r>
        <w:rPr>
          <w:rFonts w:eastAsia="宋体" w:cs="宋体"/>
          <w:sz w:val="28"/>
          <w:vertAlign w:val="superscript"/>
          <w:lang w:eastAsia="zh-CN"/>
        </w:rPr>
        <w:t>5</w:t>
      </w:r>
      <w:r>
        <w:rPr>
          <w:rFonts w:eastAsia="宋体" w:cs="宋体"/>
          <w:sz w:val="28"/>
          <w:lang w:eastAsia="zh-CN"/>
        </w:rPr>
        <w:t>破产程序效率较低的经济体往往具有较低的总生产率，</w:t>
      </w:r>
      <w:r>
        <w:rPr>
          <w:rFonts w:hint="eastAsia" w:eastAsia="宋体" w:cs="宋体"/>
          <w:sz w:val="28"/>
          <w:lang w:eastAsia="zh-CN"/>
        </w:rPr>
        <w:t>因为破产程序引导贷款人将资金分配至生产率较低的公司</w:t>
      </w:r>
      <w:r>
        <w:rPr>
          <w:rFonts w:eastAsia="宋体" w:cs="宋体"/>
          <w:sz w:val="28"/>
          <w:vertAlign w:val="superscript"/>
          <w:lang w:eastAsia="zh-CN"/>
        </w:rPr>
        <w:t>6</w:t>
      </w:r>
      <w:r>
        <w:rPr>
          <w:rFonts w:eastAsia="宋体" w:cs="宋体"/>
          <w:sz w:val="28"/>
          <w:lang w:eastAsia="zh-CN"/>
        </w:rPr>
        <w:t>，并阻止商业利益相关者对风险的管理，从而对金融体系施加压力。</w:t>
      </w:r>
    </w:p>
    <w:p>
      <w:pPr>
        <w:pStyle w:val="3"/>
        <w:spacing w:line="400" w:lineRule="exact"/>
        <w:ind w:left="119" w:right="194" w:firstLine="560" w:firstLineChars="200"/>
        <w:jc w:val="both"/>
        <w:rPr>
          <w:rFonts w:eastAsia="宋体"/>
          <w:b/>
          <w:spacing w:val="-2"/>
          <w:sz w:val="28"/>
          <w:szCs w:val="28"/>
          <w:lang w:eastAsia="zh-CN"/>
        </w:rPr>
      </w:pPr>
      <w:r>
        <w:rPr>
          <w:rFonts w:eastAsia="宋体" w:cs="宋体"/>
          <w:sz w:val="28"/>
          <w:lang w:eastAsia="zh-CN"/>
        </w:rPr>
        <w:t>尽管有效的破产制度发挥着至关重要的作用，但关于这些制度在世界各地运作情况大规模和更新的可比数据却很少。唯一可用的数据(2010年和2016年)是经济合作与发展组织(OECD)针对36个高收入经济体编制的，</w:t>
      </w:r>
      <w:r>
        <w:rPr>
          <w:rFonts w:hint="eastAsia" w:eastAsia="宋体" w:cs="宋体"/>
          <w:sz w:val="28"/>
          <w:lang w:eastAsia="zh-CN"/>
        </w:rPr>
        <w:t>且涉及</w:t>
      </w:r>
      <w:r>
        <w:rPr>
          <w:rFonts w:eastAsia="宋体" w:cs="宋体"/>
          <w:sz w:val="28"/>
          <w:lang w:eastAsia="zh-CN"/>
        </w:rPr>
        <w:t>范围有限。B-READY项目旨在填补这一空白。</w:t>
      </w:r>
    </w:p>
    <w:p>
      <w:pPr>
        <w:pStyle w:val="9"/>
        <w:tabs>
          <w:tab w:val="left" w:pos="4234"/>
          <w:tab w:val="left" w:pos="4235"/>
        </w:tabs>
        <w:spacing w:after="240" w:afterLines="100" w:line="400" w:lineRule="exact"/>
        <w:ind w:left="0" w:firstLine="0"/>
        <w:jc w:val="center"/>
        <w:rPr>
          <w:rFonts w:eastAsia="宋体"/>
          <w:b/>
          <w:spacing w:val="-2"/>
          <w:sz w:val="28"/>
          <w:szCs w:val="28"/>
          <w:lang w:eastAsia="zh-CN"/>
        </w:rPr>
      </w:pPr>
      <w:r>
        <w:rPr>
          <w:rFonts w:eastAsia="宋体"/>
          <w:b/>
          <w:spacing w:val="-2"/>
          <w:sz w:val="28"/>
          <w:szCs w:val="28"/>
          <w:lang w:eastAsia="zh-CN"/>
        </w:rPr>
        <w:t>II.指标</w:t>
      </w:r>
    </w:p>
    <w:p>
      <w:pPr>
        <w:pStyle w:val="3"/>
        <w:spacing w:before="1" w:line="400" w:lineRule="exact"/>
        <w:ind w:left="120" w:right="194" w:firstLine="560" w:firstLineChars="200"/>
        <w:jc w:val="both"/>
        <w:rPr>
          <w:rFonts w:hint="default" w:eastAsia="宋体" w:cs="宋体"/>
          <w:sz w:val="28"/>
          <w:highlight w:val="none"/>
          <w:lang w:val="en-US" w:eastAsia="zh-CN"/>
        </w:rPr>
      </w:pPr>
      <w:r>
        <w:rPr>
          <w:rFonts w:eastAsia="宋体" w:cs="宋体"/>
          <w:sz w:val="28"/>
          <w:lang w:eastAsia="zh-CN"/>
        </w:rPr>
        <w:t>企业破产主题从监管层面衡量破产制度的关键特征。它还评估了与破产程序(司法服务)相关的</w:t>
      </w:r>
      <w:r>
        <w:rPr>
          <w:rFonts w:hint="eastAsia" w:eastAsia="宋体" w:cs="宋体"/>
          <w:sz w:val="28"/>
          <w:lang w:eastAsia="zh-CN"/>
        </w:rPr>
        <w:t>机构</w:t>
      </w:r>
      <w:r>
        <w:rPr>
          <w:rFonts w:eastAsia="宋体" w:cs="宋体"/>
          <w:sz w:val="28"/>
          <w:lang w:eastAsia="zh-CN"/>
        </w:rPr>
        <w:t>和业务基础设施，以及破产程序</w:t>
      </w:r>
      <w:r>
        <w:rPr>
          <w:rFonts w:hint="eastAsia" w:eastAsia="宋体" w:cs="宋体"/>
          <w:sz w:val="28"/>
          <w:lang w:eastAsia="zh-CN"/>
        </w:rPr>
        <w:t>实际</w:t>
      </w:r>
      <w:r>
        <w:rPr>
          <w:rFonts w:eastAsia="宋体" w:cs="宋体"/>
          <w:sz w:val="28"/>
          <w:lang w:eastAsia="zh-CN"/>
        </w:rPr>
        <w:t>效率，涉及三个不同的维度。第一个</w:t>
      </w:r>
      <w:r>
        <w:rPr>
          <w:rFonts w:hint="eastAsia" w:eastAsia="宋体" w:cs="宋体"/>
          <w:sz w:val="28"/>
          <w:lang w:eastAsia="zh-CN"/>
        </w:rPr>
        <w:t>维度</w:t>
      </w:r>
      <w:r>
        <w:rPr>
          <w:rFonts w:eastAsia="宋体" w:cs="宋体"/>
          <w:sz w:val="28"/>
          <w:lang w:eastAsia="zh-CN"/>
        </w:rPr>
        <w:t>评估与破产程序有关的监管有效性，涵盖结构性债务解决程序和有效的债权人和债务人制度所必需的监管框架的法律特征。第二个</w:t>
      </w:r>
      <w:r>
        <w:rPr>
          <w:rFonts w:hint="eastAsia" w:eastAsia="宋体" w:cs="宋体"/>
          <w:sz w:val="28"/>
          <w:lang w:eastAsia="zh-CN"/>
        </w:rPr>
        <w:t>维度</w:t>
      </w:r>
      <w:r>
        <w:rPr>
          <w:rFonts w:eastAsia="宋体" w:cs="宋体"/>
          <w:sz w:val="28"/>
          <w:lang w:eastAsia="zh-CN"/>
        </w:rPr>
        <w:t>衡量破产程序的体制和业务基础设施的质量，从而评估破产解决机制的实际方面和实施破产法律框架所需的基础设施。第三个</w:t>
      </w:r>
      <w:r>
        <w:rPr>
          <w:rFonts w:hint="eastAsia" w:eastAsia="宋体" w:cs="宋体"/>
          <w:sz w:val="28"/>
          <w:lang w:eastAsia="zh-CN"/>
        </w:rPr>
        <w:t>维度</w:t>
      </w:r>
      <w:r>
        <w:rPr>
          <w:rFonts w:eastAsia="宋体" w:cs="宋体"/>
          <w:sz w:val="28"/>
          <w:lang w:eastAsia="zh-CN"/>
        </w:rPr>
        <w:t>衡量解决在</w:t>
      </w:r>
      <w:r>
        <w:rPr>
          <w:rFonts w:hint="eastAsia" w:eastAsia="宋体" w:cs="宋体"/>
          <w:sz w:val="28"/>
          <w:lang w:eastAsia="zh-CN"/>
        </w:rPr>
        <w:t>法庭</w:t>
      </w:r>
      <w:r>
        <w:rPr>
          <w:rFonts w:eastAsia="宋体" w:cs="宋体"/>
          <w:sz w:val="28"/>
          <w:lang w:eastAsia="zh-CN"/>
        </w:rPr>
        <w:t>清算和重组程序所需的时间和成本。</w:t>
      </w:r>
      <w:r>
        <w:rPr>
          <w:rFonts w:ascii="Times New Roman"/>
          <w:sz w:val="28"/>
          <w:szCs w:val="28"/>
          <w:highlight w:val="none"/>
          <w:lang w:eastAsia="zh-CN"/>
        </w:rPr>
        <w:t>每个维度</w:t>
      </w:r>
      <w:r>
        <w:rPr>
          <w:rFonts w:hint="eastAsia" w:ascii="Times New Roman"/>
          <w:sz w:val="28"/>
          <w:szCs w:val="28"/>
          <w:highlight w:val="none"/>
          <w:lang w:eastAsia="zh-CN"/>
        </w:rPr>
        <w:t>（</w:t>
      </w:r>
      <w:r>
        <w:rPr>
          <w:rFonts w:hint="eastAsia" w:ascii="Times New Roman"/>
          <w:sz w:val="28"/>
          <w:szCs w:val="28"/>
          <w:highlight w:val="none"/>
          <w:lang w:val="en-US" w:eastAsia="zh-CN"/>
        </w:rPr>
        <w:t>一级指标）</w:t>
      </w:r>
      <w:r>
        <w:rPr>
          <w:rFonts w:ascii="Times New Roman"/>
          <w:sz w:val="28"/>
          <w:szCs w:val="28"/>
          <w:highlight w:val="none"/>
          <w:lang w:eastAsia="zh-CN"/>
        </w:rPr>
        <w:t>都分为几个类别，这些类别由共同特征定义，这些特征有助于将它们划分为特定的类别</w:t>
      </w:r>
      <w:r>
        <w:rPr>
          <w:rFonts w:hint="eastAsia" w:ascii="Times New Roman"/>
          <w:sz w:val="28"/>
          <w:szCs w:val="28"/>
          <w:highlight w:val="none"/>
          <w:lang w:eastAsia="zh-CN"/>
        </w:rPr>
        <w:t>（</w:t>
      </w:r>
      <w:r>
        <w:rPr>
          <w:rFonts w:hint="eastAsia" w:ascii="Times New Roman"/>
          <w:sz w:val="28"/>
          <w:szCs w:val="28"/>
          <w:highlight w:val="none"/>
          <w:lang w:val="en-US" w:eastAsia="zh-CN"/>
        </w:rPr>
        <w:t>二级指标）</w:t>
      </w:r>
      <w:r>
        <w:rPr>
          <w:rFonts w:ascii="Times New Roman"/>
          <w:sz w:val="28"/>
          <w:szCs w:val="28"/>
          <w:highlight w:val="none"/>
          <w:lang w:eastAsia="zh-CN"/>
        </w:rPr>
        <w:t>，每个类别进一步分为子类别</w:t>
      </w:r>
      <w:r>
        <w:rPr>
          <w:rFonts w:hint="eastAsia" w:ascii="Times New Roman"/>
          <w:sz w:val="28"/>
          <w:szCs w:val="28"/>
          <w:highlight w:val="none"/>
          <w:lang w:eastAsia="zh-CN"/>
        </w:rPr>
        <w:t>（</w:t>
      </w:r>
      <w:r>
        <w:rPr>
          <w:rFonts w:hint="eastAsia" w:ascii="Times New Roman"/>
          <w:sz w:val="28"/>
          <w:szCs w:val="28"/>
          <w:highlight w:val="none"/>
          <w:lang w:val="en-US" w:eastAsia="zh-CN"/>
        </w:rPr>
        <w:t>三级指标）</w:t>
      </w:r>
      <w:r>
        <w:rPr>
          <w:rFonts w:ascii="Times New Roman"/>
          <w:sz w:val="28"/>
          <w:szCs w:val="28"/>
          <w:highlight w:val="none"/>
          <w:lang w:eastAsia="zh-CN"/>
        </w:rPr>
        <w:t>。每个子类别</w:t>
      </w:r>
      <w:r>
        <w:rPr>
          <w:rFonts w:hint="eastAsia" w:ascii="Times New Roman"/>
          <w:sz w:val="28"/>
          <w:szCs w:val="28"/>
          <w:highlight w:val="none"/>
          <w:lang w:eastAsia="zh-CN"/>
        </w:rPr>
        <w:t>（</w:t>
      </w:r>
      <w:r>
        <w:rPr>
          <w:rFonts w:hint="eastAsia" w:ascii="Times New Roman"/>
          <w:sz w:val="28"/>
          <w:szCs w:val="28"/>
          <w:highlight w:val="none"/>
          <w:lang w:val="en-US" w:eastAsia="zh-CN"/>
        </w:rPr>
        <w:t>三级指标）</w:t>
      </w:r>
      <w:r>
        <w:rPr>
          <w:rFonts w:ascii="Times New Roman"/>
          <w:sz w:val="28"/>
          <w:szCs w:val="28"/>
          <w:highlight w:val="none"/>
          <w:lang w:eastAsia="zh-CN"/>
        </w:rPr>
        <w:t>由多个指标组成，每个指标又可以包含多个组成部分。每个指标都被分配相应的得分，然后汇总得出每个子类别</w:t>
      </w:r>
      <w:r>
        <w:rPr>
          <w:rFonts w:hint="eastAsia" w:ascii="Times New Roman"/>
          <w:sz w:val="28"/>
          <w:szCs w:val="28"/>
          <w:highlight w:val="none"/>
          <w:lang w:eastAsia="zh-CN"/>
        </w:rPr>
        <w:t>（</w:t>
      </w:r>
      <w:r>
        <w:rPr>
          <w:rFonts w:hint="eastAsia" w:ascii="Times New Roman"/>
          <w:sz w:val="28"/>
          <w:szCs w:val="28"/>
          <w:highlight w:val="none"/>
          <w:lang w:val="en-US" w:eastAsia="zh-CN"/>
        </w:rPr>
        <w:t>三级指标）</w:t>
      </w:r>
      <w:r>
        <w:rPr>
          <w:rFonts w:ascii="Times New Roman"/>
          <w:sz w:val="28"/>
          <w:szCs w:val="28"/>
          <w:highlight w:val="none"/>
          <w:lang w:eastAsia="zh-CN"/>
        </w:rPr>
        <w:t>、类别</w:t>
      </w:r>
      <w:r>
        <w:rPr>
          <w:rFonts w:hint="eastAsia" w:ascii="Times New Roman"/>
          <w:sz w:val="28"/>
          <w:szCs w:val="28"/>
          <w:highlight w:val="none"/>
          <w:lang w:eastAsia="zh-CN"/>
        </w:rPr>
        <w:t>（</w:t>
      </w:r>
      <w:r>
        <w:rPr>
          <w:rFonts w:hint="eastAsia" w:ascii="Times New Roman"/>
          <w:sz w:val="28"/>
          <w:szCs w:val="28"/>
          <w:highlight w:val="none"/>
          <w:lang w:val="en-US" w:eastAsia="zh-CN"/>
        </w:rPr>
        <w:t>二级指标）</w:t>
      </w:r>
      <w:r>
        <w:rPr>
          <w:rFonts w:ascii="Times New Roman"/>
          <w:sz w:val="28"/>
          <w:szCs w:val="28"/>
          <w:highlight w:val="none"/>
          <w:lang w:eastAsia="zh-CN"/>
        </w:rPr>
        <w:t>和维度</w:t>
      </w:r>
      <w:r>
        <w:rPr>
          <w:rFonts w:hint="eastAsia" w:ascii="Times New Roman"/>
          <w:sz w:val="28"/>
          <w:szCs w:val="28"/>
          <w:highlight w:val="none"/>
          <w:lang w:eastAsia="zh-CN"/>
        </w:rPr>
        <w:t>（</w:t>
      </w:r>
      <w:r>
        <w:rPr>
          <w:rFonts w:hint="eastAsia" w:ascii="Times New Roman"/>
          <w:sz w:val="28"/>
          <w:szCs w:val="28"/>
          <w:highlight w:val="none"/>
          <w:lang w:val="en-US" w:eastAsia="zh-CN"/>
        </w:rPr>
        <w:t>一级指标）</w:t>
      </w:r>
      <w:r>
        <w:rPr>
          <w:rFonts w:ascii="Times New Roman"/>
          <w:sz w:val="28"/>
          <w:szCs w:val="28"/>
          <w:highlight w:val="none"/>
          <w:lang w:eastAsia="zh-CN"/>
        </w:rPr>
        <w:t>的得分。表格1</w:t>
      </w:r>
      <w:r>
        <w:rPr>
          <w:rFonts w:hint="eastAsia" w:ascii="Times New Roman"/>
          <w:sz w:val="28"/>
          <w:szCs w:val="28"/>
          <w:highlight w:val="none"/>
          <w:lang w:val="en-US" w:eastAsia="zh-CN"/>
        </w:rPr>
        <w:t>汇总</w:t>
      </w:r>
      <w:r>
        <w:rPr>
          <w:rFonts w:ascii="Times New Roman"/>
          <w:sz w:val="28"/>
          <w:szCs w:val="28"/>
          <w:highlight w:val="none"/>
          <w:lang w:eastAsia="zh-CN"/>
        </w:rPr>
        <w:t>了所有三个维度以及它们在</w:t>
      </w:r>
      <w:r>
        <w:rPr>
          <w:rFonts w:hint="eastAsia"/>
          <w:sz w:val="28"/>
          <w:szCs w:val="28"/>
          <w:highlight w:val="none"/>
          <w:lang w:val="en-US" w:eastAsia="zh-CN"/>
        </w:rPr>
        <w:t>企业破产</w:t>
      </w:r>
      <w:r>
        <w:rPr>
          <w:rFonts w:ascii="Times New Roman"/>
          <w:sz w:val="28"/>
          <w:szCs w:val="28"/>
          <w:highlight w:val="none"/>
          <w:lang w:eastAsia="zh-CN"/>
        </w:rPr>
        <w:t>中各自的</w:t>
      </w:r>
      <w:r>
        <w:rPr>
          <w:rFonts w:hint="eastAsia" w:ascii="Times New Roman"/>
          <w:sz w:val="28"/>
          <w:szCs w:val="28"/>
          <w:highlight w:val="none"/>
          <w:lang w:eastAsia="zh-CN"/>
        </w:rPr>
        <w:t>子类别</w:t>
      </w:r>
      <w:r>
        <w:rPr>
          <w:rFonts w:ascii="Times New Roman"/>
          <w:sz w:val="28"/>
          <w:szCs w:val="28"/>
          <w:highlight w:val="none"/>
          <w:lang w:eastAsia="zh-CN"/>
        </w:rPr>
        <w:t>。</w:t>
      </w:r>
    </w:p>
    <w:p>
      <w:pPr>
        <w:pStyle w:val="3"/>
        <w:spacing w:before="1" w:line="400" w:lineRule="exact"/>
        <w:ind w:left="120" w:right="194" w:firstLine="560" w:firstLineChars="200"/>
        <w:jc w:val="both"/>
        <w:rPr>
          <w:rFonts w:eastAsia="宋体" w:cs="宋体"/>
          <w:sz w:val="28"/>
          <w:lang w:eastAsia="zh-CN"/>
        </w:rPr>
      </w:pPr>
    </w:p>
    <w:p>
      <w:pPr>
        <w:pStyle w:val="3"/>
        <w:spacing w:before="1" w:line="400" w:lineRule="exact"/>
        <w:ind w:left="120" w:right="194" w:firstLine="560" w:firstLineChars="200"/>
        <w:jc w:val="both"/>
        <w:rPr>
          <w:rFonts w:eastAsia="宋体" w:cs="宋体"/>
          <w:sz w:val="28"/>
          <w:lang w:eastAsia="zh-CN"/>
        </w:rPr>
        <w:sectPr>
          <w:headerReference r:id="rId3" w:type="default"/>
          <w:type w:val="continuous"/>
          <w:pgSz w:w="12240" w:h="15840"/>
          <w:pgMar w:top="1360" w:right="1240" w:bottom="280" w:left="1320" w:header="720" w:footer="720" w:gutter="0"/>
          <w:cols w:space="720" w:num="1"/>
        </w:sectPr>
      </w:pPr>
    </w:p>
    <w:p>
      <w:pPr>
        <w:spacing w:before="215" w:line="400" w:lineRule="exact"/>
        <w:jc w:val="center"/>
        <w:rPr>
          <w:rFonts w:eastAsia="宋体"/>
          <w:b/>
          <w:sz w:val="28"/>
          <w:lang w:eastAsia="zh-CN"/>
        </w:rPr>
      </w:pPr>
      <w:r>
        <w:rPr>
          <w:rFonts w:eastAsia="宋体" w:cs="宋体"/>
          <w:b/>
          <w:sz w:val="28"/>
          <w:lang w:eastAsia="zh-CN"/>
        </w:rPr>
        <w:t>表1</w:t>
      </w:r>
      <w:r>
        <w:rPr>
          <w:rFonts w:hint="eastAsia" w:eastAsia="宋体" w:cs="宋体"/>
          <w:b/>
          <w:sz w:val="28"/>
          <w:lang w:val="en-US" w:eastAsia="zh-CN"/>
        </w:rPr>
        <w:t>.</w:t>
      </w:r>
      <w:r>
        <w:rPr>
          <w:rFonts w:hint="eastAsia" w:eastAsia="宋体" w:cs="宋体"/>
          <w:b/>
          <w:sz w:val="28"/>
          <w:lang w:eastAsia="zh-CN"/>
        </w:rPr>
        <w:t xml:space="preserve"> </w:t>
      </w:r>
      <w:r>
        <w:rPr>
          <w:rFonts w:eastAsia="宋体" w:cs="宋体"/>
          <w:b/>
          <w:sz w:val="28"/>
          <w:lang w:eastAsia="zh-CN"/>
        </w:rPr>
        <w:t>企业破产主题三大</w:t>
      </w:r>
      <w:r>
        <w:rPr>
          <w:rFonts w:hint="eastAsia" w:eastAsia="宋体" w:cs="宋体"/>
          <w:b/>
          <w:sz w:val="28"/>
          <w:lang w:eastAsia="zh-CN"/>
        </w:rPr>
        <w:t>维度</w:t>
      </w:r>
      <w:r>
        <w:rPr>
          <w:rFonts w:eastAsia="宋体" w:cs="宋体"/>
          <w:b/>
          <w:sz w:val="28"/>
          <w:lang w:eastAsia="zh-CN"/>
        </w:rPr>
        <w:t>汇总表</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1"/>
        <w:gridCol w:w="81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9347" w:type="dxa"/>
            <w:gridSpan w:val="2"/>
            <w:shd w:val="clear" w:color="auto" w:fill="E7EBF5"/>
            <w:vAlign w:val="center"/>
          </w:tcPr>
          <w:p>
            <w:pPr>
              <w:widowControl/>
              <w:spacing w:line="400" w:lineRule="exact"/>
              <w:jc w:val="both"/>
              <w:rPr>
                <w:rFonts w:eastAsia="宋体"/>
                <w:b/>
                <w:sz w:val="24"/>
                <w:szCs w:val="21"/>
                <w:lang w:eastAsia="zh-CN"/>
              </w:rPr>
            </w:pPr>
            <w:r>
              <w:rPr>
                <w:rFonts w:hint="eastAsia" w:eastAsia="宋体" w:cs="宋体"/>
                <w:b/>
                <w:sz w:val="24"/>
                <w:szCs w:val="21"/>
                <w:lang w:eastAsia="zh-CN"/>
              </w:rPr>
              <w:t>维度</w:t>
            </w:r>
            <w:r>
              <w:rPr>
                <w:rFonts w:eastAsia="宋体"/>
                <w:b/>
                <w:bCs/>
                <w:color w:val="000000"/>
                <w:sz w:val="24"/>
                <w:szCs w:val="16"/>
                <w:lang w:eastAsia="zh-CN" w:bidi="ar"/>
              </w:rPr>
              <w:t>I</w:t>
            </w:r>
            <w:r>
              <w:rPr>
                <w:rFonts w:hint="eastAsia" w:ascii="Songti SC Bold" w:hAnsi="Songti SC Bold" w:eastAsia="Songti SC Bold" w:cs="Songti SC Bold"/>
                <w:b/>
                <w:sz w:val="24"/>
                <w:lang w:val="en-US" w:eastAsia="zh-CN"/>
              </w:rPr>
              <w:t>-</w:t>
            </w:r>
            <w:r>
              <w:rPr>
                <w:rFonts w:eastAsia="宋体" w:cs="宋体"/>
                <w:b/>
                <w:sz w:val="24"/>
                <w:szCs w:val="21"/>
                <w:lang w:eastAsia="zh-CN"/>
              </w:rPr>
              <w:t>破产程序法规质量(29项指标)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1.1</w:t>
            </w:r>
          </w:p>
        </w:tc>
        <w:tc>
          <w:tcPr>
            <w:tcW w:w="8176" w:type="dxa"/>
            <w:shd w:val="clear" w:color="auto" w:fill="E7EBF5"/>
            <w:vAlign w:val="center"/>
          </w:tcPr>
          <w:p>
            <w:pPr>
              <w:pStyle w:val="10"/>
              <w:spacing w:line="400" w:lineRule="exact"/>
              <w:jc w:val="both"/>
              <w:rPr>
                <w:rFonts w:eastAsia="宋体"/>
                <w:b/>
                <w:sz w:val="24"/>
                <w:szCs w:val="21"/>
                <w:lang w:eastAsia="zh-CN"/>
              </w:rPr>
            </w:pPr>
            <w:r>
              <w:rPr>
                <w:rFonts w:eastAsia="宋体" w:cs="宋体"/>
                <w:b/>
                <w:sz w:val="24"/>
                <w:szCs w:val="21"/>
                <w:lang w:eastAsia="zh-CN"/>
              </w:rPr>
              <w:t>法律和程序标准(13项指标)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before="2" w:line="400" w:lineRule="exact"/>
              <w:jc w:val="both"/>
              <w:rPr>
                <w:rFonts w:eastAsia="宋体"/>
                <w:sz w:val="24"/>
                <w:szCs w:val="21"/>
              </w:rPr>
            </w:pPr>
            <w:r>
              <w:rPr>
                <w:rFonts w:eastAsia="宋体" w:cs="宋体"/>
                <w:spacing w:val="-2"/>
                <w:sz w:val="24"/>
                <w:szCs w:val="21"/>
              </w:rPr>
              <w:t>1.1.1</w:t>
            </w:r>
          </w:p>
        </w:tc>
        <w:tc>
          <w:tcPr>
            <w:tcW w:w="8176" w:type="dxa"/>
            <w:vAlign w:val="center"/>
          </w:tcPr>
          <w:p>
            <w:pPr>
              <w:pStyle w:val="10"/>
              <w:spacing w:before="2" w:line="400" w:lineRule="exact"/>
              <w:jc w:val="both"/>
              <w:rPr>
                <w:rFonts w:eastAsia="宋体"/>
                <w:sz w:val="24"/>
                <w:szCs w:val="21"/>
                <w:lang w:eastAsia="zh-CN"/>
              </w:rPr>
            </w:pPr>
            <w:r>
              <w:rPr>
                <w:rFonts w:eastAsia="宋体" w:cs="宋体"/>
                <w:sz w:val="24"/>
                <w:szCs w:val="21"/>
                <w:lang w:eastAsia="zh-CN"/>
              </w:rPr>
              <w:t>破产程序的</w:t>
            </w:r>
            <w:r>
              <w:rPr>
                <w:rFonts w:hint="eastAsia" w:eastAsia="宋体" w:cs="宋体"/>
                <w:sz w:val="24"/>
                <w:szCs w:val="21"/>
                <w:lang w:eastAsia="zh-CN"/>
              </w:rPr>
              <w:t>启动</w:t>
            </w:r>
            <w:r>
              <w:rPr>
                <w:rFonts w:eastAsia="宋体" w:cs="宋体"/>
                <w:sz w:val="24"/>
                <w:szCs w:val="21"/>
                <w:lang w:eastAsia="zh-CN"/>
              </w:rPr>
              <w:t>前和</w:t>
            </w:r>
            <w:r>
              <w:rPr>
                <w:rFonts w:hint="eastAsia" w:eastAsia="宋体" w:cs="宋体"/>
                <w:sz w:val="24"/>
                <w:szCs w:val="21"/>
                <w:lang w:eastAsia="zh-CN"/>
              </w:rPr>
              <w:t>启动</w:t>
            </w:r>
            <w:r>
              <w:rPr>
                <w:rFonts w:eastAsia="宋体" w:cs="宋体"/>
                <w:sz w:val="24"/>
                <w:szCs w:val="21"/>
                <w:lang w:eastAsia="zh-CN"/>
              </w:rPr>
              <w:t>(5项指标)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1.1.2</w:t>
            </w:r>
          </w:p>
        </w:tc>
        <w:tc>
          <w:tcPr>
            <w:tcW w:w="8176" w:type="dxa"/>
            <w:vAlign w:val="center"/>
          </w:tcPr>
          <w:p>
            <w:pPr>
              <w:pStyle w:val="10"/>
              <w:spacing w:line="400" w:lineRule="exact"/>
              <w:jc w:val="both"/>
              <w:rPr>
                <w:rFonts w:eastAsia="宋体"/>
                <w:sz w:val="24"/>
                <w:szCs w:val="21"/>
              </w:rPr>
            </w:pPr>
            <w:r>
              <w:rPr>
                <w:rFonts w:eastAsia="宋体" w:cs="宋体"/>
                <w:sz w:val="24"/>
                <w:szCs w:val="21"/>
              </w:rPr>
              <w:t>清算重组程序(5项指标)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1.1.3</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破产管理人专业知识(3项指标)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1.2</w:t>
            </w:r>
          </w:p>
        </w:tc>
        <w:tc>
          <w:tcPr>
            <w:tcW w:w="8176" w:type="dxa"/>
            <w:shd w:val="clear" w:color="auto" w:fill="E7EBF5"/>
            <w:vAlign w:val="center"/>
          </w:tcPr>
          <w:p>
            <w:pPr>
              <w:pStyle w:val="10"/>
              <w:spacing w:line="400" w:lineRule="exact"/>
              <w:jc w:val="both"/>
              <w:rPr>
                <w:rFonts w:eastAsia="宋体"/>
                <w:b/>
                <w:sz w:val="24"/>
                <w:szCs w:val="21"/>
                <w:lang w:eastAsia="zh-CN"/>
              </w:rPr>
            </w:pPr>
            <w:r>
              <w:rPr>
                <w:rFonts w:eastAsia="宋体" w:cs="宋体"/>
                <w:b/>
                <w:sz w:val="24"/>
                <w:szCs w:val="21"/>
                <w:lang w:eastAsia="zh-CN"/>
              </w:rPr>
              <w:t>资产和利益相关者(11项指标)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 xml:space="preserve">1.2.1 </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债务人资产管理情况(6项指标)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before="2" w:line="400" w:lineRule="exact"/>
              <w:jc w:val="both"/>
              <w:rPr>
                <w:rFonts w:eastAsia="宋体"/>
                <w:sz w:val="24"/>
                <w:szCs w:val="21"/>
              </w:rPr>
            </w:pPr>
            <w:r>
              <w:rPr>
                <w:rFonts w:eastAsia="宋体" w:cs="宋体"/>
                <w:spacing w:val="-2"/>
                <w:sz w:val="24"/>
                <w:szCs w:val="21"/>
              </w:rPr>
              <w:t>1.2.2</w:t>
            </w:r>
          </w:p>
        </w:tc>
        <w:tc>
          <w:tcPr>
            <w:tcW w:w="8176" w:type="dxa"/>
            <w:vAlign w:val="center"/>
          </w:tcPr>
          <w:p>
            <w:pPr>
              <w:pStyle w:val="10"/>
              <w:spacing w:before="2" w:line="400" w:lineRule="exact"/>
              <w:jc w:val="both"/>
              <w:rPr>
                <w:rFonts w:eastAsia="宋体"/>
                <w:sz w:val="24"/>
                <w:szCs w:val="21"/>
              </w:rPr>
            </w:pPr>
            <w:r>
              <w:rPr>
                <w:rFonts w:eastAsia="宋体" w:cs="宋体"/>
                <w:sz w:val="24"/>
                <w:szCs w:val="21"/>
              </w:rPr>
              <w:t>债权人参与(5项指标)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1.3</w:t>
            </w:r>
          </w:p>
        </w:tc>
        <w:tc>
          <w:tcPr>
            <w:tcW w:w="8176" w:type="dxa"/>
            <w:shd w:val="clear" w:color="auto" w:fill="E7EBF5"/>
            <w:vAlign w:val="center"/>
          </w:tcPr>
          <w:p>
            <w:pPr>
              <w:pStyle w:val="10"/>
              <w:spacing w:line="400" w:lineRule="exact"/>
              <w:jc w:val="both"/>
              <w:rPr>
                <w:rFonts w:eastAsia="宋体"/>
                <w:b/>
                <w:sz w:val="24"/>
                <w:szCs w:val="21"/>
              </w:rPr>
            </w:pPr>
            <w:r>
              <w:rPr>
                <w:rFonts w:eastAsia="宋体" w:cs="宋体"/>
                <w:b/>
                <w:sz w:val="24"/>
                <w:szCs w:val="21"/>
              </w:rPr>
              <w:t>专门程序(5项指标)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1.3.1</w:t>
            </w:r>
          </w:p>
        </w:tc>
        <w:tc>
          <w:tcPr>
            <w:tcW w:w="8176" w:type="dxa"/>
            <w:vAlign w:val="center"/>
          </w:tcPr>
          <w:p>
            <w:pPr>
              <w:pStyle w:val="10"/>
              <w:spacing w:line="400" w:lineRule="exact"/>
              <w:jc w:val="both"/>
              <w:rPr>
                <w:rFonts w:eastAsia="宋体"/>
                <w:sz w:val="24"/>
                <w:szCs w:val="21"/>
              </w:rPr>
            </w:pPr>
            <w:r>
              <w:rPr>
                <w:rFonts w:eastAsia="宋体" w:cs="宋体"/>
                <w:sz w:val="24"/>
                <w:szCs w:val="21"/>
              </w:rPr>
              <w:t>小微企业(3项指标)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1.3.2</w:t>
            </w:r>
          </w:p>
        </w:tc>
        <w:tc>
          <w:tcPr>
            <w:tcW w:w="8176" w:type="dxa"/>
            <w:vAlign w:val="center"/>
          </w:tcPr>
          <w:p>
            <w:pPr>
              <w:pStyle w:val="10"/>
              <w:spacing w:line="400" w:lineRule="exact"/>
              <w:jc w:val="both"/>
              <w:rPr>
                <w:rFonts w:eastAsia="宋体"/>
                <w:sz w:val="24"/>
                <w:szCs w:val="21"/>
              </w:rPr>
            </w:pPr>
            <w:r>
              <w:rPr>
                <w:rFonts w:eastAsia="宋体" w:cs="宋体"/>
                <w:sz w:val="24"/>
                <w:szCs w:val="21"/>
              </w:rPr>
              <w:t>跨境破产(2项指标)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9347" w:type="dxa"/>
            <w:gridSpan w:val="2"/>
            <w:shd w:val="clear" w:color="auto" w:fill="E7EBF5"/>
            <w:vAlign w:val="center"/>
          </w:tcPr>
          <w:p>
            <w:pPr>
              <w:pStyle w:val="10"/>
              <w:spacing w:before="127" w:line="400" w:lineRule="exact"/>
              <w:ind w:left="0" w:leftChars="0" w:firstLine="0" w:firstLineChars="0"/>
              <w:jc w:val="both"/>
              <w:rPr>
                <w:rFonts w:eastAsia="宋体"/>
                <w:b/>
                <w:sz w:val="24"/>
                <w:szCs w:val="21"/>
                <w:lang w:eastAsia="zh-CN"/>
              </w:rPr>
            </w:pPr>
            <w:r>
              <w:rPr>
                <w:rFonts w:hint="eastAsia" w:eastAsia="宋体" w:cs="宋体"/>
                <w:b/>
                <w:sz w:val="24"/>
                <w:szCs w:val="21"/>
                <w:lang w:eastAsia="zh-CN"/>
              </w:rPr>
              <w:t>维度II</w:t>
            </w:r>
            <w:r>
              <w:rPr>
                <w:rFonts w:hint="eastAsia" w:ascii="Songti SC Bold" w:hAnsi="Songti SC Bold" w:eastAsia="Songti SC Bold" w:cs="Songti SC Bold"/>
                <w:b/>
                <w:sz w:val="24"/>
                <w:lang w:val="en-US" w:eastAsia="zh-CN"/>
              </w:rPr>
              <w:t>-</w:t>
            </w:r>
            <w:r>
              <w:rPr>
                <w:rFonts w:eastAsia="宋体" w:cs="宋体"/>
                <w:b/>
                <w:sz w:val="24"/>
                <w:szCs w:val="21"/>
                <w:lang w:eastAsia="zh-CN"/>
              </w:rPr>
              <w:t>破产程序的制度和业务基础设施质量(12</w:t>
            </w:r>
            <w:r>
              <w:rPr>
                <w:rFonts w:eastAsia="宋体" w:cs="宋体"/>
                <w:b/>
                <w:bCs/>
                <w:sz w:val="24"/>
                <w:szCs w:val="21"/>
                <w:lang w:eastAsia="zh-CN"/>
              </w:rPr>
              <w:t>项</w:t>
            </w:r>
            <w:r>
              <w:rPr>
                <w:rFonts w:eastAsia="宋体" w:cs="宋体"/>
                <w:b/>
                <w:sz w:val="24"/>
                <w:szCs w:val="21"/>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2.1</w:t>
            </w:r>
          </w:p>
        </w:tc>
        <w:tc>
          <w:tcPr>
            <w:tcW w:w="8176" w:type="dxa"/>
            <w:shd w:val="clear" w:color="auto" w:fill="E7EBF5"/>
            <w:vAlign w:val="center"/>
          </w:tcPr>
          <w:p>
            <w:pPr>
              <w:pStyle w:val="10"/>
              <w:spacing w:line="400" w:lineRule="exact"/>
              <w:jc w:val="both"/>
              <w:rPr>
                <w:rFonts w:eastAsia="宋体"/>
                <w:b/>
                <w:sz w:val="24"/>
                <w:szCs w:val="21"/>
                <w:lang w:eastAsia="zh-CN"/>
              </w:rPr>
            </w:pPr>
            <w:r>
              <w:rPr>
                <w:rFonts w:eastAsia="宋体" w:cs="宋体"/>
                <w:b/>
                <w:sz w:val="24"/>
                <w:szCs w:val="21"/>
                <w:lang w:eastAsia="zh-CN"/>
              </w:rPr>
              <w:t>数字化和在线服务(10</w:t>
            </w:r>
            <w:r>
              <w:rPr>
                <w:rFonts w:eastAsia="宋体" w:cs="宋体"/>
                <w:b/>
                <w:bCs/>
                <w:sz w:val="24"/>
                <w:szCs w:val="21"/>
                <w:lang w:eastAsia="zh-CN"/>
              </w:rPr>
              <w:t>项</w:t>
            </w:r>
            <w:r>
              <w:rPr>
                <w:rFonts w:eastAsia="宋体" w:cs="宋体"/>
                <w:b/>
                <w:sz w:val="24"/>
                <w:szCs w:val="21"/>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before="2" w:line="400" w:lineRule="exact"/>
              <w:jc w:val="both"/>
              <w:rPr>
                <w:rFonts w:eastAsia="宋体"/>
                <w:sz w:val="24"/>
                <w:szCs w:val="21"/>
              </w:rPr>
            </w:pPr>
            <w:r>
              <w:rPr>
                <w:rFonts w:eastAsia="宋体" w:cs="宋体"/>
                <w:spacing w:val="-2"/>
                <w:sz w:val="24"/>
                <w:szCs w:val="21"/>
              </w:rPr>
              <w:t>2.1.1</w:t>
            </w:r>
          </w:p>
        </w:tc>
        <w:tc>
          <w:tcPr>
            <w:tcW w:w="8176" w:type="dxa"/>
            <w:vAlign w:val="center"/>
          </w:tcPr>
          <w:p>
            <w:pPr>
              <w:pStyle w:val="10"/>
              <w:spacing w:before="2" w:line="400" w:lineRule="exact"/>
              <w:jc w:val="both"/>
              <w:rPr>
                <w:rFonts w:eastAsia="宋体"/>
                <w:sz w:val="24"/>
                <w:szCs w:val="21"/>
              </w:rPr>
            </w:pPr>
            <w:r>
              <w:rPr>
                <w:rFonts w:eastAsia="宋体" w:cs="宋体"/>
                <w:sz w:val="24"/>
                <w:szCs w:val="21"/>
              </w:rPr>
              <w:t>电子法庭(6项指标)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2.1.2</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破产程序服务(电子服务)的互操作性和信息的公开可用性(4项指标)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2.2</w:t>
            </w:r>
          </w:p>
        </w:tc>
        <w:tc>
          <w:tcPr>
            <w:tcW w:w="8176" w:type="dxa"/>
            <w:shd w:val="clear" w:color="auto" w:fill="E7EBF5"/>
            <w:vAlign w:val="center"/>
          </w:tcPr>
          <w:p>
            <w:pPr>
              <w:pStyle w:val="10"/>
              <w:spacing w:line="400" w:lineRule="exact"/>
              <w:jc w:val="both"/>
              <w:rPr>
                <w:rFonts w:eastAsia="宋体"/>
                <w:b/>
                <w:sz w:val="24"/>
                <w:szCs w:val="21"/>
                <w:lang w:eastAsia="zh-CN"/>
              </w:rPr>
            </w:pPr>
            <w:r>
              <w:rPr>
                <w:rFonts w:eastAsia="宋体" w:cs="宋体"/>
                <w:b/>
                <w:sz w:val="24"/>
                <w:szCs w:val="21"/>
                <w:lang w:eastAsia="zh-CN"/>
              </w:rPr>
              <w:t>公职人员和破产管理人(2</w:t>
            </w:r>
            <w:r>
              <w:rPr>
                <w:rFonts w:eastAsia="宋体" w:cs="宋体"/>
                <w:b/>
                <w:bCs/>
                <w:sz w:val="24"/>
                <w:szCs w:val="21"/>
                <w:lang w:eastAsia="zh-CN"/>
              </w:rPr>
              <w:t>项</w:t>
            </w:r>
            <w:r>
              <w:rPr>
                <w:rFonts w:eastAsia="宋体" w:cs="宋体"/>
                <w:b/>
                <w:sz w:val="24"/>
                <w:szCs w:val="21"/>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2.2.1</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破产法院或破产法官专业化(1项指标)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before="2" w:line="400" w:lineRule="exact"/>
              <w:jc w:val="both"/>
              <w:rPr>
                <w:rFonts w:eastAsia="宋体"/>
                <w:sz w:val="24"/>
                <w:szCs w:val="21"/>
              </w:rPr>
            </w:pPr>
            <w:r>
              <w:rPr>
                <w:rFonts w:eastAsia="宋体" w:cs="宋体"/>
                <w:spacing w:val="-2"/>
                <w:sz w:val="24"/>
                <w:szCs w:val="21"/>
              </w:rPr>
              <w:t>2.2.2</w:t>
            </w:r>
          </w:p>
        </w:tc>
        <w:tc>
          <w:tcPr>
            <w:tcW w:w="8176" w:type="dxa"/>
            <w:vAlign w:val="center"/>
          </w:tcPr>
          <w:p>
            <w:pPr>
              <w:pStyle w:val="10"/>
              <w:spacing w:before="2" w:line="400" w:lineRule="exact"/>
              <w:jc w:val="both"/>
              <w:rPr>
                <w:rFonts w:eastAsia="宋体"/>
                <w:sz w:val="24"/>
                <w:szCs w:val="21"/>
                <w:lang w:eastAsia="zh-CN"/>
              </w:rPr>
            </w:pPr>
            <w:r>
              <w:rPr>
                <w:rFonts w:eastAsia="宋体" w:cs="宋体"/>
                <w:sz w:val="24"/>
                <w:szCs w:val="21"/>
                <w:lang w:eastAsia="zh-CN"/>
              </w:rPr>
              <w:t>破产管理人的</w:t>
            </w:r>
            <w:r>
              <w:rPr>
                <w:rFonts w:hint="eastAsia" w:eastAsia="宋体" w:cs="宋体"/>
                <w:sz w:val="24"/>
                <w:szCs w:val="21"/>
                <w:lang w:eastAsia="zh-CN"/>
              </w:rPr>
              <w:t>时间专业知识</w:t>
            </w:r>
            <w:r>
              <w:rPr>
                <w:rFonts w:eastAsia="宋体" w:cs="宋体"/>
                <w:sz w:val="24"/>
                <w:szCs w:val="21"/>
                <w:lang w:eastAsia="zh-CN"/>
              </w:rPr>
              <w:t>(1项指标)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9347" w:type="dxa"/>
            <w:gridSpan w:val="2"/>
            <w:shd w:val="clear" w:color="auto" w:fill="E7EBF5"/>
            <w:vAlign w:val="center"/>
          </w:tcPr>
          <w:p>
            <w:pPr>
              <w:pStyle w:val="10"/>
              <w:spacing w:before="83" w:line="400" w:lineRule="exact"/>
              <w:ind w:left="0" w:leftChars="0" w:firstLine="0" w:firstLineChars="0"/>
              <w:jc w:val="both"/>
              <w:rPr>
                <w:rFonts w:eastAsia="宋体"/>
                <w:b/>
                <w:sz w:val="24"/>
                <w:szCs w:val="21"/>
                <w:lang w:eastAsia="zh-CN"/>
              </w:rPr>
            </w:pPr>
            <w:r>
              <w:rPr>
                <w:rFonts w:hint="eastAsia" w:eastAsia="宋体" w:cs="宋体"/>
                <w:b/>
                <w:sz w:val="24"/>
                <w:szCs w:val="21"/>
                <w:lang w:eastAsia="zh-CN"/>
              </w:rPr>
              <w:t>维度III</w:t>
            </w:r>
            <w:r>
              <w:rPr>
                <w:rFonts w:hint="eastAsia" w:ascii="Songti SC Bold" w:hAnsi="Songti SC Bold" w:eastAsia="Songti SC Bold" w:cs="Songti SC Bold"/>
                <w:b/>
                <w:sz w:val="24"/>
                <w:lang w:val="en-US" w:eastAsia="zh-CN"/>
              </w:rPr>
              <w:t>-</w:t>
            </w:r>
            <w:r>
              <w:rPr>
                <w:rFonts w:eastAsia="宋体" w:cs="宋体"/>
                <w:b/>
                <w:sz w:val="24"/>
                <w:szCs w:val="21"/>
                <w:lang w:eastAsia="zh-CN"/>
              </w:rPr>
              <w:t>在实践中解决司法破产程序的效率(4</w:t>
            </w:r>
            <w:r>
              <w:rPr>
                <w:rFonts w:hint="eastAsia" w:eastAsia="宋体" w:cs="宋体"/>
                <w:b/>
                <w:sz w:val="24"/>
                <w:szCs w:val="21"/>
                <w:lang w:eastAsia="zh-CN"/>
              </w:rPr>
              <w:t>项</w:t>
            </w:r>
            <w:r>
              <w:rPr>
                <w:rFonts w:eastAsia="宋体" w:cs="宋体"/>
                <w:b/>
                <w:sz w:val="24"/>
                <w:szCs w:val="21"/>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3.1</w:t>
            </w:r>
          </w:p>
        </w:tc>
        <w:tc>
          <w:tcPr>
            <w:tcW w:w="8176" w:type="dxa"/>
            <w:shd w:val="clear" w:color="auto" w:fill="E7EBF5"/>
            <w:vAlign w:val="center"/>
          </w:tcPr>
          <w:p>
            <w:pPr>
              <w:pStyle w:val="10"/>
              <w:spacing w:line="400" w:lineRule="exact"/>
              <w:jc w:val="both"/>
              <w:rPr>
                <w:rFonts w:eastAsia="宋体"/>
                <w:b/>
                <w:sz w:val="24"/>
                <w:szCs w:val="21"/>
              </w:rPr>
            </w:pPr>
            <w:r>
              <w:rPr>
                <w:rFonts w:eastAsia="宋体" w:cs="宋体"/>
                <w:b/>
                <w:sz w:val="24"/>
                <w:szCs w:val="21"/>
              </w:rPr>
              <w:t>实务清算程序(2项指标)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before="2" w:line="400" w:lineRule="exact"/>
              <w:jc w:val="both"/>
              <w:rPr>
                <w:rFonts w:eastAsia="宋体"/>
                <w:sz w:val="24"/>
                <w:szCs w:val="21"/>
              </w:rPr>
            </w:pPr>
            <w:r>
              <w:rPr>
                <w:rFonts w:eastAsia="宋体" w:cs="宋体"/>
                <w:spacing w:val="-2"/>
                <w:sz w:val="24"/>
                <w:szCs w:val="21"/>
              </w:rPr>
              <w:t>3.1.1</w:t>
            </w:r>
          </w:p>
        </w:tc>
        <w:tc>
          <w:tcPr>
            <w:tcW w:w="8176" w:type="dxa"/>
            <w:vAlign w:val="center"/>
          </w:tcPr>
          <w:p>
            <w:pPr>
              <w:pStyle w:val="10"/>
              <w:spacing w:before="2" w:line="400" w:lineRule="exact"/>
              <w:jc w:val="both"/>
              <w:rPr>
                <w:rFonts w:eastAsia="宋体"/>
                <w:sz w:val="24"/>
                <w:szCs w:val="21"/>
                <w:lang w:eastAsia="zh-CN"/>
              </w:rPr>
            </w:pPr>
            <w:r>
              <w:rPr>
                <w:rFonts w:eastAsia="宋体" w:cs="宋体"/>
                <w:sz w:val="24"/>
                <w:szCs w:val="21"/>
                <w:lang w:eastAsia="zh-CN"/>
              </w:rPr>
              <w:t>庭内清算程序的解决时间(1项指标)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3.1.2</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解决一项庭内清算程序的费用(1项指标)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shd w:val="clear" w:color="auto" w:fill="E7EBF5"/>
            <w:vAlign w:val="center"/>
          </w:tcPr>
          <w:p>
            <w:pPr>
              <w:pStyle w:val="10"/>
              <w:spacing w:line="400" w:lineRule="exact"/>
              <w:jc w:val="both"/>
              <w:rPr>
                <w:rFonts w:eastAsia="宋体"/>
                <w:b/>
                <w:sz w:val="24"/>
                <w:szCs w:val="21"/>
              </w:rPr>
            </w:pPr>
            <w:r>
              <w:rPr>
                <w:rFonts w:eastAsia="宋体" w:cs="宋体"/>
                <w:b/>
                <w:spacing w:val="-5"/>
                <w:sz w:val="24"/>
                <w:szCs w:val="21"/>
              </w:rPr>
              <w:t>3.2</w:t>
            </w:r>
          </w:p>
        </w:tc>
        <w:tc>
          <w:tcPr>
            <w:tcW w:w="8176" w:type="dxa"/>
            <w:shd w:val="clear" w:color="auto" w:fill="E7EBF5"/>
            <w:vAlign w:val="center"/>
          </w:tcPr>
          <w:p>
            <w:pPr>
              <w:pStyle w:val="10"/>
              <w:spacing w:line="400" w:lineRule="exact"/>
              <w:jc w:val="both"/>
              <w:rPr>
                <w:rFonts w:eastAsia="宋体"/>
                <w:b/>
                <w:sz w:val="24"/>
                <w:szCs w:val="21"/>
                <w:lang w:eastAsia="zh-CN"/>
              </w:rPr>
            </w:pPr>
            <w:r>
              <w:rPr>
                <w:rFonts w:eastAsia="宋体" w:cs="宋体"/>
                <w:b/>
                <w:sz w:val="24"/>
                <w:szCs w:val="21"/>
                <w:lang w:eastAsia="zh-CN"/>
              </w:rPr>
              <w:t>实践中的重整程序(2项指标)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3.2.1</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庭内重整程序的解决时间(1项指标)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71" w:type="dxa"/>
            <w:vAlign w:val="center"/>
          </w:tcPr>
          <w:p>
            <w:pPr>
              <w:pStyle w:val="10"/>
              <w:spacing w:line="400" w:lineRule="exact"/>
              <w:jc w:val="both"/>
              <w:rPr>
                <w:rFonts w:eastAsia="宋体"/>
                <w:sz w:val="24"/>
                <w:szCs w:val="21"/>
              </w:rPr>
            </w:pPr>
            <w:r>
              <w:rPr>
                <w:rFonts w:eastAsia="宋体" w:cs="宋体"/>
                <w:spacing w:val="-2"/>
                <w:sz w:val="24"/>
                <w:szCs w:val="21"/>
              </w:rPr>
              <w:t>3.2.2</w:t>
            </w:r>
          </w:p>
        </w:tc>
        <w:tc>
          <w:tcPr>
            <w:tcW w:w="8176" w:type="dxa"/>
            <w:vAlign w:val="center"/>
          </w:tcPr>
          <w:p>
            <w:pPr>
              <w:pStyle w:val="10"/>
              <w:spacing w:line="400" w:lineRule="exact"/>
              <w:jc w:val="both"/>
              <w:rPr>
                <w:rFonts w:eastAsia="宋体"/>
                <w:sz w:val="24"/>
                <w:szCs w:val="21"/>
                <w:lang w:eastAsia="zh-CN"/>
              </w:rPr>
            </w:pPr>
            <w:r>
              <w:rPr>
                <w:rFonts w:eastAsia="宋体" w:cs="宋体"/>
                <w:sz w:val="24"/>
                <w:szCs w:val="21"/>
                <w:lang w:eastAsia="zh-CN"/>
              </w:rPr>
              <w:t>庭内重整程序解决成本(1项指标)</w:t>
            </w:r>
          </w:p>
        </w:tc>
      </w:tr>
    </w:tbl>
    <w:p>
      <w:pPr>
        <w:pStyle w:val="3"/>
        <w:spacing w:before="8" w:line="400" w:lineRule="exact"/>
        <w:ind w:firstLine="562" w:firstLineChars="200"/>
        <w:jc w:val="both"/>
        <w:rPr>
          <w:rFonts w:eastAsia="宋体"/>
          <w:b/>
          <w:sz w:val="28"/>
          <w:lang w:eastAsia="zh-CN"/>
        </w:rPr>
      </w:pPr>
    </w:p>
    <w:p>
      <w:pPr>
        <w:pStyle w:val="2"/>
        <w:tabs>
          <w:tab w:val="left" w:pos="841"/>
        </w:tabs>
        <w:spacing w:after="120" w:afterLines="50" w:line="400" w:lineRule="exact"/>
        <w:ind w:left="0" w:firstLine="562" w:firstLineChars="200"/>
        <w:jc w:val="both"/>
        <w:rPr>
          <w:rFonts w:eastAsia="宋体"/>
          <w:sz w:val="28"/>
          <w:lang w:eastAsia="zh-CN"/>
        </w:rPr>
      </w:pPr>
      <w:r>
        <w:rPr>
          <w:rFonts w:hint="eastAsia" w:eastAsia="宋体" w:cs="宋体"/>
          <w:sz w:val="28"/>
          <w:lang w:eastAsia="zh-CN"/>
        </w:rPr>
        <w:t>1.维度</w:t>
      </w:r>
      <w:r>
        <w:rPr>
          <w:rFonts w:eastAsia="宋体" w:cs="宋体"/>
          <w:sz w:val="28"/>
          <w:lang w:eastAsia="zh-CN"/>
        </w:rPr>
        <w:t>I</w:t>
      </w:r>
      <w:r>
        <w:rPr>
          <w:rFonts w:hint="eastAsia" w:eastAsia="宋体" w:cs="宋体"/>
          <w:sz w:val="28"/>
          <w:lang w:val="en-US" w:eastAsia="zh-CN"/>
        </w:rPr>
        <w:t>.</w:t>
      </w:r>
      <w:r>
        <w:rPr>
          <w:rFonts w:hint="eastAsia" w:eastAsia="宋体" w:cs="宋体"/>
          <w:sz w:val="28"/>
          <w:lang w:eastAsia="zh-CN"/>
        </w:rPr>
        <w:t xml:space="preserve"> </w:t>
      </w:r>
      <w:r>
        <w:rPr>
          <w:rFonts w:eastAsia="宋体" w:cs="宋体"/>
          <w:sz w:val="28"/>
          <w:lang w:eastAsia="zh-CN"/>
        </w:rPr>
        <w:t>监管框架:破产程序法规质量</w:t>
      </w:r>
    </w:p>
    <w:p>
      <w:pPr>
        <w:pStyle w:val="3"/>
        <w:spacing w:line="400" w:lineRule="exact"/>
        <w:ind w:left="120" w:right="312" w:firstLine="560" w:firstLineChars="200"/>
        <w:jc w:val="both"/>
        <w:rPr>
          <w:rFonts w:eastAsia="宋体"/>
          <w:sz w:val="28"/>
          <w:lang w:eastAsia="zh-CN"/>
        </w:rPr>
      </w:pPr>
      <w:r>
        <w:rPr>
          <w:rFonts w:eastAsia="宋体" w:cs="宋体"/>
          <w:sz w:val="28"/>
          <w:lang w:eastAsia="zh-CN"/>
        </w:rPr>
        <w:t>表2显示了</w:t>
      </w:r>
      <w:r>
        <w:rPr>
          <w:rFonts w:hint="eastAsia" w:eastAsia="宋体" w:cs="宋体"/>
          <w:sz w:val="28"/>
          <w:lang w:eastAsia="zh-CN"/>
        </w:rPr>
        <w:t>维度</w:t>
      </w:r>
      <w:r>
        <w:rPr>
          <w:rFonts w:eastAsia="宋体" w:cs="宋体"/>
          <w:sz w:val="28"/>
          <w:lang w:eastAsia="zh-CN"/>
        </w:rPr>
        <w:t>I</w:t>
      </w:r>
      <w:r>
        <w:rPr>
          <w:rFonts w:hint="eastAsia" w:eastAsia="宋体" w:cs="宋体"/>
          <w:sz w:val="28"/>
          <w:lang w:eastAsia="zh-CN"/>
        </w:rPr>
        <w:t>（</w:t>
      </w:r>
      <w:r>
        <w:rPr>
          <w:rFonts w:hint="eastAsia" w:eastAsia="宋体" w:cs="宋体"/>
          <w:sz w:val="28"/>
          <w:lang w:val="en-US" w:eastAsia="zh-CN"/>
        </w:rPr>
        <w:t>即</w:t>
      </w:r>
      <w:r>
        <w:rPr>
          <w:rFonts w:eastAsia="宋体" w:cs="宋体"/>
          <w:sz w:val="28"/>
          <w:lang w:eastAsia="zh-CN"/>
        </w:rPr>
        <w:t>破产程序</w:t>
      </w:r>
      <w:r>
        <w:rPr>
          <w:rFonts w:hint="eastAsia" w:eastAsia="宋体" w:cs="宋体"/>
          <w:sz w:val="28"/>
          <w:lang w:eastAsia="zh-CN"/>
        </w:rPr>
        <w:t>的</w:t>
      </w:r>
      <w:r>
        <w:rPr>
          <w:rFonts w:eastAsia="宋体" w:cs="宋体"/>
          <w:sz w:val="28"/>
          <w:lang w:eastAsia="zh-CN"/>
        </w:rPr>
        <w:t>监管框架</w:t>
      </w:r>
      <w:r>
        <w:rPr>
          <w:rFonts w:hint="eastAsia" w:eastAsia="宋体" w:cs="宋体"/>
          <w:sz w:val="28"/>
          <w:lang w:eastAsia="zh-CN"/>
        </w:rPr>
        <w:t>）</w:t>
      </w:r>
      <w:r>
        <w:rPr>
          <w:rFonts w:eastAsia="宋体" w:cs="宋体"/>
          <w:sz w:val="28"/>
          <w:lang w:eastAsia="zh-CN"/>
        </w:rPr>
        <w:t>的结构。该</w:t>
      </w:r>
      <w:r>
        <w:rPr>
          <w:rFonts w:hint="eastAsia" w:eastAsia="宋体" w:cs="宋体"/>
          <w:sz w:val="28"/>
          <w:lang w:eastAsia="zh-CN"/>
        </w:rPr>
        <w:t>维度</w:t>
      </w:r>
      <w:r>
        <w:rPr>
          <w:rFonts w:eastAsia="宋体" w:cs="宋体"/>
          <w:sz w:val="28"/>
          <w:lang w:eastAsia="zh-CN"/>
        </w:rPr>
        <w:t>的每个类别和子类别将按照表中所示的顺序进行更</w:t>
      </w:r>
      <w:r>
        <w:rPr>
          <w:rFonts w:hint="eastAsia" w:eastAsia="宋体" w:cs="宋体"/>
          <w:sz w:val="28"/>
          <w:lang w:val="en-US" w:eastAsia="zh-CN"/>
        </w:rPr>
        <w:t>为</w:t>
      </w:r>
      <w:r>
        <w:rPr>
          <w:rFonts w:eastAsia="宋体" w:cs="宋体"/>
          <w:sz w:val="28"/>
          <w:lang w:eastAsia="zh-CN"/>
        </w:rPr>
        <w:t>详细</w:t>
      </w:r>
      <w:r>
        <w:rPr>
          <w:rFonts w:hint="eastAsia" w:eastAsia="宋体" w:cs="宋体"/>
          <w:sz w:val="28"/>
          <w:lang w:val="en-US" w:eastAsia="zh-CN"/>
        </w:rPr>
        <w:t>地</w:t>
      </w:r>
      <w:r>
        <w:rPr>
          <w:rFonts w:eastAsia="宋体" w:cs="宋体"/>
          <w:sz w:val="28"/>
          <w:lang w:eastAsia="zh-CN"/>
        </w:rPr>
        <w:t>讨论。</w:t>
      </w:r>
    </w:p>
    <w:p>
      <w:pPr>
        <w:pStyle w:val="3"/>
        <w:spacing w:before="11" w:line="400" w:lineRule="exact"/>
        <w:ind w:firstLine="560" w:firstLineChars="200"/>
        <w:jc w:val="both"/>
        <w:rPr>
          <w:rFonts w:eastAsia="宋体"/>
          <w:sz w:val="28"/>
          <w:lang w:eastAsia="zh-CN"/>
        </w:rPr>
      </w:pPr>
    </w:p>
    <w:p>
      <w:pPr>
        <w:pStyle w:val="3"/>
        <w:spacing w:before="11" w:line="400" w:lineRule="exact"/>
        <w:ind w:firstLine="560" w:firstLineChars="200"/>
        <w:jc w:val="both"/>
        <w:rPr>
          <w:rFonts w:eastAsia="宋体"/>
          <w:sz w:val="28"/>
          <w:lang w:eastAsia="zh-CN"/>
        </w:rPr>
      </w:pPr>
    </w:p>
    <w:p>
      <w:pPr>
        <w:spacing w:before="215" w:line="400" w:lineRule="exact"/>
        <w:jc w:val="center"/>
        <w:rPr>
          <w:rFonts w:eastAsia="宋体" w:cs="宋体"/>
          <w:b/>
          <w:sz w:val="28"/>
          <w:lang w:eastAsia="zh-CN"/>
        </w:rPr>
      </w:pPr>
      <w:r>
        <w:rPr>
          <w:rFonts w:eastAsia="宋体" w:cs="宋体"/>
          <w:b/>
          <w:sz w:val="28"/>
          <w:lang w:eastAsia="zh-CN"/>
        </w:rPr>
        <w:t>表2</w:t>
      </w:r>
      <w:r>
        <w:rPr>
          <w:rFonts w:hint="eastAsia" w:eastAsia="宋体" w:cs="宋体"/>
          <w:b/>
          <w:sz w:val="28"/>
          <w:lang w:val="en-US" w:eastAsia="zh-CN"/>
        </w:rPr>
        <w:t xml:space="preserve">. </w:t>
      </w:r>
      <w:r>
        <w:rPr>
          <w:rFonts w:hint="eastAsia" w:eastAsia="宋体" w:cs="宋体"/>
          <w:b/>
          <w:sz w:val="28"/>
          <w:lang w:eastAsia="zh-CN"/>
        </w:rPr>
        <w:t>维度</w:t>
      </w:r>
      <w:r>
        <w:rPr>
          <w:rFonts w:eastAsia="宋体" w:cs="宋体"/>
          <w:b/>
          <w:sz w:val="28"/>
          <w:lang w:eastAsia="zh-CN"/>
        </w:rPr>
        <w:t>I</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破产程序</w:t>
      </w:r>
      <w:r>
        <w:rPr>
          <w:rFonts w:hint="eastAsia" w:eastAsia="宋体" w:cs="宋体"/>
          <w:b/>
          <w:sz w:val="28"/>
          <w:lang w:eastAsia="zh-CN"/>
        </w:rPr>
        <w:t>法规</w:t>
      </w:r>
      <w:r>
        <w:rPr>
          <w:rFonts w:eastAsia="宋体" w:cs="宋体"/>
          <w:b/>
          <w:sz w:val="28"/>
          <w:lang w:eastAsia="zh-CN"/>
        </w:rPr>
        <w:t>质量</w:t>
      </w:r>
    </w:p>
    <w:tbl>
      <w:tblPr>
        <w:tblStyle w:val="6"/>
        <w:tblW w:w="0" w:type="auto"/>
        <w:tblInd w:w="1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86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6" w:type="dxa"/>
            <w:shd w:val="clear" w:color="auto" w:fill="E7EBF5"/>
          </w:tcPr>
          <w:p>
            <w:pPr>
              <w:pStyle w:val="10"/>
              <w:spacing w:line="400" w:lineRule="exact"/>
              <w:jc w:val="both"/>
              <w:rPr>
                <w:rFonts w:eastAsia="宋体"/>
                <w:b/>
                <w:sz w:val="24"/>
                <w:szCs w:val="24"/>
              </w:rPr>
            </w:pPr>
            <w:r>
              <w:rPr>
                <w:rFonts w:eastAsia="宋体" w:cs="宋体"/>
                <w:b/>
                <w:spacing w:val="-5"/>
                <w:sz w:val="24"/>
                <w:szCs w:val="24"/>
              </w:rPr>
              <w:t>1.1</w:t>
            </w:r>
          </w:p>
        </w:tc>
        <w:tc>
          <w:tcPr>
            <w:tcW w:w="8642" w:type="dxa"/>
            <w:shd w:val="clear" w:color="auto" w:fill="E7EBF5"/>
          </w:tcPr>
          <w:p>
            <w:pPr>
              <w:pStyle w:val="10"/>
              <w:spacing w:line="400" w:lineRule="exact"/>
              <w:jc w:val="both"/>
              <w:rPr>
                <w:rFonts w:eastAsia="宋体"/>
                <w:b/>
                <w:sz w:val="24"/>
                <w:szCs w:val="24"/>
              </w:rPr>
            </w:pPr>
            <w:r>
              <w:rPr>
                <w:rFonts w:eastAsia="宋体" w:cs="宋体"/>
                <w:b/>
                <w:sz w:val="24"/>
                <w:szCs w:val="24"/>
              </w:rPr>
              <w:t>法律和程序标准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6" w:type="dxa"/>
          </w:tcPr>
          <w:p>
            <w:pPr>
              <w:pStyle w:val="10"/>
              <w:spacing w:line="400" w:lineRule="exact"/>
              <w:jc w:val="both"/>
              <w:rPr>
                <w:rFonts w:eastAsia="宋体"/>
                <w:sz w:val="24"/>
                <w:szCs w:val="24"/>
              </w:rPr>
            </w:pPr>
            <w:r>
              <w:rPr>
                <w:rFonts w:eastAsia="宋体" w:cs="宋体"/>
                <w:spacing w:val="-2"/>
                <w:sz w:val="24"/>
                <w:szCs w:val="24"/>
              </w:rPr>
              <w:t>1.1.1</w:t>
            </w:r>
          </w:p>
        </w:tc>
        <w:tc>
          <w:tcPr>
            <w:tcW w:w="8642" w:type="dxa"/>
          </w:tcPr>
          <w:p>
            <w:pPr>
              <w:pStyle w:val="10"/>
              <w:spacing w:line="400" w:lineRule="exact"/>
              <w:jc w:val="both"/>
              <w:rPr>
                <w:rFonts w:eastAsia="宋体"/>
                <w:sz w:val="24"/>
                <w:szCs w:val="24"/>
                <w:lang w:eastAsia="zh-CN"/>
              </w:rPr>
            </w:pPr>
            <w:r>
              <w:rPr>
                <w:rFonts w:eastAsia="宋体" w:cs="宋体"/>
                <w:sz w:val="24"/>
                <w:szCs w:val="24"/>
                <w:lang w:eastAsia="zh-CN"/>
              </w:rPr>
              <w:t>破产程序的</w:t>
            </w:r>
            <w:r>
              <w:rPr>
                <w:rFonts w:hint="eastAsia" w:eastAsia="宋体" w:cs="宋体"/>
                <w:sz w:val="24"/>
                <w:szCs w:val="24"/>
                <w:lang w:eastAsia="zh-CN"/>
              </w:rPr>
              <w:t>启动</w:t>
            </w:r>
            <w:r>
              <w:rPr>
                <w:rFonts w:eastAsia="宋体" w:cs="宋体"/>
                <w:sz w:val="24"/>
                <w:szCs w:val="24"/>
                <w:lang w:eastAsia="zh-CN"/>
              </w:rPr>
              <w:t>前和</w:t>
            </w:r>
            <w:r>
              <w:rPr>
                <w:rFonts w:hint="eastAsia" w:eastAsia="宋体" w:cs="宋体"/>
                <w:sz w:val="24"/>
                <w:szCs w:val="24"/>
                <w:lang w:eastAsia="zh-CN"/>
              </w:rPr>
              <w:t>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706" w:type="dxa"/>
          </w:tcPr>
          <w:p>
            <w:pPr>
              <w:pStyle w:val="10"/>
              <w:spacing w:line="400" w:lineRule="exact"/>
              <w:jc w:val="both"/>
              <w:rPr>
                <w:rFonts w:eastAsia="宋体"/>
                <w:sz w:val="24"/>
                <w:szCs w:val="24"/>
              </w:rPr>
            </w:pPr>
            <w:r>
              <w:rPr>
                <w:rFonts w:eastAsia="宋体" w:cs="宋体"/>
                <w:spacing w:val="-2"/>
                <w:sz w:val="24"/>
                <w:szCs w:val="24"/>
              </w:rPr>
              <w:t>1.1.2</w:t>
            </w:r>
          </w:p>
        </w:tc>
        <w:tc>
          <w:tcPr>
            <w:tcW w:w="8642" w:type="dxa"/>
          </w:tcPr>
          <w:p>
            <w:pPr>
              <w:pStyle w:val="10"/>
              <w:spacing w:line="400" w:lineRule="exact"/>
              <w:jc w:val="both"/>
              <w:rPr>
                <w:rFonts w:eastAsia="宋体"/>
                <w:sz w:val="24"/>
                <w:szCs w:val="24"/>
              </w:rPr>
            </w:pPr>
            <w:r>
              <w:rPr>
                <w:rFonts w:eastAsia="宋体" w:cs="宋体"/>
                <w:sz w:val="24"/>
                <w:szCs w:val="24"/>
              </w:rPr>
              <w:t>清算重组程序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6" w:type="dxa"/>
          </w:tcPr>
          <w:p>
            <w:pPr>
              <w:pStyle w:val="10"/>
              <w:spacing w:line="400" w:lineRule="exact"/>
              <w:jc w:val="both"/>
              <w:rPr>
                <w:rFonts w:eastAsia="宋体"/>
                <w:sz w:val="24"/>
                <w:szCs w:val="24"/>
              </w:rPr>
            </w:pPr>
            <w:r>
              <w:rPr>
                <w:rFonts w:eastAsia="宋体" w:cs="宋体"/>
                <w:spacing w:val="-2"/>
                <w:sz w:val="24"/>
                <w:szCs w:val="24"/>
              </w:rPr>
              <w:t>1.1.3</w:t>
            </w:r>
          </w:p>
        </w:tc>
        <w:tc>
          <w:tcPr>
            <w:tcW w:w="8642" w:type="dxa"/>
          </w:tcPr>
          <w:p>
            <w:pPr>
              <w:pStyle w:val="10"/>
              <w:spacing w:line="400" w:lineRule="exact"/>
              <w:jc w:val="both"/>
              <w:rPr>
                <w:rFonts w:eastAsia="宋体"/>
                <w:sz w:val="24"/>
                <w:szCs w:val="24"/>
                <w:lang w:eastAsia="zh-CN"/>
              </w:rPr>
            </w:pPr>
            <w:r>
              <w:rPr>
                <w:rFonts w:eastAsia="宋体" w:cs="宋体"/>
                <w:sz w:val="24"/>
                <w:szCs w:val="24"/>
                <w:lang w:eastAsia="zh-CN"/>
              </w:rPr>
              <w:t>破产管理人的专业知识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6" w:type="dxa"/>
            <w:shd w:val="clear" w:color="auto" w:fill="E7EBF5"/>
          </w:tcPr>
          <w:p>
            <w:pPr>
              <w:pStyle w:val="10"/>
              <w:spacing w:line="400" w:lineRule="exact"/>
              <w:jc w:val="both"/>
              <w:rPr>
                <w:rFonts w:eastAsia="宋体"/>
                <w:b/>
                <w:sz w:val="24"/>
                <w:szCs w:val="24"/>
              </w:rPr>
            </w:pPr>
            <w:r>
              <w:rPr>
                <w:rFonts w:eastAsia="宋体" w:cs="宋体"/>
                <w:b/>
                <w:spacing w:val="-5"/>
                <w:sz w:val="24"/>
                <w:szCs w:val="24"/>
              </w:rPr>
              <w:t>1.2</w:t>
            </w:r>
          </w:p>
        </w:tc>
        <w:tc>
          <w:tcPr>
            <w:tcW w:w="8642" w:type="dxa"/>
            <w:shd w:val="clear" w:color="auto" w:fill="E7EBF5"/>
          </w:tcPr>
          <w:p>
            <w:pPr>
              <w:pStyle w:val="10"/>
              <w:spacing w:line="400" w:lineRule="exact"/>
              <w:jc w:val="both"/>
              <w:rPr>
                <w:rFonts w:eastAsia="宋体"/>
                <w:b/>
                <w:sz w:val="24"/>
                <w:szCs w:val="24"/>
              </w:rPr>
            </w:pPr>
            <w:r>
              <w:rPr>
                <w:rFonts w:eastAsia="宋体" w:cs="宋体"/>
                <w:b/>
                <w:sz w:val="24"/>
                <w:szCs w:val="24"/>
              </w:rPr>
              <w:t>资产及持份者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6" w:type="dxa"/>
          </w:tcPr>
          <w:p>
            <w:pPr>
              <w:pStyle w:val="10"/>
              <w:spacing w:line="400" w:lineRule="exact"/>
              <w:jc w:val="both"/>
              <w:rPr>
                <w:rFonts w:eastAsia="宋体"/>
                <w:sz w:val="24"/>
                <w:szCs w:val="24"/>
              </w:rPr>
            </w:pPr>
            <w:r>
              <w:rPr>
                <w:rFonts w:eastAsia="宋体" w:cs="宋体"/>
                <w:spacing w:val="-2"/>
                <w:sz w:val="24"/>
                <w:szCs w:val="24"/>
              </w:rPr>
              <w:t>1.2.1</w:t>
            </w:r>
          </w:p>
        </w:tc>
        <w:tc>
          <w:tcPr>
            <w:tcW w:w="8642" w:type="dxa"/>
          </w:tcPr>
          <w:p>
            <w:pPr>
              <w:pStyle w:val="10"/>
              <w:spacing w:line="400" w:lineRule="exact"/>
              <w:jc w:val="both"/>
              <w:rPr>
                <w:rFonts w:eastAsia="宋体"/>
                <w:sz w:val="24"/>
                <w:szCs w:val="24"/>
              </w:rPr>
            </w:pPr>
            <w:r>
              <w:rPr>
                <w:rFonts w:eastAsia="宋体" w:cs="宋体"/>
                <w:sz w:val="24"/>
                <w:szCs w:val="24"/>
              </w:rPr>
              <w:t>债务人资产的管理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6" w:type="dxa"/>
          </w:tcPr>
          <w:p>
            <w:pPr>
              <w:pStyle w:val="10"/>
              <w:spacing w:before="2" w:line="400" w:lineRule="exact"/>
              <w:jc w:val="both"/>
              <w:rPr>
                <w:rFonts w:eastAsia="宋体"/>
                <w:sz w:val="24"/>
                <w:szCs w:val="24"/>
              </w:rPr>
            </w:pPr>
            <w:r>
              <w:rPr>
                <w:rFonts w:eastAsia="宋体" w:cs="宋体"/>
                <w:spacing w:val="-2"/>
                <w:sz w:val="24"/>
                <w:szCs w:val="24"/>
              </w:rPr>
              <w:t>1.2.2</w:t>
            </w:r>
          </w:p>
        </w:tc>
        <w:tc>
          <w:tcPr>
            <w:tcW w:w="8642" w:type="dxa"/>
          </w:tcPr>
          <w:p>
            <w:pPr>
              <w:pStyle w:val="10"/>
              <w:spacing w:before="2" w:line="400" w:lineRule="exact"/>
              <w:jc w:val="both"/>
              <w:rPr>
                <w:rFonts w:eastAsia="宋体"/>
                <w:sz w:val="24"/>
                <w:szCs w:val="24"/>
              </w:rPr>
            </w:pPr>
            <w:r>
              <w:rPr>
                <w:rFonts w:eastAsia="宋体" w:cs="宋体"/>
                <w:sz w:val="24"/>
                <w:szCs w:val="24"/>
              </w:rPr>
              <w:t>债权人参与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6" w:type="dxa"/>
            <w:shd w:val="clear" w:color="auto" w:fill="E7EBF5"/>
          </w:tcPr>
          <w:p>
            <w:pPr>
              <w:pStyle w:val="10"/>
              <w:spacing w:line="400" w:lineRule="exact"/>
              <w:jc w:val="both"/>
              <w:rPr>
                <w:rFonts w:eastAsia="宋体"/>
                <w:b/>
                <w:sz w:val="24"/>
                <w:szCs w:val="24"/>
              </w:rPr>
            </w:pPr>
            <w:r>
              <w:rPr>
                <w:rFonts w:eastAsia="宋体" w:cs="宋体"/>
                <w:b/>
                <w:spacing w:val="-5"/>
                <w:sz w:val="24"/>
                <w:szCs w:val="24"/>
              </w:rPr>
              <w:t>1.3</w:t>
            </w:r>
          </w:p>
        </w:tc>
        <w:tc>
          <w:tcPr>
            <w:tcW w:w="8642" w:type="dxa"/>
            <w:shd w:val="clear" w:color="auto" w:fill="E7EBF5"/>
          </w:tcPr>
          <w:p>
            <w:pPr>
              <w:pStyle w:val="10"/>
              <w:spacing w:line="400" w:lineRule="exact"/>
              <w:jc w:val="both"/>
              <w:rPr>
                <w:rFonts w:eastAsia="宋体"/>
                <w:b/>
                <w:sz w:val="24"/>
                <w:szCs w:val="24"/>
              </w:rPr>
            </w:pPr>
            <w:r>
              <w:rPr>
                <w:rFonts w:eastAsia="宋体" w:cs="宋体"/>
                <w:b/>
                <w:sz w:val="24"/>
                <w:szCs w:val="24"/>
              </w:rPr>
              <w:t>专门的程序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06" w:type="dxa"/>
          </w:tcPr>
          <w:p>
            <w:pPr>
              <w:pStyle w:val="10"/>
              <w:spacing w:line="400" w:lineRule="exact"/>
              <w:jc w:val="both"/>
              <w:rPr>
                <w:rFonts w:eastAsia="宋体"/>
                <w:sz w:val="24"/>
                <w:szCs w:val="24"/>
              </w:rPr>
            </w:pPr>
            <w:r>
              <w:rPr>
                <w:rFonts w:eastAsia="宋体" w:cs="宋体"/>
                <w:spacing w:val="-2"/>
                <w:sz w:val="24"/>
                <w:szCs w:val="24"/>
              </w:rPr>
              <w:t>1.3.1</w:t>
            </w:r>
          </w:p>
        </w:tc>
        <w:tc>
          <w:tcPr>
            <w:tcW w:w="8642" w:type="dxa"/>
          </w:tcPr>
          <w:p>
            <w:pPr>
              <w:pStyle w:val="10"/>
              <w:spacing w:line="400" w:lineRule="exact"/>
              <w:jc w:val="both"/>
              <w:rPr>
                <w:rFonts w:eastAsia="宋体"/>
                <w:sz w:val="24"/>
                <w:szCs w:val="24"/>
              </w:rPr>
            </w:pPr>
            <w:r>
              <w:rPr>
                <w:rFonts w:eastAsia="宋体" w:cs="宋体"/>
                <w:sz w:val="24"/>
                <w:szCs w:val="24"/>
              </w:rPr>
              <w:t>小微企业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706" w:type="dxa"/>
          </w:tcPr>
          <w:p>
            <w:pPr>
              <w:pStyle w:val="10"/>
              <w:spacing w:line="400" w:lineRule="exact"/>
              <w:jc w:val="both"/>
              <w:rPr>
                <w:rFonts w:eastAsia="宋体"/>
                <w:sz w:val="24"/>
                <w:szCs w:val="24"/>
              </w:rPr>
            </w:pPr>
            <w:r>
              <w:rPr>
                <w:rFonts w:eastAsia="宋体" w:cs="宋体"/>
                <w:spacing w:val="-2"/>
                <w:sz w:val="24"/>
                <w:szCs w:val="24"/>
              </w:rPr>
              <w:t>1.3.2</w:t>
            </w:r>
          </w:p>
        </w:tc>
        <w:tc>
          <w:tcPr>
            <w:tcW w:w="8642" w:type="dxa"/>
          </w:tcPr>
          <w:p>
            <w:pPr>
              <w:pStyle w:val="10"/>
              <w:spacing w:line="400" w:lineRule="exact"/>
              <w:jc w:val="both"/>
              <w:rPr>
                <w:rFonts w:eastAsia="宋体"/>
                <w:sz w:val="24"/>
                <w:szCs w:val="24"/>
              </w:rPr>
            </w:pPr>
            <w:r>
              <w:rPr>
                <w:rFonts w:eastAsia="宋体" w:cs="宋体"/>
                <w:sz w:val="24"/>
                <w:szCs w:val="24"/>
              </w:rPr>
              <w:t>跨境破产</w:t>
            </w:r>
          </w:p>
        </w:tc>
      </w:tr>
    </w:tbl>
    <w:p>
      <w:pPr>
        <w:pStyle w:val="3"/>
        <w:spacing w:before="2" w:line="400" w:lineRule="exact"/>
        <w:ind w:firstLine="562" w:firstLineChars="200"/>
        <w:jc w:val="both"/>
        <w:rPr>
          <w:rFonts w:eastAsia="宋体"/>
          <w:b/>
          <w:sz w:val="28"/>
        </w:r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1.1法律和程序标准</w:t>
      </w:r>
    </w:p>
    <w:p>
      <w:pPr>
        <w:pStyle w:val="3"/>
        <w:spacing w:line="400" w:lineRule="exact"/>
        <w:ind w:left="120" w:right="312" w:firstLine="560" w:firstLineChars="200"/>
        <w:jc w:val="both"/>
        <w:rPr>
          <w:rFonts w:eastAsia="宋体" w:cs="宋体"/>
          <w:sz w:val="28"/>
          <w:lang w:eastAsia="zh-CN"/>
        </w:rPr>
      </w:pPr>
      <w:r>
        <w:rPr>
          <w:rFonts w:hint="eastAsia" w:eastAsia="宋体" w:cs="宋体"/>
          <w:sz w:val="28"/>
          <w:lang w:val="en-US" w:eastAsia="zh-CN"/>
        </w:rPr>
        <w:t>类别</w:t>
      </w:r>
      <w:r>
        <w:rPr>
          <w:rFonts w:eastAsia="宋体" w:cs="宋体"/>
          <w:sz w:val="28"/>
          <w:lang w:eastAsia="zh-CN"/>
        </w:rPr>
        <w:t>1.1类有三个由若干指标组成的子类，每一个指标又可由若干组成部分组成。</w:t>
      </w:r>
    </w:p>
    <w:p>
      <w:pPr>
        <w:pStyle w:val="3"/>
        <w:spacing w:line="400" w:lineRule="exact"/>
        <w:ind w:left="120" w:right="312" w:firstLine="560" w:firstLineChars="200"/>
        <w:jc w:val="both"/>
        <w:rPr>
          <w:rFonts w:eastAsia="宋体" w:cs="宋体"/>
          <w:sz w:val="28"/>
          <w:lang w:eastAsia="zh-CN"/>
        </w:r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1.1.1破产程序的启动前和启动</w:t>
      </w:r>
    </w:p>
    <w:p>
      <w:pPr>
        <w:pStyle w:val="3"/>
        <w:spacing w:line="400" w:lineRule="exact"/>
        <w:ind w:left="120" w:right="193" w:firstLine="560" w:firstLineChars="200"/>
        <w:jc w:val="both"/>
        <w:rPr>
          <w:rFonts w:eastAsia="宋体"/>
          <w:sz w:val="28"/>
          <w:lang w:eastAsia="zh-CN"/>
        </w:rPr>
      </w:pPr>
      <w:r>
        <w:rPr>
          <w:rFonts w:eastAsia="宋体" w:cs="宋体"/>
          <w:sz w:val="28"/>
          <w:lang w:eastAsia="zh-CN"/>
        </w:rPr>
        <w:t>当公司面临即将破产时一个全面的法律框架，将确保管理层有明确的义务保护债权人和其他利益相关者的合法利益，并</w:t>
      </w:r>
      <w:r>
        <w:rPr>
          <w:rFonts w:hint="eastAsia" w:eastAsia="宋体" w:cs="宋体"/>
          <w:sz w:val="28"/>
          <w:lang w:eastAsia="zh-CN"/>
        </w:rPr>
        <w:t>鼓励公司</w:t>
      </w:r>
      <w:r>
        <w:rPr>
          <w:rFonts w:eastAsia="宋体" w:cs="宋体"/>
          <w:sz w:val="28"/>
          <w:lang w:eastAsia="zh-CN"/>
        </w:rPr>
        <w:t>及时采取行动，以尽量减少公司财务困境的影响。</w:t>
      </w:r>
      <w:r>
        <w:rPr>
          <w:rFonts w:eastAsia="宋体" w:cs="宋体"/>
          <w:sz w:val="28"/>
          <w:vertAlign w:val="superscript"/>
          <w:lang w:eastAsia="zh-CN"/>
        </w:rPr>
        <w:t>8</w:t>
      </w:r>
      <w:r>
        <w:rPr>
          <w:rFonts w:eastAsia="宋体" w:cs="宋体"/>
          <w:sz w:val="28"/>
          <w:lang w:eastAsia="zh-CN"/>
        </w:rPr>
        <w:t>同时，它将最大限度地减少对债务人和债权人在法院系统外为重组目的进行自愿谈判(庭外和解)的任何监管障碍。</w:t>
      </w:r>
      <w:r>
        <w:rPr>
          <w:rFonts w:eastAsia="宋体" w:cs="宋体"/>
          <w:sz w:val="28"/>
          <w:vertAlign w:val="superscript"/>
          <w:lang w:eastAsia="zh-CN"/>
        </w:rPr>
        <w:t>9</w:t>
      </w:r>
      <w:r>
        <w:rPr>
          <w:rFonts w:eastAsia="宋体" w:cs="宋体"/>
          <w:sz w:val="28"/>
          <w:lang w:eastAsia="zh-CN"/>
        </w:rPr>
        <w:t>良好的国际惯例</w:t>
      </w:r>
      <w:r>
        <w:rPr>
          <w:rFonts w:hint="eastAsia" w:eastAsia="宋体" w:cs="宋体"/>
          <w:sz w:val="28"/>
          <w:lang w:eastAsia="zh-CN"/>
        </w:rPr>
        <w:t>表明</w:t>
      </w:r>
      <w:r>
        <w:rPr>
          <w:rFonts w:eastAsia="宋体" w:cs="宋体"/>
          <w:sz w:val="28"/>
          <w:lang w:eastAsia="zh-CN"/>
        </w:rPr>
        <w:t>，法律应明确</w:t>
      </w:r>
      <w:r>
        <w:rPr>
          <w:rFonts w:hint="eastAsia" w:eastAsia="宋体" w:cs="宋体"/>
          <w:sz w:val="28"/>
          <w:lang w:eastAsia="zh-CN"/>
        </w:rPr>
        <w:t>规</w:t>
      </w:r>
      <w:r>
        <w:rPr>
          <w:rFonts w:eastAsia="宋体" w:cs="宋体"/>
          <w:sz w:val="28"/>
          <w:lang w:eastAsia="zh-CN"/>
        </w:rPr>
        <w:t>定一种具体</w:t>
      </w:r>
      <w:r>
        <w:rPr>
          <w:rFonts w:hint="eastAsia" w:eastAsia="宋体" w:cs="宋体"/>
          <w:sz w:val="28"/>
          <w:lang w:eastAsia="zh-CN"/>
        </w:rPr>
        <w:t>的</w:t>
      </w:r>
      <w:r>
        <w:rPr>
          <w:rFonts w:eastAsia="宋体" w:cs="宋体"/>
          <w:sz w:val="28"/>
          <w:lang w:eastAsia="zh-CN"/>
        </w:rPr>
        <w:t>机制，以确定可以申请破产程序的各方，并确定提交申请的正式程序以及申请的时间。</w:t>
      </w:r>
      <w:r>
        <w:rPr>
          <w:rFonts w:eastAsia="宋体" w:cs="宋体"/>
          <w:sz w:val="28"/>
          <w:vertAlign w:val="superscript"/>
          <w:lang w:eastAsia="zh-CN"/>
        </w:rPr>
        <w:t>10</w:t>
      </w:r>
      <w:r>
        <w:rPr>
          <w:rFonts w:eastAsia="宋体" w:cs="宋体"/>
          <w:sz w:val="28"/>
          <w:lang w:eastAsia="zh-CN"/>
        </w:rPr>
        <w:t>因此，子类别1.1.1 -破产程序的启动前和</w:t>
      </w:r>
      <w:r>
        <w:rPr>
          <w:rFonts w:hint="eastAsia" w:eastAsia="宋体" w:cs="宋体"/>
          <w:sz w:val="28"/>
          <w:lang w:eastAsia="zh-CN"/>
        </w:rPr>
        <w:t>启动</w:t>
      </w:r>
      <w:r>
        <w:rPr>
          <w:rFonts w:eastAsia="宋体" w:cs="宋体"/>
          <w:sz w:val="28"/>
          <w:lang w:eastAsia="zh-CN"/>
        </w:rPr>
        <w:t>包括五个指标(表3)。</w:t>
      </w:r>
    </w:p>
    <w:p>
      <w:pPr>
        <w:spacing w:before="215" w:line="400" w:lineRule="exact"/>
        <w:jc w:val="center"/>
        <w:rPr>
          <w:rFonts w:eastAsia="宋体" w:cs="宋体"/>
          <w:b/>
          <w:sz w:val="28"/>
          <w:lang w:eastAsia="zh-CN"/>
        </w:rPr>
      </w:pPr>
      <w:r>
        <w:rPr>
          <w:rFonts w:eastAsia="宋体" w:cs="宋体"/>
          <w:b/>
          <w:sz w:val="28"/>
          <w:lang w:eastAsia="zh-CN"/>
        </w:rPr>
        <w:t>表3</w:t>
      </w:r>
      <w:r>
        <w:rPr>
          <w:rFonts w:hint="eastAsia" w:eastAsia="宋体" w:cs="宋体"/>
          <w:b/>
          <w:sz w:val="28"/>
          <w:lang w:val="en-US" w:eastAsia="zh-CN"/>
        </w:rPr>
        <w:t xml:space="preserve">. </w:t>
      </w:r>
      <w:r>
        <w:rPr>
          <w:rFonts w:eastAsia="宋体" w:cs="宋体"/>
          <w:b/>
          <w:sz w:val="28"/>
          <w:lang w:eastAsia="zh-CN"/>
        </w:rPr>
        <w:t>子类别1.1.1</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破产程序的</w:t>
      </w:r>
      <w:r>
        <w:rPr>
          <w:rFonts w:hint="eastAsia" w:eastAsia="宋体" w:cs="宋体"/>
          <w:b/>
          <w:sz w:val="28"/>
          <w:lang w:eastAsia="zh-CN"/>
        </w:rPr>
        <w:t>启动</w:t>
      </w:r>
      <w:r>
        <w:rPr>
          <w:rFonts w:eastAsia="宋体" w:cs="宋体"/>
          <w:b/>
          <w:sz w:val="28"/>
          <w:lang w:eastAsia="zh-CN"/>
        </w:rPr>
        <w:t>前和</w:t>
      </w:r>
      <w:r>
        <w:rPr>
          <w:rFonts w:hint="eastAsia" w:eastAsia="宋体" w:cs="宋体"/>
          <w:b/>
          <w:sz w:val="28"/>
          <w:lang w:eastAsia="zh-CN"/>
        </w:rPr>
        <w:t>启动</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0"/>
        <w:gridCol w:w="3611"/>
        <w:gridCol w:w="5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740" w:type="dxa"/>
            <w:shd w:val="clear" w:color="auto" w:fill="E7EBF5"/>
            <w:vAlign w:val="center"/>
          </w:tcPr>
          <w:p>
            <w:pPr>
              <w:pStyle w:val="10"/>
              <w:spacing w:line="400" w:lineRule="exact"/>
              <w:ind w:left="0" w:firstLine="480" w:firstLineChars="200"/>
              <w:jc w:val="both"/>
              <w:rPr>
                <w:rFonts w:eastAsia="宋体"/>
                <w:sz w:val="24"/>
                <w:szCs w:val="24"/>
                <w:lang w:eastAsia="zh-CN"/>
              </w:rPr>
            </w:pPr>
          </w:p>
        </w:tc>
        <w:tc>
          <w:tcPr>
            <w:tcW w:w="3611" w:type="dxa"/>
            <w:shd w:val="clear" w:color="auto" w:fill="E7EBF5"/>
            <w:vAlign w:val="center"/>
          </w:tcPr>
          <w:p>
            <w:pPr>
              <w:pStyle w:val="10"/>
              <w:spacing w:line="400" w:lineRule="exact"/>
              <w:ind w:left="105" w:firstLine="474" w:firstLineChars="200"/>
              <w:jc w:val="both"/>
              <w:rPr>
                <w:rFonts w:eastAsia="宋体"/>
                <w:b/>
                <w:sz w:val="24"/>
                <w:szCs w:val="24"/>
              </w:rPr>
            </w:pPr>
            <w:r>
              <w:rPr>
                <w:rFonts w:eastAsia="宋体" w:cs="宋体"/>
                <w:b/>
                <w:spacing w:val="-2"/>
                <w:sz w:val="24"/>
                <w:szCs w:val="24"/>
              </w:rPr>
              <w:t>指标</w:t>
            </w:r>
          </w:p>
        </w:tc>
        <w:tc>
          <w:tcPr>
            <w:tcW w:w="5005" w:type="dxa"/>
            <w:shd w:val="clear" w:color="auto" w:fill="E7EBF5"/>
            <w:vAlign w:val="center"/>
          </w:tcPr>
          <w:p>
            <w:pPr>
              <w:pStyle w:val="10"/>
              <w:spacing w:line="400" w:lineRule="exact"/>
              <w:ind w:left="108" w:firstLine="482" w:firstLineChars="200"/>
              <w:jc w:val="both"/>
              <w:rPr>
                <w:rFonts w:eastAsia="宋体"/>
                <w:b/>
                <w:sz w:val="24"/>
                <w:szCs w:val="24"/>
                <w:lang w:eastAsia="zh-CN"/>
              </w:rPr>
            </w:pPr>
            <w:r>
              <w:rPr>
                <w:rFonts w:hint="eastAsia" w:eastAsia="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740" w:type="dxa"/>
            <w:vAlign w:val="center"/>
          </w:tcPr>
          <w:p>
            <w:pPr>
              <w:pStyle w:val="10"/>
              <w:spacing w:line="400" w:lineRule="exact"/>
              <w:jc w:val="both"/>
              <w:rPr>
                <w:rFonts w:eastAsia="宋体"/>
                <w:sz w:val="24"/>
                <w:szCs w:val="24"/>
              </w:rPr>
            </w:pPr>
            <w:r>
              <w:rPr>
                <w:rFonts w:eastAsia="宋体" w:cs="宋体"/>
                <w:sz w:val="24"/>
                <w:szCs w:val="24"/>
              </w:rPr>
              <w:t>1</w:t>
            </w:r>
          </w:p>
        </w:tc>
        <w:tc>
          <w:tcPr>
            <w:tcW w:w="3611" w:type="dxa"/>
            <w:vAlign w:val="center"/>
          </w:tcPr>
          <w:p>
            <w:pPr>
              <w:pStyle w:val="10"/>
              <w:spacing w:before="103" w:line="400" w:lineRule="exact"/>
              <w:ind w:right="143"/>
              <w:jc w:val="both"/>
              <w:rPr>
                <w:rFonts w:eastAsia="宋体"/>
                <w:sz w:val="24"/>
                <w:szCs w:val="24"/>
                <w:lang w:eastAsia="zh-CN"/>
              </w:rPr>
            </w:pPr>
            <w:r>
              <w:rPr>
                <w:rFonts w:eastAsia="宋体" w:cs="宋体"/>
                <w:sz w:val="24"/>
                <w:szCs w:val="24"/>
                <w:lang w:eastAsia="zh-CN"/>
              </w:rPr>
              <w:t>公司管理层在破产前的义务</w:t>
            </w:r>
          </w:p>
        </w:tc>
        <w:tc>
          <w:tcPr>
            <w:tcW w:w="5005" w:type="dxa"/>
            <w:vAlign w:val="center"/>
          </w:tcPr>
          <w:p>
            <w:pPr>
              <w:pStyle w:val="10"/>
              <w:spacing w:line="400" w:lineRule="exact"/>
              <w:ind w:right="95"/>
              <w:jc w:val="both"/>
              <w:rPr>
                <w:rFonts w:eastAsia="宋体"/>
                <w:sz w:val="24"/>
                <w:szCs w:val="24"/>
                <w:lang w:eastAsia="zh-CN"/>
              </w:rPr>
            </w:pPr>
            <w:r>
              <w:rPr>
                <w:rFonts w:eastAsia="宋体" w:cs="宋体"/>
                <w:sz w:val="24"/>
                <w:szCs w:val="24"/>
                <w:lang w:eastAsia="zh-CN"/>
              </w:rPr>
              <w:t>债务人公司管理层有义务在可能的情况下采取合理措施避免破产，并在不可避免的情况下将其程度降至最低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740" w:type="dxa"/>
            <w:vAlign w:val="center"/>
          </w:tcPr>
          <w:p>
            <w:pPr>
              <w:pStyle w:val="10"/>
              <w:spacing w:before="103" w:line="400" w:lineRule="exact"/>
              <w:jc w:val="both"/>
              <w:rPr>
                <w:rFonts w:eastAsia="宋体"/>
                <w:sz w:val="24"/>
                <w:szCs w:val="24"/>
              </w:rPr>
            </w:pPr>
            <w:r>
              <w:rPr>
                <w:rFonts w:eastAsia="宋体" w:cs="宋体"/>
                <w:sz w:val="24"/>
                <w:szCs w:val="24"/>
              </w:rPr>
              <w:t>2</w:t>
            </w:r>
          </w:p>
        </w:tc>
        <w:tc>
          <w:tcPr>
            <w:tcW w:w="3611" w:type="dxa"/>
            <w:vAlign w:val="center"/>
          </w:tcPr>
          <w:p>
            <w:pPr>
              <w:pStyle w:val="10"/>
              <w:spacing w:before="103" w:line="400" w:lineRule="exact"/>
              <w:jc w:val="both"/>
              <w:rPr>
                <w:rFonts w:eastAsia="宋体"/>
                <w:sz w:val="24"/>
                <w:szCs w:val="24"/>
              </w:rPr>
            </w:pPr>
            <w:r>
              <w:rPr>
                <w:rFonts w:eastAsia="宋体" w:cs="宋体"/>
                <w:sz w:val="24"/>
                <w:szCs w:val="24"/>
              </w:rPr>
              <w:t>庭外重组机制</w:t>
            </w:r>
          </w:p>
        </w:tc>
        <w:tc>
          <w:tcPr>
            <w:tcW w:w="5005" w:type="dxa"/>
            <w:vAlign w:val="center"/>
          </w:tcPr>
          <w:p>
            <w:pPr>
              <w:pStyle w:val="10"/>
              <w:spacing w:line="400" w:lineRule="exact"/>
              <w:jc w:val="both"/>
              <w:rPr>
                <w:rFonts w:eastAsia="宋体"/>
                <w:sz w:val="24"/>
                <w:szCs w:val="24"/>
                <w:lang w:eastAsia="zh-CN"/>
              </w:rPr>
            </w:pPr>
            <w:r>
              <w:rPr>
                <w:rFonts w:eastAsia="宋体" w:cs="宋体"/>
                <w:sz w:val="24"/>
                <w:szCs w:val="24"/>
                <w:lang w:eastAsia="zh-CN"/>
              </w:rPr>
              <w:t>允许在正式司法程序之外解决破产的机制不存在任何障碍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40" w:type="dxa"/>
            <w:vAlign w:val="center"/>
          </w:tcPr>
          <w:p>
            <w:pPr>
              <w:pStyle w:val="10"/>
              <w:spacing w:before="105" w:line="400" w:lineRule="exact"/>
              <w:jc w:val="both"/>
              <w:rPr>
                <w:rFonts w:eastAsia="宋体"/>
                <w:sz w:val="24"/>
                <w:szCs w:val="24"/>
              </w:rPr>
            </w:pPr>
            <w:r>
              <w:rPr>
                <w:rFonts w:eastAsia="宋体" w:cs="宋体"/>
                <w:sz w:val="24"/>
                <w:szCs w:val="24"/>
              </w:rPr>
              <w:t>3.</w:t>
            </w:r>
          </w:p>
        </w:tc>
        <w:tc>
          <w:tcPr>
            <w:tcW w:w="3611" w:type="dxa"/>
            <w:vAlign w:val="center"/>
          </w:tcPr>
          <w:p>
            <w:pPr>
              <w:pStyle w:val="10"/>
              <w:spacing w:line="400" w:lineRule="exact"/>
              <w:jc w:val="both"/>
              <w:rPr>
                <w:rFonts w:eastAsia="宋体"/>
                <w:sz w:val="24"/>
                <w:szCs w:val="24"/>
              </w:rPr>
            </w:pPr>
            <w:r>
              <w:rPr>
                <w:rFonts w:eastAsia="宋体" w:cs="宋体"/>
                <w:sz w:val="24"/>
                <w:szCs w:val="24"/>
              </w:rPr>
              <w:t>正式重组程序的启动</w:t>
            </w:r>
          </w:p>
        </w:tc>
        <w:tc>
          <w:tcPr>
            <w:tcW w:w="5005" w:type="dxa"/>
            <w:vMerge w:val="restart"/>
            <w:vAlign w:val="center"/>
          </w:tcPr>
          <w:p>
            <w:pPr>
              <w:pStyle w:val="10"/>
              <w:spacing w:line="400" w:lineRule="exact"/>
              <w:jc w:val="both"/>
              <w:rPr>
                <w:rFonts w:eastAsia="宋体"/>
                <w:sz w:val="24"/>
                <w:szCs w:val="24"/>
                <w:lang w:eastAsia="zh-CN"/>
              </w:rPr>
            </w:pPr>
            <w:r>
              <w:rPr>
                <w:rFonts w:eastAsia="宋体" w:cs="宋体"/>
                <w:sz w:val="24"/>
                <w:szCs w:val="24"/>
                <w:lang w:eastAsia="zh-CN"/>
              </w:rPr>
              <w:t>债务人和债权人申请清算和重整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740" w:type="dxa"/>
            <w:vAlign w:val="center"/>
          </w:tcPr>
          <w:p>
            <w:pPr>
              <w:pStyle w:val="10"/>
              <w:spacing w:before="101" w:line="400" w:lineRule="exact"/>
              <w:jc w:val="both"/>
              <w:rPr>
                <w:rFonts w:eastAsia="宋体"/>
                <w:sz w:val="24"/>
                <w:szCs w:val="24"/>
              </w:rPr>
            </w:pPr>
            <w:r>
              <w:rPr>
                <w:rFonts w:eastAsia="宋体" w:cs="宋体"/>
                <w:sz w:val="24"/>
                <w:szCs w:val="24"/>
              </w:rPr>
              <w:t>4</w:t>
            </w:r>
          </w:p>
        </w:tc>
        <w:tc>
          <w:tcPr>
            <w:tcW w:w="3611" w:type="dxa"/>
            <w:vAlign w:val="center"/>
          </w:tcPr>
          <w:p>
            <w:pPr>
              <w:pStyle w:val="10"/>
              <w:spacing w:line="400" w:lineRule="exact"/>
              <w:ind w:right="161"/>
              <w:jc w:val="both"/>
              <w:rPr>
                <w:rFonts w:eastAsia="宋体"/>
                <w:sz w:val="24"/>
                <w:szCs w:val="24"/>
                <w:lang w:eastAsia="zh-CN"/>
              </w:rPr>
            </w:pPr>
            <w:r>
              <w:rPr>
                <w:rFonts w:eastAsia="宋体" w:cs="宋体"/>
                <w:sz w:val="24"/>
                <w:szCs w:val="24"/>
              </w:rPr>
              <w:t>正式清算程序的</w:t>
            </w:r>
            <w:r>
              <w:rPr>
                <w:rFonts w:hint="eastAsia" w:eastAsia="宋体" w:cs="宋体"/>
                <w:sz w:val="24"/>
                <w:szCs w:val="24"/>
                <w:lang w:eastAsia="zh-CN"/>
              </w:rPr>
              <w:t>启动</w:t>
            </w:r>
          </w:p>
        </w:tc>
        <w:tc>
          <w:tcPr>
            <w:tcW w:w="5005" w:type="dxa"/>
            <w:vMerge w:val="continue"/>
            <w:tcBorders>
              <w:top w:val="nil"/>
            </w:tcBorders>
            <w:vAlign w:val="center"/>
          </w:tcPr>
          <w:p>
            <w:pPr>
              <w:spacing w:line="400" w:lineRule="exact"/>
              <w:ind w:firstLine="480" w:firstLineChars="200"/>
              <w:jc w:val="both"/>
              <w:rPr>
                <w:rFonts w:eastAsia="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740" w:type="dxa"/>
            <w:vAlign w:val="center"/>
          </w:tcPr>
          <w:p>
            <w:pPr>
              <w:pStyle w:val="10"/>
              <w:spacing w:before="103" w:line="400" w:lineRule="exact"/>
              <w:jc w:val="both"/>
              <w:rPr>
                <w:rFonts w:eastAsia="宋体"/>
                <w:sz w:val="24"/>
                <w:szCs w:val="24"/>
              </w:rPr>
            </w:pPr>
            <w:r>
              <w:rPr>
                <w:rFonts w:eastAsia="宋体" w:cs="宋体"/>
                <w:sz w:val="24"/>
                <w:szCs w:val="24"/>
              </w:rPr>
              <w:t>5</w:t>
            </w:r>
          </w:p>
        </w:tc>
        <w:tc>
          <w:tcPr>
            <w:tcW w:w="3611" w:type="dxa"/>
            <w:vAlign w:val="center"/>
          </w:tcPr>
          <w:p>
            <w:pPr>
              <w:pStyle w:val="10"/>
              <w:spacing w:line="400" w:lineRule="exact"/>
              <w:jc w:val="both"/>
              <w:rPr>
                <w:rFonts w:eastAsia="宋体"/>
                <w:sz w:val="24"/>
                <w:szCs w:val="24"/>
                <w:lang w:eastAsia="zh-CN"/>
              </w:rPr>
            </w:pPr>
            <w:r>
              <w:rPr>
                <w:rFonts w:eastAsia="宋体" w:cs="宋体"/>
                <w:sz w:val="24"/>
                <w:szCs w:val="24"/>
                <w:lang w:eastAsia="zh-CN"/>
              </w:rPr>
              <w:t>启动正式破产程序的依据</w:t>
            </w:r>
          </w:p>
        </w:tc>
        <w:tc>
          <w:tcPr>
            <w:tcW w:w="5005" w:type="dxa"/>
            <w:vAlign w:val="center"/>
          </w:tcPr>
          <w:p>
            <w:pPr>
              <w:pStyle w:val="10"/>
              <w:spacing w:line="400" w:lineRule="exact"/>
              <w:jc w:val="both"/>
              <w:rPr>
                <w:rFonts w:eastAsia="宋体"/>
                <w:sz w:val="24"/>
                <w:szCs w:val="24"/>
                <w:lang w:eastAsia="zh-CN"/>
              </w:rPr>
            </w:pPr>
            <w:r>
              <w:rPr>
                <w:rFonts w:eastAsia="宋体" w:cs="宋体"/>
                <w:sz w:val="24"/>
                <w:szCs w:val="24"/>
                <w:lang w:eastAsia="zh-CN"/>
              </w:rPr>
              <w:t>是否存在启动破产程序的标准，如流动性测试、资产负债表测试或其他标准</w:t>
            </w:r>
          </w:p>
        </w:tc>
      </w:tr>
    </w:tbl>
    <w:p>
      <w:pPr>
        <w:pStyle w:val="2"/>
        <w:tabs>
          <w:tab w:val="left" w:pos="841"/>
        </w:tabs>
        <w:spacing w:after="120" w:afterLines="50" w:line="400" w:lineRule="exact"/>
        <w:ind w:left="0" w:firstLine="562" w:firstLineChars="200"/>
        <w:jc w:val="both"/>
        <w:rPr>
          <w:rFonts w:eastAsia="宋体" w:cs="宋体"/>
          <w:sz w:val="28"/>
          <w:lang w:eastAsia="zh-CN"/>
        </w:r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1.1.2清算及重整程序</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在解决破产问题时，法律制度应提供充分的法律机制，以解决对债务人提出的持续债权的集体清偿问题。要</w:t>
      </w:r>
      <w:r>
        <w:rPr>
          <w:rFonts w:hint="eastAsia" w:eastAsia="宋体" w:cs="宋体"/>
          <w:sz w:val="28"/>
          <w:lang w:eastAsia="zh-CN"/>
        </w:rPr>
        <w:t>实现</w:t>
      </w:r>
      <w:r>
        <w:rPr>
          <w:rFonts w:eastAsia="宋体" w:cs="宋体"/>
          <w:sz w:val="28"/>
          <w:lang w:eastAsia="zh-CN"/>
        </w:rPr>
        <w:t>这一</w:t>
      </w:r>
      <w:r>
        <w:rPr>
          <w:rFonts w:hint="eastAsia" w:eastAsia="宋体" w:cs="宋体"/>
          <w:sz w:val="28"/>
          <w:lang w:eastAsia="zh-CN"/>
        </w:rPr>
        <w:t>目标</w:t>
      </w:r>
      <w:r>
        <w:rPr>
          <w:rFonts w:eastAsia="宋体" w:cs="宋体"/>
          <w:sz w:val="28"/>
          <w:lang w:eastAsia="zh-CN"/>
        </w:rPr>
        <w:t>，需要在破产法中找到清算和重组之间的平衡，通过清算</w:t>
      </w:r>
      <w:r>
        <w:rPr>
          <w:rFonts w:hint="eastAsia" w:eastAsia="宋体" w:cs="宋体"/>
          <w:sz w:val="28"/>
          <w:lang w:eastAsia="zh-CN"/>
        </w:rPr>
        <w:t>在</w:t>
      </w:r>
      <w:r>
        <w:rPr>
          <w:rFonts w:eastAsia="宋体" w:cs="宋体"/>
          <w:sz w:val="28"/>
          <w:lang w:eastAsia="zh-CN"/>
        </w:rPr>
        <w:t>短期</w:t>
      </w:r>
      <w:r>
        <w:rPr>
          <w:rFonts w:hint="eastAsia" w:eastAsia="宋体" w:cs="宋体"/>
          <w:sz w:val="28"/>
          <w:lang w:eastAsia="zh-CN"/>
        </w:rPr>
        <w:t>内收回</w:t>
      </w:r>
      <w:r>
        <w:rPr>
          <w:rFonts w:eastAsia="宋体" w:cs="宋体"/>
          <w:sz w:val="28"/>
          <w:lang w:eastAsia="zh-CN"/>
        </w:rPr>
        <w:t>债务的优势与通过重组保护债务人业务价值的优势相平衡。</w:t>
      </w:r>
      <w:r>
        <w:rPr>
          <w:rFonts w:eastAsia="宋体" w:cs="宋体"/>
          <w:sz w:val="28"/>
          <w:vertAlign w:val="superscript"/>
          <w:lang w:eastAsia="zh-CN"/>
        </w:rPr>
        <w:t>11</w:t>
      </w:r>
      <w:r>
        <w:rPr>
          <w:rFonts w:eastAsia="宋体" w:cs="宋体"/>
          <w:sz w:val="28"/>
          <w:lang w:eastAsia="zh-CN"/>
        </w:rPr>
        <w:t>破产框架应考虑在正式破产程序中</w:t>
      </w:r>
      <w:r>
        <w:rPr>
          <w:rFonts w:hint="eastAsia" w:eastAsia="宋体" w:cs="宋体"/>
          <w:sz w:val="28"/>
          <w:lang w:eastAsia="zh-CN"/>
        </w:rPr>
        <w:t>的参与者</w:t>
      </w:r>
      <w:r>
        <w:rPr>
          <w:rFonts w:eastAsia="宋体" w:cs="宋体"/>
          <w:sz w:val="28"/>
          <w:lang w:eastAsia="zh-CN"/>
        </w:rPr>
        <w:t>，确保提供最适合解决债务人财务困难的正确程序，并允许各方能够预测其法律权利在程序中如何受到影响。</w:t>
      </w:r>
      <w:r>
        <w:rPr>
          <w:rFonts w:eastAsia="宋体" w:cs="宋体"/>
          <w:sz w:val="28"/>
          <w:vertAlign w:val="superscript"/>
          <w:lang w:eastAsia="zh-CN"/>
        </w:rPr>
        <w:t>12</w:t>
      </w:r>
      <w:r>
        <w:rPr>
          <w:rFonts w:eastAsia="宋体" w:cs="宋体"/>
          <w:sz w:val="28"/>
          <w:lang w:eastAsia="zh-CN"/>
        </w:rPr>
        <w:t>因此，子类别1.1.2 -清算和重组程序包括五个指标(表4)。</w:t>
      </w:r>
    </w:p>
    <w:p>
      <w:pPr>
        <w:spacing w:before="215" w:line="400" w:lineRule="exact"/>
        <w:jc w:val="center"/>
        <w:rPr>
          <w:rFonts w:eastAsia="宋体" w:cs="宋体"/>
          <w:b/>
          <w:sz w:val="28"/>
          <w:lang w:eastAsia="zh-CN"/>
        </w:rPr>
      </w:pPr>
      <w:r>
        <w:rPr>
          <w:rFonts w:eastAsia="宋体" w:cs="宋体"/>
          <w:b/>
          <w:sz w:val="28"/>
          <w:lang w:eastAsia="zh-CN"/>
        </w:rPr>
        <w:t>表4</w:t>
      </w:r>
      <w:r>
        <w:rPr>
          <w:rFonts w:hint="eastAsia" w:eastAsia="宋体" w:cs="宋体"/>
          <w:b/>
          <w:sz w:val="28"/>
          <w:lang w:val="en-US" w:eastAsia="zh-CN"/>
        </w:rPr>
        <w:t xml:space="preserve">. </w:t>
      </w:r>
      <w:r>
        <w:rPr>
          <w:rFonts w:eastAsia="宋体" w:cs="宋体"/>
          <w:b/>
          <w:sz w:val="28"/>
          <w:lang w:eastAsia="zh-CN"/>
        </w:rPr>
        <w:t>子类别1.1.2</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清算和重组程序</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
        <w:gridCol w:w="2921"/>
        <w:gridCol w:w="59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39" w:type="dxa"/>
            <w:shd w:val="clear" w:color="auto" w:fill="E7EBF5"/>
            <w:vAlign w:val="center"/>
          </w:tcPr>
          <w:p>
            <w:pPr>
              <w:pStyle w:val="10"/>
              <w:spacing w:before="103" w:line="400" w:lineRule="exact"/>
              <w:jc w:val="both"/>
              <w:rPr>
                <w:rFonts w:eastAsia="宋体" w:cs="宋体"/>
                <w:sz w:val="24"/>
                <w:szCs w:val="24"/>
                <w:lang w:eastAsia="zh-CN"/>
              </w:rPr>
            </w:pPr>
          </w:p>
        </w:tc>
        <w:tc>
          <w:tcPr>
            <w:tcW w:w="2921" w:type="dxa"/>
            <w:shd w:val="clear" w:color="auto" w:fill="E7EBF5"/>
            <w:vAlign w:val="center"/>
          </w:tcPr>
          <w:p>
            <w:pPr>
              <w:pStyle w:val="10"/>
              <w:spacing w:before="103" w:line="400" w:lineRule="exact"/>
              <w:jc w:val="both"/>
              <w:rPr>
                <w:rFonts w:eastAsia="宋体" w:cs="宋体"/>
                <w:b/>
                <w:bCs/>
                <w:sz w:val="24"/>
                <w:szCs w:val="24"/>
              </w:rPr>
            </w:pPr>
            <w:r>
              <w:rPr>
                <w:rFonts w:eastAsia="宋体" w:cs="宋体"/>
                <w:b/>
                <w:bCs/>
                <w:sz w:val="24"/>
                <w:szCs w:val="24"/>
              </w:rPr>
              <w:t>指标</w:t>
            </w:r>
          </w:p>
        </w:tc>
        <w:tc>
          <w:tcPr>
            <w:tcW w:w="5997" w:type="dxa"/>
            <w:shd w:val="clear" w:color="auto" w:fill="E7EBF5"/>
            <w:vAlign w:val="center"/>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39" w:type="dxa"/>
            <w:vAlign w:val="center"/>
          </w:tcPr>
          <w:p>
            <w:pPr>
              <w:pStyle w:val="10"/>
              <w:spacing w:before="103" w:line="400" w:lineRule="exact"/>
              <w:jc w:val="both"/>
              <w:rPr>
                <w:rFonts w:eastAsia="宋体" w:cs="宋体"/>
                <w:sz w:val="24"/>
                <w:szCs w:val="24"/>
              </w:rPr>
            </w:pPr>
            <w:r>
              <w:rPr>
                <w:rFonts w:eastAsia="宋体" w:cs="宋体"/>
                <w:sz w:val="24"/>
                <w:szCs w:val="24"/>
              </w:rPr>
              <w:t>1</w:t>
            </w:r>
          </w:p>
        </w:tc>
        <w:tc>
          <w:tcPr>
            <w:tcW w:w="2921" w:type="dxa"/>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债权人索赔证明的通知</w:t>
            </w:r>
          </w:p>
        </w:tc>
        <w:tc>
          <w:tcPr>
            <w:tcW w:w="5997" w:type="dxa"/>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为债权人提供保障措施，以确保破产管理人通知在清算程序期间就接受或拒绝索赔作出决定的理由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39" w:type="dxa"/>
            <w:vAlign w:val="center"/>
          </w:tcPr>
          <w:p>
            <w:pPr>
              <w:pStyle w:val="10"/>
              <w:spacing w:before="103" w:line="400" w:lineRule="exact"/>
              <w:jc w:val="both"/>
              <w:rPr>
                <w:rFonts w:eastAsia="宋体" w:cs="宋体"/>
                <w:sz w:val="24"/>
                <w:szCs w:val="24"/>
              </w:rPr>
            </w:pPr>
            <w:r>
              <w:rPr>
                <w:rFonts w:eastAsia="宋体" w:cs="宋体"/>
                <w:sz w:val="24"/>
                <w:szCs w:val="24"/>
              </w:rPr>
              <w:t>2</w:t>
            </w:r>
          </w:p>
        </w:tc>
        <w:tc>
          <w:tcPr>
            <w:tcW w:w="2921" w:type="dxa"/>
            <w:vAlign w:val="center"/>
          </w:tcPr>
          <w:p>
            <w:pPr>
              <w:pStyle w:val="10"/>
              <w:spacing w:before="103" w:line="400" w:lineRule="exact"/>
              <w:jc w:val="both"/>
              <w:rPr>
                <w:rFonts w:eastAsia="宋体" w:cs="宋体"/>
                <w:sz w:val="24"/>
                <w:szCs w:val="24"/>
              </w:rPr>
            </w:pPr>
            <w:r>
              <w:rPr>
                <w:rFonts w:eastAsia="宋体" w:cs="宋体"/>
                <w:sz w:val="24"/>
                <w:szCs w:val="24"/>
              </w:rPr>
              <w:t>重组方案</w:t>
            </w:r>
            <w:r>
              <w:rPr>
                <w:rFonts w:hint="eastAsia" w:eastAsia="宋体" w:cs="宋体"/>
                <w:sz w:val="24"/>
                <w:szCs w:val="24"/>
                <w:lang w:eastAsia="zh-CN"/>
              </w:rPr>
              <w:t>的</w:t>
            </w:r>
            <w:r>
              <w:rPr>
                <w:rFonts w:eastAsia="宋体" w:cs="宋体"/>
                <w:sz w:val="24"/>
                <w:szCs w:val="24"/>
              </w:rPr>
              <w:t>表决方式</w:t>
            </w:r>
          </w:p>
        </w:tc>
        <w:tc>
          <w:tcPr>
            <w:tcW w:w="5997" w:type="dxa"/>
            <w:vMerge w:val="restart"/>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有一个全面的重组框架，其中包括投票安排、</w:t>
            </w:r>
            <w:r>
              <w:rPr>
                <w:rFonts w:hint="eastAsia" w:eastAsia="宋体" w:cs="宋体"/>
                <w:sz w:val="24"/>
                <w:szCs w:val="24"/>
                <w:lang w:eastAsia="zh-CN"/>
              </w:rPr>
              <w:t>投票方式和对异议债权人的保护等关键特征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39" w:type="dxa"/>
            <w:vAlign w:val="center"/>
          </w:tcPr>
          <w:p>
            <w:pPr>
              <w:pStyle w:val="10"/>
              <w:spacing w:before="103" w:line="400" w:lineRule="exact"/>
              <w:jc w:val="both"/>
              <w:rPr>
                <w:rFonts w:eastAsia="宋体" w:cs="宋体"/>
                <w:sz w:val="24"/>
                <w:szCs w:val="24"/>
              </w:rPr>
            </w:pPr>
            <w:r>
              <w:rPr>
                <w:rFonts w:eastAsia="宋体" w:cs="宋体"/>
                <w:sz w:val="24"/>
                <w:szCs w:val="24"/>
              </w:rPr>
              <w:t>3.</w:t>
            </w:r>
          </w:p>
        </w:tc>
        <w:tc>
          <w:tcPr>
            <w:tcW w:w="2921" w:type="dxa"/>
            <w:vAlign w:val="center"/>
          </w:tcPr>
          <w:p>
            <w:pPr>
              <w:pStyle w:val="10"/>
              <w:spacing w:before="103" w:line="400" w:lineRule="exact"/>
              <w:jc w:val="both"/>
              <w:rPr>
                <w:rFonts w:eastAsia="宋体" w:cs="宋体"/>
                <w:sz w:val="24"/>
                <w:szCs w:val="24"/>
              </w:rPr>
            </w:pPr>
            <w:r>
              <w:rPr>
                <w:rFonts w:eastAsia="宋体" w:cs="宋体"/>
                <w:sz w:val="24"/>
                <w:szCs w:val="24"/>
              </w:rPr>
              <w:t>重组计划</w:t>
            </w:r>
            <w:r>
              <w:rPr>
                <w:rFonts w:hint="eastAsia" w:eastAsia="宋体" w:cs="宋体"/>
                <w:sz w:val="24"/>
                <w:szCs w:val="24"/>
                <w:lang w:eastAsia="zh-CN"/>
              </w:rPr>
              <w:t>的</w:t>
            </w:r>
            <w:r>
              <w:rPr>
                <w:rFonts w:eastAsia="宋体" w:cs="宋体"/>
                <w:sz w:val="24"/>
                <w:szCs w:val="24"/>
              </w:rPr>
              <w:t>表决方式</w:t>
            </w:r>
          </w:p>
        </w:tc>
        <w:tc>
          <w:tcPr>
            <w:tcW w:w="5997" w:type="dxa"/>
            <w:vMerge w:val="continue"/>
            <w:tcBorders>
              <w:top w:val="nil"/>
            </w:tcBorders>
            <w:vAlign w:val="center"/>
          </w:tcPr>
          <w:p>
            <w:pPr>
              <w:pStyle w:val="10"/>
              <w:spacing w:before="103" w:line="400" w:lineRule="exact"/>
              <w:jc w:val="both"/>
              <w:rPr>
                <w:rFonts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39" w:type="dxa"/>
            <w:vAlign w:val="center"/>
          </w:tcPr>
          <w:p>
            <w:pPr>
              <w:pStyle w:val="10"/>
              <w:spacing w:before="103" w:line="400" w:lineRule="exact"/>
              <w:jc w:val="both"/>
              <w:rPr>
                <w:rFonts w:eastAsia="宋体" w:cs="宋体"/>
                <w:sz w:val="24"/>
                <w:szCs w:val="24"/>
              </w:rPr>
            </w:pPr>
            <w:r>
              <w:rPr>
                <w:rFonts w:eastAsia="宋体" w:cs="宋体"/>
                <w:sz w:val="24"/>
                <w:szCs w:val="24"/>
              </w:rPr>
              <w:t>4</w:t>
            </w:r>
          </w:p>
        </w:tc>
        <w:tc>
          <w:tcPr>
            <w:tcW w:w="292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重整中异议债权人的保护</w:t>
            </w:r>
          </w:p>
        </w:tc>
        <w:tc>
          <w:tcPr>
            <w:tcW w:w="5997" w:type="dxa"/>
            <w:vMerge w:val="continue"/>
            <w:tcBorders>
              <w:top w:val="nil"/>
            </w:tcBorders>
            <w:vAlign w:val="center"/>
          </w:tcPr>
          <w:p>
            <w:pPr>
              <w:pStyle w:val="10"/>
              <w:spacing w:before="103"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39" w:type="dxa"/>
            <w:vAlign w:val="center"/>
          </w:tcPr>
          <w:p>
            <w:pPr>
              <w:pStyle w:val="10"/>
              <w:spacing w:before="103" w:line="400" w:lineRule="exact"/>
              <w:jc w:val="both"/>
              <w:rPr>
                <w:rFonts w:eastAsia="宋体" w:cs="宋体"/>
                <w:sz w:val="24"/>
                <w:szCs w:val="24"/>
              </w:rPr>
            </w:pPr>
            <w:r>
              <w:rPr>
                <w:rFonts w:eastAsia="宋体" w:cs="宋体"/>
                <w:sz w:val="24"/>
                <w:szCs w:val="24"/>
              </w:rPr>
              <w:t>5</w:t>
            </w:r>
          </w:p>
        </w:tc>
        <w:tc>
          <w:tcPr>
            <w:tcW w:w="2921" w:type="dxa"/>
            <w:vAlign w:val="center"/>
          </w:tcPr>
          <w:p>
            <w:pPr>
              <w:pStyle w:val="10"/>
              <w:spacing w:before="103" w:line="400" w:lineRule="exact"/>
              <w:jc w:val="both"/>
              <w:rPr>
                <w:rFonts w:eastAsia="宋体" w:cs="宋体"/>
                <w:sz w:val="24"/>
                <w:szCs w:val="24"/>
              </w:rPr>
            </w:pPr>
            <w:r>
              <w:rPr>
                <w:rFonts w:eastAsia="宋体" w:cs="宋体"/>
                <w:sz w:val="24"/>
                <w:szCs w:val="24"/>
              </w:rPr>
              <w:t>从重组转换</w:t>
            </w:r>
            <w:r>
              <w:rPr>
                <w:rFonts w:hint="eastAsia" w:eastAsia="宋体" w:cs="宋体"/>
                <w:sz w:val="24"/>
                <w:szCs w:val="24"/>
                <w:lang w:eastAsia="zh-CN"/>
              </w:rPr>
              <w:t>为</w:t>
            </w:r>
            <w:r>
              <w:rPr>
                <w:rFonts w:eastAsia="宋体" w:cs="宋体"/>
                <w:sz w:val="24"/>
                <w:szCs w:val="24"/>
              </w:rPr>
              <w:t>清算</w:t>
            </w:r>
          </w:p>
        </w:tc>
        <w:tc>
          <w:tcPr>
            <w:tcW w:w="5997" w:type="dxa"/>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存在一种法律途径，允许将不成功的重组程序转化为清算程序，使破产公司有机会有效地退出市场</w:t>
            </w:r>
          </w:p>
        </w:tc>
      </w:tr>
    </w:tbl>
    <w:p>
      <w:pPr>
        <w:pStyle w:val="3"/>
        <w:spacing w:line="400" w:lineRule="exact"/>
        <w:ind w:firstLine="562" w:firstLineChars="200"/>
        <w:jc w:val="both"/>
        <w:rPr>
          <w:rFonts w:eastAsia="宋体"/>
          <w:b/>
          <w:sz w:val="28"/>
          <w:lang w:eastAsia="zh-CN"/>
        </w:r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1.1.3破产管理人的专业知识</w:t>
      </w:r>
    </w:p>
    <w:p>
      <w:pPr>
        <w:pStyle w:val="3"/>
        <w:spacing w:before="1" w:line="400" w:lineRule="exact"/>
        <w:ind w:left="120" w:right="197" w:firstLine="560" w:firstLineChars="200"/>
        <w:jc w:val="both"/>
        <w:rPr>
          <w:rFonts w:eastAsia="宋体" w:cs="宋体"/>
          <w:sz w:val="28"/>
          <w:lang w:eastAsia="zh-CN"/>
        </w:rPr>
      </w:pPr>
      <w:r>
        <w:rPr>
          <w:rFonts w:eastAsia="宋体" w:cs="宋体"/>
          <w:sz w:val="28"/>
          <w:lang w:eastAsia="zh-CN"/>
        </w:rPr>
        <w:t>一个有效的破产框架应确保破产管理人的</w:t>
      </w:r>
      <w:r>
        <w:rPr>
          <w:rFonts w:hint="eastAsia" w:eastAsia="宋体" w:cs="宋体"/>
          <w:sz w:val="28"/>
          <w:lang w:eastAsia="zh-CN"/>
        </w:rPr>
        <w:t>选择</w:t>
      </w:r>
      <w:r>
        <w:rPr>
          <w:rFonts w:eastAsia="宋体" w:cs="宋体"/>
          <w:sz w:val="28"/>
          <w:lang w:eastAsia="zh-CN"/>
        </w:rPr>
        <w:t>标准应是客观的、明确的和公开的。至关重要的是，破产管理人必须</w:t>
      </w:r>
      <w:r>
        <w:rPr>
          <w:rFonts w:hint="eastAsia" w:eastAsia="宋体" w:cs="宋体"/>
          <w:sz w:val="28"/>
          <w:lang w:eastAsia="zh-CN"/>
        </w:rPr>
        <w:t>具有</w:t>
      </w:r>
      <w:r>
        <w:rPr>
          <w:rFonts w:eastAsia="宋体" w:cs="宋体"/>
          <w:sz w:val="28"/>
          <w:lang w:eastAsia="zh-CN"/>
        </w:rPr>
        <w:t>适当的资格，知识、经验和个人素质(如公正)，</w:t>
      </w:r>
      <w:r>
        <w:rPr>
          <w:rFonts w:hint="eastAsia" w:eastAsia="宋体" w:cs="宋体"/>
          <w:sz w:val="28"/>
          <w:lang w:eastAsia="zh-CN"/>
        </w:rPr>
        <w:t>这</w:t>
      </w:r>
      <w:r>
        <w:rPr>
          <w:rFonts w:eastAsia="宋体" w:cs="宋体"/>
          <w:sz w:val="28"/>
          <w:lang w:eastAsia="zh-CN"/>
        </w:rPr>
        <w:t>不仅可以确保</w:t>
      </w:r>
      <w:r>
        <w:rPr>
          <w:rFonts w:hint="eastAsia" w:eastAsia="宋体" w:cs="宋体"/>
          <w:sz w:val="28"/>
          <w:lang w:eastAsia="zh-CN"/>
        </w:rPr>
        <w:t>破产</w:t>
      </w:r>
      <w:r>
        <w:rPr>
          <w:rFonts w:eastAsia="宋体" w:cs="宋体"/>
          <w:sz w:val="28"/>
          <w:lang w:eastAsia="zh-CN"/>
        </w:rPr>
        <w:t>程序的有效和高效进行，还可以确保破产制度本身的可信度。</w:t>
      </w:r>
      <w:r>
        <w:rPr>
          <w:rFonts w:eastAsia="宋体" w:cs="宋体"/>
          <w:sz w:val="28"/>
          <w:vertAlign w:val="superscript"/>
          <w:lang w:eastAsia="zh-CN"/>
        </w:rPr>
        <w:t>13</w:t>
      </w:r>
      <w:r>
        <w:rPr>
          <w:rFonts w:eastAsia="宋体" w:cs="宋体"/>
          <w:sz w:val="28"/>
          <w:lang w:eastAsia="zh-CN"/>
        </w:rPr>
        <w:t>破产代表在有效和高效地实施破产方面发挥着核心作用，对债务人及其资产拥有一定的权力，并有责任保护这些资产及其价值。破产代表必须客观地考虑债权人和雇员的利益，并确保法律</w:t>
      </w:r>
      <w:r>
        <w:rPr>
          <w:rFonts w:hint="eastAsia" w:eastAsia="宋体" w:cs="宋体"/>
          <w:sz w:val="28"/>
          <w:lang w:eastAsia="zh-CN"/>
        </w:rPr>
        <w:t>得到</w:t>
      </w:r>
      <w:r>
        <w:rPr>
          <w:rFonts w:eastAsia="宋体" w:cs="宋体"/>
          <w:sz w:val="28"/>
          <w:lang w:eastAsia="zh-CN"/>
        </w:rPr>
        <w:t>有效和公正地适用。因此，子类别1.1.3 -破产管理人的专业知识包括三个指标(表5)。</w:t>
      </w:r>
    </w:p>
    <w:p>
      <w:pPr>
        <w:pStyle w:val="3"/>
        <w:spacing w:before="1" w:line="400" w:lineRule="exact"/>
        <w:ind w:left="120" w:right="197" w:firstLine="560" w:firstLineChars="200"/>
        <w:jc w:val="both"/>
        <w:rPr>
          <w:rFonts w:eastAsia="宋体" w:cs="宋体"/>
          <w:sz w:val="28"/>
          <w:lang w:eastAsia="zh-CN"/>
        </w:rPr>
      </w:pPr>
    </w:p>
    <w:p>
      <w:pPr>
        <w:pStyle w:val="3"/>
        <w:spacing w:before="1" w:line="400" w:lineRule="exact"/>
        <w:ind w:left="120" w:right="197" w:firstLine="560" w:firstLineChars="200"/>
        <w:jc w:val="both"/>
        <w:rPr>
          <w:rFonts w:eastAsia="宋体" w:cs="宋体"/>
          <w:sz w:val="28"/>
          <w:lang w:eastAsia="zh-CN"/>
        </w:rPr>
      </w:pPr>
    </w:p>
    <w:p>
      <w:pPr>
        <w:spacing w:before="215" w:line="400" w:lineRule="exact"/>
        <w:jc w:val="center"/>
        <w:rPr>
          <w:rFonts w:eastAsia="宋体" w:cs="宋体"/>
          <w:b/>
          <w:sz w:val="28"/>
          <w:lang w:eastAsia="zh-CN"/>
        </w:rPr>
      </w:pPr>
      <w:r>
        <w:rPr>
          <w:rFonts w:eastAsia="宋体" w:cs="宋体"/>
          <w:b/>
          <w:sz w:val="28"/>
          <w:lang w:eastAsia="zh-CN"/>
        </w:rPr>
        <w:t>表5</w:t>
      </w:r>
      <w:r>
        <w:rPr>
          <w:rFonts w:hint="eastAsia" w:eastAsia="宋体" w:cs="宋体"/>
          <w:b/>
          <w:sz w:val="28"/>
          <w:lang w:val="en-US" w:eastAsia="zh-CN"/>
        </w:rPr>
        <w:t xml:space="preserve">. </w:t>
      </w:r>
      <w:r>
        <w:rPr>
          <w:rFonts w:eastAsia="宋体" w:cs="宋体"/>
          <w:b/>
          <w:sz w:val="28"/>
          <w:lang w:eastAsia="zh-CN"/>
        </w:rPr>
        <w:t>子类别1.1.3 -破产管理人的专业知识</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0"/>
              <w:spacing w:before="103" w:line="400" w:lineRule="exact"/>
              <w:jc w:val="both"/>
              <w:rPr>
                <w:rFonts w:eastAsia="宋体" w:cs="宋体"/>
                <w:sz w:val="24"/>
                <w:szCs w:val="24"/>
                <w:lang w:eastAsia="zh-CN"/>
              </w:rPr>
            </w:pPr>
          </w:p>
        </w:tc>
        <w:tc>
          <w:tcPr>
            <w:tcW w:w="2249" w:type="dxa"/>
            <w:shd w:val="clear" w:color="auto" w:fill="E7EBF5"/>
          </w:tcPr>
          <w:p>
            <w:pPr>
              <w:pStyle w:val="10"/>
              <w:spacing w:before="103" w:line="400" w:lineRule="exact"/>
              <w:jc w:val="both"/>
              <w:rPr>
                <w:rFonts w:eastAsia="宋体" w:cs="宋体"/>
                <w:b/>
                <w:bCs/>
                <w:sz w:val="24"/>
                <w:szCs w:val="24"/>
              </w:rPr>
            </w:pPr>
            <w:r>
              <w:rPr>
                <w:rFonts w:eastAsia="宋体" w:cs="宋体"/>
                <w:b/>
                <w:bCs/>
                <w:sz w:val="24"/>
                <w:szCs w:val="24"/>
              </w:rPr>
              <w:t>指标</w:t>
            </w:r>
          </w:p>
        </w:tc>
        <w:tc>
          <w:tcPr>
            <w:tcW w:w="6661" w:type="dxa"/>
            <w:shd w:val="clear" w:color="auto" w:fill="E7EBF5"/>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1</w:t>
            </w:r>
          </w:p>
        </w:tc>
        <w:tc>
          <w:tcPr>
            <w:tcW w:w="2249" w:type="dxa"/>
          </w:tcPr>
          <w:p>
            <w:pPr>
              <w:pStyle w:val="10"/>
              <w:spacing w:before="103" w:line="400" w:lineRule="exact"/>
              <w:jc w:val="both"/>
              <w:rPr>
                <w:rFonts w:eastAsia="宋体" w:cs="宋体"/>
                <w:sz w:val="24"/>
                <w:szCs w:val="24"/>
              </w:rPr>
            </w:pPr>
            <w:r>
              <w:rPr>
                <w:rFonts w:eastAsia="宋体" w:cs="宋体"/>
                <w:sz w:val="24"/>
                <w:szCs w:val="24"/>
              </w:rPr>
              <w:t>资格要求</w:t>
            </w:r>
          </w:p>
        </w:tc>
        <w:tc>
          <w:tcPr>
            <w:tcW w:w="6661" w:type="dxa"/>
            <w:vMerge w:val="restart"/>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监管框架中存在对破产管理人的预定义资格要求以及选择和解雇机制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2</w:t>
            </w:r>
          </w:p>
        </w:tc>
        <w:tc>
          <w:tcPr>
            <w:tcW w:w="2249" w:type="dxa"/>
          </w:tcPr>
          <w:p>
            <w:pPr>
              <w:pStyle w:val="10"/>
              <w:spacing w:before="103" w:line="400" w:lineRule="exact"/>
              <w:jc w:val="both"/>
              <w:rPr>
                <w:rFonts w:eastAsia="宋体" w:cs="宋体"/>
                <w:sz w:val="24"/>
                <w:szCs w:val="24"/>
              </w:rPr>
            </w:pPr>
            <w:r>
              <w:rPr>
                <w:rFonts w:eastAsia="宋体" w:cs="宋体"/>
                <w:sz w:val="24"/>
                <w:szCs w:val="24"/>
              </w:rPr>
              <w:t>取消资格的条件</w:t>
            </w:r>
          </w:p>
        </w:tc>
        <w:tc>
          <w:tcPr>
            <w:tcW w:w="6661" w:type="dxa"/>
            <w:vMerge w:val="continue"/>
            <w:tcBorders>
              <w:top w:val="nil"/>
            </w:tcBorders>
          </w:tcPr>
          <w:p>
            <w:pPr>
              <w:spacing w:line="400" w:lineRule="exact"/>
              <w:ind w:firstLine="480" w:firstLineChars="200"/>
              <w:jc w:val="both"/>
              <w:rPr>
                <w:rFonts w:eastAsia="宋体"/>
                <w:sz w:val="24"/>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3.</w:t>
            </w:r>
          </w:p>
        </w:tc>
        <w:tc>
          <w:tcPr>
            <w:tcW w:w="2249" w:type="dxa"/>
          </w:tcPr>
          <w:p>
            <w:pPr>
              <w:pStyle w:val="10"/>
              <w:spacing w:before="103" w:line="400" w:lineRule="exact"/>
              <w:jc w:val="both"/>
              <w:rPr>
                <w:rFonts w:eastAsia="宋体" w:cs="宋体"/>
                <w:sz w:val="24"/>
                <w:szCs w:val="24"/>
              </w:rPr>
            </w:pPr>
            <w:r>
              <w:rPr>
                <w:rFonts w:eastAsia="宋体" w:cs="宋体"/>
                <w:sz w:val="24"/>
                <w:szCs w:val="24"/>
              </w:rPr>
              <w:t>选拔</w:t>
            </w:r>
            <w:r>
              <w:rPr>
                <w:rFonts w:hint="eastAsia" w:eastAsia="宋体" w:cs="宋体"/>
                <w:sz w:val="24"/>
                <w:szCs w:val="24"/>
                <w:lang w:eastAsia="zh-CN"/>
              </w:rPr>
              <w:t>和</w:t>
            </w:r>
            <w:r>
              <w:rPr>
                <w:rFonts w:eastAsia="宋体" w:cs="宋体"/>
                <w:sz w:val="24"/>
                <w:szCs w:val="24"/>
              </w:rPr>
              <w:t>解聘机制</w:t>
            </w:r>
          </w:p>
        </w:tc>
        <w:tc>
          <w:tcPr>
            <w:tcW w:w="6661" w:type="dxa"/>
            <w:vMerge w:val="continue"/>
            <w:tcBorders>
              <w:top w:val="nil"/>
            </w:tcBorders>
          </w:tcPr>
          <w:p>
            <w:pPr>
              <w:spacing w:line="400" w:lineRule="exact"/>
              <w:ind w:firstLine="480" w:firstLineChars="200"/>
              <w:jc w:val="both"/>
              <w:rPr>
                <w:rFonts w:eastAsia="宋体"/>
                <w:sz w:val="24"/>
                <w:szCs w:val="2"/>
              </w:rPr>
            </w:pPr>
          </w:p>
        </w:tc>
      </w:tr>
    </w:tbl>
    <w:p>
      <w:pPr>
        <w:pStyle w:val="3"/>
        <w:spacing w:before="1" w:line="400" w:lineRule="exact"/>
        <w:ind w:firstLine="562" w:firstLineChars="200"/>
        <w:jc w:val="both"/>
        <w:rPr>
          <w:rFonts w:eastAsia="宋体"/>
          <w:b/>
          <w:sz w:val="28"/>
        </w:rPr>
      </w:pPr>
    </w:p>
    <w:p>
      <w:pPr>
        <w:pStyle w:val="2"/>
        <w:tabs>
          <w:tab w:val="left" w:pos="841"/>
        </w:tabs>
        <w:spacing w:after="120" w:afterLines="50" w:line="400" w:lineRule="exact"/>
        <w:ind w:left="0" w:firstLine="562" w:firstLineChars="200"/>
        <w:jc w:val="both"/>
        <w:rPr>
          <w:rFonts w:eastAsia="宋体"/>
          <w:sz w:val="28"/>
        </w:rPr>
      </w:pPr>
      <w:r>
        <w:rPr>
          <w:rFonts w:hint="eastAsia" w:eastAsia="宋体" w:cs="宋体"/>
          <w:sz w:val="28"/>
          <w:lang w:eastAsia="zh-CN"/>
        </w:rPr>
        <w:t>1.2资产与利益相关者</w:t>
      </w:r>
    </w:p>
    <w:p>
      <w:pPr>
        <w:pStyle w:val="3"/>
        <w:spacing w:line="400" w:lineRule="exact"/>
        <w:ind w:left="120" w:right="198" w:firstLine="560" w:firstLineChars="200"/>
        <w:jc w:val="both"/>
        <w:rPr>
          <w:rFonts w:eastAsia="宋体"/>
          <w:sz w:val="28"/>
          <w:lang w:eastAsia="zh-CN"/>
        </w:rPr>
      </w:pPr>
      <w:r>
        <w:rPr>
          <w:rFonts w:eastAsia="宋体" w:cs="宋体"/>
          <w:sz w:val="28"/>
          <w:lang w:eastAsia="zh-CN"/>
        </w:rPr>
        <w:t>类别1.2有两个子类别，由几个指标组成，每个指标又可能由几个组成部分组成。</w:t>
      </w:r>
    </w:p>
    <w:p>
      <w:pPr>
        <w:pStyle w:val="3"/>
        <w:spacing w:before="11" w:line="400" w:lineRule="exact"/>
        <w:ind w:firstLine="560" w:firstLineChars="200"/>
        <w:jc w:val="both"/>
        <w:rPr>
          <w:rFonts w:eastAsia="宋体"/>
          <w:sz w:val="28"/>
          <w:lang w:eastAsia="zh-CN"/>
        </w:r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1.2.1债务人资产的管理</w:t>
      </w:r>
    </w:p>
    <w:p>
      <w:pPr>
        <w:pStyle w:val="3"/>
        <w:spacing w:line="400" w:lineRule="exact"/>
        <w:ind w:left="120" w:right="195" w:firstLine="560" w:firstLineChars="200"/>
        <w:jc w:val="both"/>
        <w:rPr>
          <w:rFonts w:eastAsia="宋体"/>
          <w:sz w:val="28"/>
          <w:lang w:eastAsia="zh-CN"/>
        </w:rPr>
      </w:pPr>
      <w:r>
        <w:rPr>
          <w:rFonts w:eastAsia="宋体" w:cs="宋体"/>
          <w:sz w:val="28"/>
          <w:lang w:eastAsia="zh-CN"/>
        </w:rPr>
        <w:t>破产程序的主要目标是使债务人的资产最大化。</w:t>
      </w:r>
      <w:r>
        <w:rPr>
          <w:rFonts w:eastAsia="宋体" w:cs="宋体"/>
          <w:sz w:val="28"/>
          <w:vertAlign w:val="superscript"/>
          <w:lang w:eastAsia="zh-CN"/>
        </w:rPr>
        <w:t>14</w:t>
      </w:r>
      <w:r>
        <w:rPr>
          <w:rFonts w:eastAsia="宋体" w:cs="宋体"/>
          <w:sz w:val="28"/>
          <w:lang w:eastAsia="zh-CN"/>
        </w:rPr>
        <w:t>因此，能够实现这种最大化的</w:t>
      </w:r>
      <w:r>
        <w:rPr>
          <w:rFonts w:hint="eastAsia" w:eastAsia="宋体" w:cs="宋体"/>
          <w:sz w:val="28"/>
          <w:lang w:eastAsia="zh-CN"/>
        </w:rPr>
        <w:t>规定</w:t>
      </w:r>
      <w:r>
        <w:rPr>
          <w:rFonts w:eastAsia="宋体" w:cs="宋体"/>
          <w:sz w:val="28"/>
          <w:lang w:eastAsia="zh-CN"/>
        </w:rPr>
        <w:t>是设计破产法律框架良好运作的关键。</w:t>
      </w:r>
      <w:r>
        <w:rPr>
          <w:rFonts w:hint="eastAsia" w:eastAsia="宋体" w:cs="宋体"/>
          <w:sz w:val="28"/>
          <w:lang w:eastAsia="zh-CN"/>
        </w:rPr>
        <w:t>健全的破产制度在破产活动中会保护破产资产，并在清算或重组程序结束时实现债权人的平等分配。</w:t>
      </w:r>
      <w:r>
        <w:rPr>
          <w:rFonts w:eastAsia="宋体" w:cs="宋体"/>
          <w:sz w:val="28"/>
          <w:vertAlign w:val="superscript"/>
          <w:lang w:eastAsia="zh-CN"/>
        </w:rPr>
        <w:t>15</w:t>
      </w:r>
      <w:r>
        <w:rPr>
          <w:rFonts w:eastAsia="宋体" w:cs="宋体"/>
          <w:spacing w:val="-9"/>
          <w:sz w:val="28"/>
          <w:lang w:eastAsia="zh-CN"/>
        </w:rPr>
        <w:t>。</w:t>
      </w:r>
      <w:r>
        <w:rPr>
          <w:rFonts w:eastAsia="宋体" w:cs="宋体"/>
          <w:sz w:val="28"/>
          <w:lang w:eastAsia="zh-CN"/>
        </w:rPr>
        <w:t>因此，规定应防止债权人过早收回个人债务，</w:t>
      </w:r>
      <w:r>
        <w:rPr>
          <w:rFonts w:eastAsia="宋体" w:cs="宋体"/>
          <w:sz w:val="28"/>
          <w:vertAlign w:val="superscript"/>
          <w:lang w:eastAsia="zh-CN"/>
        </w:rPr>
        <w:t>16</w:t>
      </w:r>
      <w:r>
        <w:rPr>
          <w:rFonts w:eastAsia="宋体" w:cs="宋体"/>
          <w:spacing w:val="-14"/>
          <w:sz w:val="28"/>
          <w:lang w:eastAsia="zh-CN"/>
        </w:rPr>
        <w:t>并为债务人企业的继续经营或生存</w:t>
      </w:r>
      <w:r>
        <w:rPr>
          <w:rFonts w:hint="eastAsia" w:eastAsia="宋体" w:cs="宋体"/>
          <w:spacing w:val="-14"/>
          <w:sz w:val="28"/>
          <w:lang w:eastAsia="zh-CN"/>
        </w:rPr>
        <w:t>，</w:t>
      </w:r>
      <w:r>
        <w:rPr>
          <w:rFonts w:eastAsia="宋体" w:cs="宋体"/>
          <w:spacing w:val="-14"/>
          <w:sz w:val="28"/>
          <w:lang w:eastAsia="zh-CN"/>
        </w:rPr>
        <w:t>或对遗产价值的提高进行保全提供必要的机制。</w:t>
      </w:r>
      <w:r>
        <w:rPr>
          <w:rFonts w:eastAsia="宋体" w:cs="宋体"/>
          <w:sz w:val="28"/>
          <w:vertAlign w:val="superscript"/>
          <w:lang w:eastAsia="zh-CN"/>
        </w:rPr>
        <w:t>17</w:t>
      </w:r>
      <w:r>
        <w:rPr>
          <w:rFonts w:eastAsia="宋体" w:cs="宋体"/>
          <w:sz w:val="28"/>
          <w:lang w:eastAsia="zh-CN"/>
        </w:rPr>
        <w:t>为此，破产框架应规定解决正在进行的诉讼或索赔</w:t>
      </w:r>
      <w:r>
        <w:rPr>
          <w:rFonts w:hint="eastAsia" w:eastAsia="宋体" w:cs="宋体"/>
          <w:sz w:val="28"/>
          <w:lang w:eastAsia="zh-CN"/>
        </w:rPr>
        <w:t>机制</w:t>
      </w:r>
      <w:r>
        <w:rPr>
          <w:rFonts w:eastAsia="宋体" w:cs="宋体"/>
          <w:sz w:val="28"/>
          <w:lang w:eastAsia="zh-CN"/>
        </w:rPr>
        <w:t>，</w:t>
      </w:r>
      <w:r>
        <w:rPr>
          <w:rFonts w:eastAsia="宋体" w:cs="宋体"/>
          <w:sz w:val="28"/>
          <w:vertAlign w:val="superscript"/>
          <w:lang w:eastAsia="zh-CN"/>
        </w:rPr>
        <w:t>18</w:t>
      </w:r>
      <w:r>
        <w:rPr>
          <w:rFonts w:hint="eastAsia" w:eastAsia="宋体" w:cs="宋体"/>
          <w:sz w:val="28"/>
          <w:lang w:eastAsia="zh-CN"/>
        </w:rPr>
        <w:t>同时也要考虑到尚未完全履行的合同和必要的后期资金</w:t>
      </w:r>
      <w:r>
        <w:rPr>
          <w:rFonts w:eastAsia="宋体" w:cs="宋体"/>
          <w:sz w:val="28"/>
          <w:lang w:eastAsia="zh-CN"/>
        </w:rPr>
        <w:t>。</w:t>
      </w:r>
      <w:r>
        <w:rPr>
          <w:rFonts w:eastAsia="宋体" w:cs="宋体"/>
          <w:sz w:val="28"/>
          <w:vertAlign w:val="superscript"/>
          <w:lang w:eastAsia="zh-CN"/>
        </w:rPr>
        <w:t>19</w:t>
      </w:r>
      <w:r>
        <w:rPr>
          <w:rFonts w:eastAsia="宋体" w:cs="宋体"/>
          <w:sz w:val="28"/>
          <w:lang w:eastAsia="zh-CN"/>
        </w:rPr>
        <w:t>在破产程序期间</w:t>
      </w:r>
      <w:r>
        <w:rPr>
          <w:rFonts w:hint="eastAsia" w:eastAsia="宋体" w:cs="宋体"/>
          <w:sz w:val="28"/>
          <w:lang w:eastAsia="zh-CN"/>
        </w:rPr>
        <w:t>，</w:t>
      </w:r>
      <w:r>
        <w:rPr>
          <w:rFonts w:eastAsia="宋体" w:cs="宋体"/>
          <w:sz w:val="28"/>
          <w:lang w:eastAsia="zh-CN"/>
        </w:rPr>
        <w:t>实施</w:t>
      </w:r>
      <w:r>
        <w:rPr>
          <w:rFonts w:hint="eastAsia" w:eastAsia="宋体" w:cs="宋体"/>
          <w:sz w:val="28"/>
          <w:lang w:eastAsia="zh-CN"/>
        </w:rPr>
        <w:t>高效且</w:t>
      </w:r>
      <w:r>
        <w:rPr>
          <w:rFonts w:eastAsia="宋体" w:cs="宋体"/>
          <w:sz w:val="28"/>
          <w:lang w:eastAsia="zh-CN"/>
        </w:rPr>
        <w:t>透明的管理债务人资产的监管机制，</w:t>
      </w:r>
      <w:r>
        <w:rPr>
          <w:rFonts w:hint="eastAsia" w:eastAsia="宋体" w:cs="宋体"/>
          <w:sz w:val="28"/>
          <w:lang w:eastAsia="zh-CN"/>
        </w:rPr>
        <w:t>可能会提</w:t>
      </w:r>
      <w:r>
        <w:rPr>
          <w:rFonts w:eastAsia="宋体" w:cs="宋体"/>
          <w:sz w:val="28"/>
          <w:lang w:eastAsia="zh-CN"/>
        </w:rPr>
        <w:t>高</w:t>
      </w:r>
      <w:r>
        <w:rPr>
          <w:rFonts w:hint="eastAsia" w:eastAsia="宋体" w:cs="宋体"/>
          <w:sz w:val="28"/>
          <w:lang w:eastAsia="zh-CN"/>
        </w:rPr>
        <w:t>偿还率</w:t>
      </w:r>
      <w:r>
        <w:rPr>
          <w:rFonts w:eastAsia="宋体" w:cs="宋体"/>
          <w:sz w:val="28"/>
          <w:lang w:eastAsia="zh-CN"/>
        </w:rPr>
        <w:t>。</w:t>
      </w:r>
      <w:r>
        <w:rPr>
          <w:rFonts w:eastAsia="宋体" w:cs="宋体"/>
          <w:sz w:val="28"/>
          <w:vertAlign w:val="superscript"/>
          <w:lang w:eastAsia="zh-CN"/>
        </w:rPr>
        <w:t>20</w:t>
      </w:r>
      <w:r>
        <w:rPr>
          <w:rFonts w:eastAsia="宋体" w:cs="宋体"/>
          <w:sz w:val="28"/>
          <w:lang w:eastAsia="zh-CN"/>
        </w:rPr>
        <w:t>因此，子类别1.2.1 -债务人资产管理包括六个指标(表6)。</w:t>
      </w:r>
    </w:p>
    <w:p>
      <w:pPr>
        <w:spacing w:before="215" w:line="400" w:lineRule="exact"/>
        <w:jc w:val="center"/>
        <w:rPr>
          <w:rFonts w:eastAsia="宋体" w:cs="宋体"/>
          <w:b/>
          <w:sz w:val="28"/>
          <w:lang w:eastAsia="zh-CN"/>
        </w:rPr>
      </w:pPr>
      <w:r>
        <w:rPr>
          <w:rFonts w:eastAsia="宋体" w:cs="宋体"/>
          <w:b/>
          <w:sz w:val="28"/>
          <w:lang w:eastAsia="zh-CN"/>
        </w:rPr>
        <w:t>表6</w:t>
      </w:r>
      <w:r>
        <w:rPr>
          <w:rFonts w:hint="eastAsia" w:eastAsia="宋体" w:cs="宋体"/>
          <w:b/>
          <w:sz w:val="28"/>
          <w:lang w:val="en-US" w:eastAsia="zh-CN"/>
        </w:rPr>
        <w:t xml:space="preserve">. </w:t>
      </w:r>
      <w:r>
        <w:rPr>
          <w:rFonts w:eastAsia="宋体" w:cs="宋体"/>
          <w:b/>
          <w:sz w:val="28"/>
          <w:lang w:eastAsia="zh-CN"/>
        </w:rPr>
        <w:t>子类别1.2.1</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债务人资产的管理</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0"/>
              <w:spacing w:line="400" w:lineRule="exact"/>
              <w:ind w:left="0" w:firstLine="560" w:firstLineChars="200"/>
              <w:jc w:val="both"/>
              <w:rPr>
                <w:rFonts w:eastAsia="宋体"/>
                <w:sz w:val="28"/>
                <w:lang w:eastAsia="zh-CN"/>
              </w:rPr>
            </w:pPr>
          </w:p>
        </w:tc>
        <w:tc>
          <w:tcPr>
            <w:tcW w:w="2249" w:type="dxa"/>
            <w:shd w:val="clear" w:color="auto" w:fill="E7EBF5"/>
          </w:tcPr>
          <w:p>
            <w:pPr>
              <w:pStyle w:val="10"/>
              <w:spacing w:line="400" w:lineRule="exact"/>
              <w:jc w:val="both"/>
              <w:rPr>
                <w:rFonts w:eastAsia="宋体"/>
                <w:b/>
                <w:sz w:val="24"/>
                <w:szCs w:val="24"/>
              </w:rPr>
            </w:pPr>
            <w:r>
              <w:rPr>
                <w:rFonts w:eastAsia="宋体" w:cs="宋体"/>
                <w:b/>
                <w:spacing w:val="-2"/>
                <w:sz w:val="24"/>
                <w:szCs w:val="24"/>
              </w:rPr>
              <w:t>指标</w:t>
            </w:r>
          </w:p>
        </w:tc>
        <w:tc>
          <w:tcPr>
            <w:tcW w:w="6661" w:type="dxa"/>
            <w:shd w:val="clear" w:color="auto" w:fill="E7EBF5"/>
          </w:tcPr>
          <w:p>
            <w:pPr>
              <w:pStyle w:val="10"/>
              <w:spacing w:line="400" w:lineRule="exact"/>
              <w:jc w:val="both"/>
              <w:rPr>
                <w:rFonts w:eastAsia="宋体"/>
                <w:b/>
                <w:sz w:val="24"/>
                <w:szCs w:val="24"/>
                <w:lang w:eastAsia="zh-CN"/>
              </w:rPr>
            </w:pPr>
            <w:r>
              <w:rPr>
                <w:rFonts w:hint="eastAsia" w:eastAsia="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1</w:t>
            </w:r>
          </w:p>
        </w:tc>
        <w:tc>
          <w:tcPr>
            <w:tcW w:w="2249" w:type="dxa"/>
          </w:tcPr>
          <w:p>
            <w:pPr>
              <w:pStyle w:val="10"/>
              <w:spacing w:before="103" w:line="400" w:lineRule="exact"/>
              <w:jc w:val="both"/>
              <w:rPr>
                <w:rFonts w:eastAsia="宋体" w:cs="宋体"/>
                <w:sz w:val="24"/>
                <w:szCs w:val="24"/>
              </w:rPr>
            </w:pPr>
            <w:r>
              <w:rPr>
                <w:rFonts w:hint="eastAsia" w:eastAsia="宋体" w:cs="宋体"/>
                <w:sz w:val="24"/>
                <w:szCs w:val="24"/>
              </w:rPr>
              <w:t>诉讼程序自动中止</w:t>
            </w:r>
          </w:p>
        </w:tc>
        <w:tc>
          <w:tcPr>
            <w:tcW w:w="6661" w:type="dxa"/>
            <w:vMerge w:val="restart"/>
          </w:tcPr>
          <w:p>
            <w:pPr>
              <w:pStyle w:val="10"/>
              <w:spacing w:before="103" w:line="400" w:lineRule="exact"/>
              <w:jc w:val="both"/>
              <w:rPr>
                <w:rFonts w:eastAsia="宋体" w:cs="宋体"/>
                <w:sz w:val="24"/>
                <w:szCs w:val="24"/>
              </w:rPr>
            </w:pPr>
          </w:p>
          <w:p>
            <w:pPr>
              <w:pStyle w:val="10"/>
              <w:spacing w:before="103" w:line="400" w:lineRule="exact"/>
              <w:jc w:val="both"/>
              <w:rPr>
                <w:rFonts w:eastAsia="宋体" w:cs="宋体"/>
                <w:sz w:val="24"/>
                <w:szCs w:val="24"/>
                <w:lang w:eastAsia="zh-CN"/>
              </w:rPr>
            </w:pPr>
            <w:r>
              <w:rPr>
                <w:rFonts w:eastAsia="宋体" w:cs="宋体"/>
                <w:sz w:val="24"/>
                <w:szCs w:val="24"/>
                <w:lang w:eastAsia="zh-CN"/>
              </w:rPr>
              <w:t>暂停诉讼程序的全面制度的主要特点，包括公共政策利益等例外情况。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0"/>
              <w:spacing w:before="103" w:line="400" w:lineRule="exact"/>
              <w:jc w:val="both"/>
              <w:rPr>
                <w:rFonts w:eastAsia="宋体" w:cs="宋体"/>
                <w:sz w:val="24"/>
                <w:szCs w:val="24"/>
                <w:lang w:eastAsia="zh-CN"/>
              </w:rPr>
            </w:pPr>
          </w:p>
          <w:p>
            <w:pPr>
              <w:pStyle w:val="10"/>
              <w:spacing w:before="103" w:line="400" w:lineRule="exact"/>
              <w:jc w:val="both"/>
              <w:rPr>
                <w:rFonts w:eastAsia="宋体" w:cs="宋体"/>
                <w:sz w:val="24"/>
                <w:szCs w:val="24"/>
              </w:rPr>
            </w:pPr>
            <w:r>
              <w:rPr>
                <w:rFonts w:eastAsia="宋体" w:cs="宋体"/>
                <w:sz w:val="24"/>
                <w:szCs w:val="24"/>
              </w:rPr>
              <w:t>2</w:t>
            </w:r>
          </w:p>
        </w:tc>
        <w:tc>
          <w:tcPr>
            <w:tcW w:w="2249"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自动</w:t>
            </w:r>
            <w:r>
              <w:rPr>
                <w:rFonts w:hint="eastAsia" w:eastAsia="宋体" w:cs="宋体"/>
                <w:sz w:val="24"/>
                <w:szCs w:val="24"/>
                <w:lang w:eastAsia="zh-CN"/>
              </w:rPr>
              <w:t>停止诉讼程序</w:t>
            </w:r>
            <w:r>
              <w:rPr>
                <w:rFonts w:eastAsia="宋体" w:cs="宋体"/>
                <w:sz w:val="24"/>
                <w:szCs w:val="24"/>
                <w:lang w:eastAsia="zh-CN"/>
              </w:rPr>
              <w:t>的例外和救济</w:t>
            </w:r>
          </w:p>
          <w:p>
            <w:pPr>
              <w:pStyle w:val="10"/>
              <w:spacing w:before="103" w:line="400" w:lineRule="exact"/>
              <w:jc w:val="both"/>
              <w:rPr>
                <w:rFonts w:eastAsia="宋体" w:cs="宋体"/>
                <w:sz w:val="24"/>
                <w:szCs w:val="24"/>
                <w:lang w:eastAsia="zh-CN"/>
              </w:rPr>
            </w:pPr>
          </w:p>
        </w:tc>
        <w:tc>
          <w:tcPr>
            <w:tcW w:w="6661" w:type="dxa"/>
            <w:vMerge w:val="continue"/>
            <w:tcBorders>
              <w:top w:val="nil"/>
            </w:tcBorders>
          </w:tcPr>
          <w:p>
            <w:pPr>
              <w:pStyle w:val="10"/>
              <w:spacing w:before="103"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3.</w:t>
            </w:r>
          </w:p>
        </w:tc>
        <w:tc>
          <w:tcPr>
            <w:tcW w:w="2249" w:type="dxa"/>
          </w:tcPr>
          <w:p>
            <w:pPr>
              <w:pStyle w:val="10"/>
              <w:spacing w:before="103" w:line="400" w:lineRule="exact"/>
              <w:jc w:val="both"/>
              <w:rPr>
                <w:rFonts w:eastAsia="宋体" w:cs="宋体"/>
                <w:sz w:val="24"/>
                <w:szCs w:val="24"/>
              </w:rPr>
            </w:pPr>
            <w:r>
              <w:rPr>
                <w:rFonts w:eastAsia="宋体" w:cs="宋体"/>
                <w:sz w:val="24"/>
                <w:szCs w:val="24"/>
              </w:rPr>
              <w:t>现有基本合同的延续</w:t>
            </w:r>
          </w:p>
        </w:tc>
        <w:tc>
          <w:tcPr>
            <w:tcW w:w="6661" w:type="dxa"/>
            <w:vMerge w:val="restart"/>
          </w:tcPr>
          <w:p>
            <w:pPr>
              <w:pStyle w:val="10"/>
              <w:spacing w:before="103" w:line="400" w:lineRule="exact"/>
              <w:jc w:val="both"/>
              <w:rPr>
                <w:rFonts w:eastAsia="宋体" w:cs="宋体"/>
                <w:sz w:val="24"/>
                <w:szCs w:val="24"/>
                <w:lang w:eastAsia="zh-CN"/>
              </w:rPr>
            </w:pPr>
            <w:r>
              <w:rPr>
                <w:rFonts w:eastAsia="宋体" w:cs="宋体"/>
                <w:sz w:val="24"/>
                <w:szCs w:val="24"/>
                <w:lang w:eastAsia="zh-CN"/>
              </w:rPr>
              <w:t>是否存在规定:在破产程序期间，对债务人的业务至关重要的合同</w:t>
            </w:r>
            <w:r>
              <w:rPr>
                <w:rFonts w:hint="eastAsia" w:eastAsia="宋体" w:cs="宋体"/>
                <w:sz w:val="24"/>
                <w:szCs w:val="24"/>
                <w:lang w:eastAsia="zh-CN"/>
              </w:rPr>
              <w:t>是否</w:t>
            </w:r>
            <w:r>
              <w:rPr>
                <w:rFonts w:eastAsia="宋体" w:cs="宋体"/>
                <w:sz w:val="24"/>
                <w:szCs w:val="24"/>
                <w:lang w:eastAsia="zh-CN"/>
              </w:rPr>
              <w:t>可以继续</w:t>
            </w:r>
          </w:p>
          <w:p>
            <w:pPr>
              <w:pStyle w:val="10"/>
              <w:spacing w:before="103" w:line="400" w:lineRule="exact"/>
              <w:jc w:val="both"/>
              <w:rPr>
                <w:rFonts w:eastAsia="宋体" w:cs="宋体"/>
                <w:sz w:val="24"/>
                <w:szCs w:val="24"/>
                <w:lang w:eastAsia="zh-CN"/>
              </w:rPr>
            </w:pPr>
            <w:r>
              <w:rPr>
                <w:rFonts w:eastAsia="宋体" w:cs="宋体"/>
                <w:sz w:val="24"/>
                <w:szCs w:val="24"/>
                <w:lang w:eastAsia="zh-CN"/>
              </w:rPr>
              <w:t>对公司造成负担的合同可以在破产程序中被拒绝</w:t>
            </w:r>
            <w:r>
              <w:rPr>
                <w:rFonts w:hint="eastAsia" w:eastAsia="宋体" w:cs="宋体"/>
                <w:sz w:val="24"/>
                <w:szCs w:val="24"/>
                <w:lang w:eastAsia="zh-CN"/>
              </w:rPr>
              <w:t>可以取消优先</w:t>
            </w:r>
            <w:r>
              <w:rPr>
                <w:rFonts w:eastAsia="宋体" w:cs="宋体"/>
                <w:sz w:val="24"/>
                <w:szCs w:val="24"/>
                <w:lang w:eastAsia="zh-CN"/>
              </w:rPr>
              <w:t>和低估交易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4</w:t>
            </w:r>
          </w:p>
        </w:tc>
        <w:tc>
          <w:tcPr>
            <w:tcW w:w="2249"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拒绝现有的繁重合同和资产</w:t>
            </w:r>
          </w:p>
        </w:tc>
        <w:tc>
          <w:tcPr>
            <w:tcW w:w="6661" w:type="dxa"/>
            <w:vMerge w:val="continue"/>
            <w:tcBorders>
              <w:top w:val="nil"/>
            </w:tcBorders>
          </w:tcPr>
          <w:p>
            <w:pPr>
              <w:pStyle w:val="10"/>
              <w:spacing w:before="103"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5</w:t>
            </w:r>
          </w:p>
        </w:tc>
        <w:tc>
          <w:tcPr>
            <w:tcW w:w="2249" w:type="dxa"/>
          </w:tcPr>
          <w:p>
            <w:pPr>
              <w:pStyle w:val="10"/>
              <w:spacing w:before="103" w:line="400" w:lineRule="exact"/>
              <w:jc w:val="both"/>
              <w:rPr>
                <w:rFonts w:eastAsia="宋体" w:cs="宋体"/>
                <w:sz w:val="24"/>
                <w:szCs w:val="24"/>
              </w:rPr>
            </w:pPr>
            <w:r>
              <w:rPr>
                <w:rFonts w:hint="eastAsia" w:eastAsia="宋体" w:cs="宋体"/>
                <w:sz w:val="24"/>
                <w:szCs w:val="24"/>
                <w:lang w:eastAsia="zh-CN"/>
              </w:rPr>
              <w:t>取消优先</w:t>
            </w:r>
            <w:r>
              <w:rPr>
                <w:rFonts w:eastAsia="宋体" w:cs="宋体"/>
                <w:sz w:val="24"/>
                <w:szCs w:val="24"/>
              </w:rPr>
              <w:t>和低估交易</w:t>
            </w:r>
          </w:p>
        </w:tc>
        <w:tc>
          <w:tcPr>
            <w:tcW w:w="6661" w:type="dxa"/>
            <w:vMerge w:val="continue"/>
            <w:tcBorders>
              <w:top w:val="nil"/>
            </w:tcBorders>
          </w:tcPr>
          <w:p>
            <w:pPr>
              <w:pStyle w:val="10"/>
              <w:spacing w:before="103" w:line="400" w:lineRule="exact"/>
              <w:jc w:val="both"/>
              <w:rPr>
                <w:rFonts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6</w:t>
            </w:r>
          </w:p>
        </w:tc>
        <w:tc>
          <w:tcPr>
            <w:tcW w:w="2249" w:type="dxa"/>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开庭后</w:t>
            </w:r>
            <w:r>
              <w:rPr>
                <w:rFonts w:eastAsia="宋体" w:cs="宋体"/>
                <w:sz w:val="24"/>
                <w:szCs w:val="24"/>
                <w:lang w:eastAsia="zh-CN"/>
              </w:rPr>
              <w:t>信贷可</w:t>
            </w:r>
            <w:r>
              <w:rPr>
                <w:rFonts w:hint="eastAsia" w:eastAsia="宋体" w:cs="宋体"/>
                <w:sz w:val="24"/>
                <w:szCs w:val="24"/>
                <w:lang w:eastAsia="zh-CN"/>
              </w:rPr>
              <w:t>用性</w:t>
            </w:r>
            <w:r>
              <w:rPr>
                <w:rFonts w:eastAsia="宋体" w:cs="宋体"/>
                <w:sz w:val="24"/>
                <w:szCs w:val="24"/>
                <w:lang w:eastAsia="zh-CN"/>
              </w:rPr>
              <w:t>和优先</w:t>
            </w:r>
            <w:r>
              <w:rPr>
                <w:rFonts w:hint="eastAsia" w:eastAsia="宋体" w:cs="宋体"/>
                <w:sz w:val="24"/>
                <w:szCs w:val="24"/>
                <w:lang w:eastAsia="zh-CN"/>
              </w:rPr>
              <w:t>权</w:t>
            </w:r>
          </w:p>
        </w:tc>
        <w:tc>
          <w:tcPr>
            <w:tcW w:w="6661"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是否存在一种机制，允许潜在债务人</w:t>
            </w:r>
            <w:r>
              <w:rPr>
                <w:rFonts w:hint="eastAsia" w:eastAsia="宋体" w:cs="宋体"/>
                <w:sz w:val="24"/>
                <w:szCs w:val="24"/>
                <w:lang w:eastAsia="zh-CN"/>
              </w:rPr>
              <w:t>在</w:t>
            </w:r>
            <w:r>
              <w:rPr>
                <w:rFonts w:eastAsia="宋体" w:cs="宋体"/>
                <w:sz w:val="24"/>
                <w:szCs w:val="24"/>
                <w:lang w:eastAsia="zh-CN"/>
              </w:rPr>
              <w:t>正式破产程序启动后获得信贷</w:t>
            </w:r>
            <w:r>
              <w:rPr>
                <w:rFonts w:hint="eastAsia" w:eastAsia="宋体" w:cs="宋体"/>
                <w:sz w:val="24"/>
                <w:szCs w:val="24"/>
                <w:lang w:eastAsia="zh-CN"/>
              </w:rPr>
              <w:t>，</w:t>
            </w:r>
            <w:r>
              <w:rPr>
                <w:rFonts w:eastAsia="宋体" w:cs="宋体"/>
                <w:sz w:val="24"/>
                <w:szCs w:val="24"/>
                <w:lang w:eastAsia="zh-CN"/>
              </w:rPr>
              <w:t>除了预先定义的与此类开庭后信贷相关的优先权外</w:t>
            </w:r>
          </w:p>
        </w:tc>
      </w:tr>
    </w:tbl>
    <w:p>
      <w:pPr>
        <w:spacing w:line="400" w:lineRule="exact"/>
        <w:ind w:firstLine="560" w:firstLineChars="200"/>
        <w:jc w:val="both"/>
        <w:rPr>
          <w:rFonts w:eastAsia="宋体"/>
          <w:sz w:val="28"/>
          <w:lang w:eastAsia="zh-CN"/>
        </w:rPr>
        <w:sectPr>
          <w:pgSz w:w="12240" w:h="15840"/>
          <w:pgMar w:top="1360" w:right="1240" w:bottom="280" w:left="1320" w:header="720" w:footer="720" w:gutter="0"/>
          <w:cols w:space="720" w:num="1"/>
        </w:sect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1.2.2债权人参与</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债权人对债务人的业务</w:t>
      </w:r>
      <w:r>
        <w:rPr>
          <w:rFonts w:eastAsia="宋体" w:cs="宋体"/>
          <w:sz w:val="28"/>
          <w:vertAlign w:val="superscript"/>
          <w:lang w:eastAsia="zh-CN"/>
        </w:rPr>
        <w:t>21</w:t>
      </w:r>
      <w:r>
        <w:rPr>
          <w:rFonts w:eastAsia="宋体" w:cs="宋体"/>
          <w:sz w:val="28"/>
          <w:lang w:eastAsia="zh-CN"/>
        </w:rPr>
        <w:t>和资产有重大利益。</w:t>
      </w:r>
      <w:r>
        <w:rPr>
          <w:rFonts w:eastAsia="宋体" w:cs="宋体"/>
          <w:sz w:val="28"/>
          <w:vertAlign w:val="superscript"/>
          <w:lang w:eastAsia="zh-CN"/>
        </w:rPr>
        <w:t>22</w:t>
      </w:r>
      <w:r>
        <w:rPr>
          <w:rFonts w:eastAsia="宋体" w:cs="宋体"/>
          <w:sz w:val="28"/>
          <w:lang w:eastAsia="zh-CN"/>
        </w:rPr>
        <w:t>因此，重要的是，一方面要</w:t>
      </w:r>
      <w:r>
        <w:rPr>
          <w:rFonts w:hint="eastAsia" w:eastAsia="宋体" w:cs="宋体"/>
          <w:sz w:val="28"/>
          <w:lang w:eastAsia="zh-CN"/>
        </w:rPr>
        <w:t>面确保债权人的权利和利益得到明确定义和保护</w:t>
      </w:r>
      <w:r>
        <w:rPr>
          <w:rFonts w:eastAsia="宋体" w:cs="宋体"/>
          <w:sz w:val="28"/>
          <w:lang w:eastAsia="zh-CN"/>
        </w:rPr>
        <w:t>，另一方面要确保债权人代表机制保持</w:t>
      </w:r>
      <w:r>
        <w:rPr>
          <w:rFonts w:hint="eastAsia" w:eastAsia="宋体" w:cs="宋体"/>
          <w:sz w:val="28"/>
          <w:lang w:eastAsia="zh-CN"/>
        </w:rPr>
        <w:t>高效</w:t>
      </w:r>
      <w:r>
        <w:rPr>
          <w:rFonts w:eastAsia="宋体" w:cs="宋体"/>
          <w:sz w:val="28"/>
          <w:lang w:eastAsia="zh-CN"/>
        </w:rPr>
        <w:t>和成本效益。</w:t>
      </w:r>
      <w:r>
        <w:rPr>
          <w:rFonts w:eastAsia="宋体" w:cs="宋体"/>
          <w:sz w:val="28"/>
          <w:vertAlign w:val="superscript"/>
          <w:lang w:eastAsia="zh-CN"/>
        </w:rPr>
        <w:t>23</w:t>
      </w:r>
      <w:r>
        <w:rPr>
          <w:rFonts w:eastAsia="宋体" w:cs="宋体"/>
          <w:sz w:val="28"/>
          <w:lang w:eastAsia="zh-CN"/>
        </w:rPr>
        <w:t>这种关系越平衡，破产程序就越成功，因为债权人合作的可能性越大，从而对破产程序可能被滥用的情况进行检查，并促进破产程序的实施。</w:t>
      </w:r>
      <w:r>
        <w:rPr>
          <w:rFonts w:eastAsia="宋体" w:cs="宋体"/>
          <w:sz w:val="28"/>
          <w:vertAlign w:val="superscript"/>
          <w:lang w:eastAsia="zh-CN"/>
        </w:rPr>
        <w:t>24</w:t>
      </w:r>
      <w:r>
        <w:rPr>
          <w:rFonts w:eastAsia="宋体" w:cs="宋体"/>
          <w:sz w:val="28"/>
          <w:lang w:eastAsia="zh-CN"/>
        </w:rPr>
        <w:t>因此，</w:t>
      </w:r>
      <w:r>
        <w:rPr>
          <w:rFonts w:hint="eastAsia" w:eastAsia="宋体" w:cs="宋体"/>
          <w:sz w:val="28"/>
          <w:lang w:eastAsia="zh-CN"/>
        </w:rPr>
        <w:t>债权人的排名、待遇以及在程序内的必要代表也是这种债权人代表机制的重要组成部分</w:t>
      </w:r>
      <w:r>
        <w:rPr>
          <w:rFonts w:eastAsia="宋体" w:cs="宋体"/>
          <w:sz w:val="28"/>
          <w:lang w:eastAsia="zh-CN"/>
        </w:rPr>
        <w:t>。此外，特定类型的无担保债权人(如环境</w:t>
      </w:r>
      <w:r>
        <w:rPr>
          <w:rFonts w:eastAsia="宋体" w:cs="宋体"/>
          <w:sz w:val="28"/>
          <w:vertAlign w:val="superscript"/>
          <w:lang w:eastAsia="zh-CN"/>
        </w:rPr>
        <w:t>25</w:t>
      </w:r>
      <w:r>
        <w:rPr>
          <w:rFonts w:eastAsia="宋体" w:cs="宋体"/>
          <w:sz w:val="28"/>
          <w:lang w:eastAsia="zh-CN"/>
        </w:rPr>
        <w:t>或工人)的优先次序，以及劳工债权的特殊制度的存在，</w:t>
      </w:r>
      <w:r>
        <w:rPr>
          <w:rFonts w:hint="eastAsia" w:eastAsia="宋体" w:cs="宋体"/>
          <w:sz w:val="28"/>
          <w:lang w:eastAsia="zh-CN"/>
        </w:rPr>
        <w:t>早已被认为是破产程序的基本组成部分</w:t>
      </w:r>
      <w:r>
        <w:rPr>
          <w:rFonts w:eastAsia="宋体" w:cs="宋体"/>
          <w:sz w:val="28"/>
          <w:lang w:eastAsia="zh-CN"/>
        </w:rPr>
        <w:t>。</w:t>
      </w:r>
      <w:r>
        <w:rPr>
          <w:rFonts w:eastAsia="宋体" w:cs="宋体"/>
          <w:sz w:val="28"/>
          <w:vertAlign w:val="superscript"/>
          <w:lang w:eastAsia="zh-CN"/>
        </w:rPr>
        <w:t>26</w:t>
      </w:r>
      <w:r>
        <w:rPr>
          <w:rFonts w:eastAsia="宋体" w:cs="宋体"/>
          <w:sz w:val="28"/>
          <w:lang w:eastAsia="zh-CN"/>
        </w:rPr>
        <w:t>这些指标衡量的是债权人是否参与破产程序中的重要决策，例如是否存在债权人代表。因此，子类别1.2.2 -债权人参与包括五个指标(表7)。</w:t>
      </w:r>
    </w:p>
    <w:p>
      <w:pPr>
        <w:spacing w:before="215" w:line="400" w:lineRule="exact"/>
        <w:jc w:val="center"/>
        <w:rPr>
          <w:rFonts w:eastAsia="宋体" w:cs="宋体"/>
          <w:b/>
          <w:sz w:val="28"/>
          <w:lang w:eastAsia="zh-CN"/>
        </w:rPr>
      </w:pPr>
      <w:r>
        <w:rPr>
          <w:rFonts w:eastAsia="宋体" w:cs="宋体"/>
          <w:b/>
          <w:sz w:val="28"/>
          <w:lang w:eastAsia="zh-CN"/>
        </w:rPr>
        <w:t>表7</w:t>
      </w:r>
      <w:r>
        <w:rPr>
          <w:rFonts w:hint="eastAsia" w:eastAsia="宋体" w:cs="宋体"/>
          <w:b/>
          <w:sz w:val="28"/>
          <w:lang w:val="en-US" w:eastAsia="zh-CN"/>
        </w:rPr>
        <w:t xml:space="preserve">. </w:t>
      </w:r>
      <w:r>
        <w:rPr>
          <w:rFonts w:eastAsia="宋体" w:cs="宋体"/>
          <w:b/>
          <w:sz w:val="28"/>
          <w:lang w:eastAsia="zh-CN"/>
        </w:rPr>
        <w:t>子类别1.2.2</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债权人参与</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0"/>
              <w:spacing w:line="400" w:lineRule="exact"/>
              <w:ind w:left="0" w:firstLine="560" w:firstLineChars="200"/>
              <w:jc w:val="both"/>
              <w:rPr>
                <w:rFonts w:eastAsia="宋体"/>
                <w:sz w:val="28"/>
                <w:lang w:eastAsia="zh-CN"/>
              </w:rPr>
            </w:pPr>
          </w:p>
        </w:tc>
        <w:tc>
          <w:tcPr>
            <w:tcW w:w="2249" w:type="dxa"/>
            <w:shd w:val="clear" w:color="auto" w:fill="E7EBF5"/>
            <w:vAlign w:val="center"/>
          </w:tcPr>
          <w:p>
            <w:pPr>
              <w:pStyle w:val="10"/>
              <w:spacing w:line="400" w:lineRule="exact"/>
              <w:jc w:val="both"/>
              <w:rPr>
                <w:rFonts w:eastAsia="宋体"/>
                <w:b/>
                <w:sz w:val="24"/>
                <w:szCs w:val="24"/>
              </w:rPr>
            </w:pPr>
            <w:r>
              <w:rPr>
                <w:rFonts w:eastAsia="宋体" w:cs="宋体"/>
                <w:b/>
                <w:spacing w:val="-2"/>
                <w:sz w:val="24"/>
                <w:szCs w:val="24"/>
              </w:rPr>
              <w:t>指标</w:t>
            </w:r>
          </w:p>
        </w:tc>
        <w:tc>
          <w:tcPr>
            <w:tcW w:w="6661" w:type="dxa"/>
            <w:shd w:val="clear" w:color="auto" w:fill="E7EBF5"/>
            <w:vAlign w:val="center"/>
          </w:tcPr>
          <w:p>
            <w:pPr>
              <w:pStyle w:val="10"/>
              <w:spacing w:line="400" w:lineRule="exact"/>
              <w:jc w:val="both"/>
              <w:rPr>
                <w:rFonts w:eastAsia="宋体"/>
                <w:b/>
                <w:sz w:val="24"/>
                <w:szCs w:val="24"/>
                <w:lang w:eastAsia="zh-CN"/>
              </w:rPr>
            </w:pPr>
            <w:r>
              <w:rPr>
                <w:rFonts w:hint="eastAsia"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1</w:t>
            </w:r>
          </w:p>
        </w:tc>
        <w:tc>
          <w:tcPr>
            <w:tcW w:w="2249" w:type="dxa"/>
            <w:vAlign w:val="center"/>
          </w:tcPr>
          <w:p>
            <w:pPr>
              <w:pStyle w:val="10"/>
              <w:spacing w:before="103" w:line="400" w:lineRule="exact"/>
              <w:jc w:val="both"/>
              <w:rPr>
                <w:rFonts w:eastAsia="宋体" w:cs="宋体"/>
                <w:sz w:val="24"/>
                <w:szCs w:val="24"/>
                <w:lang w:eastAsia="zh-CN"/>
              </w:rPr>
            </w:pPr>
            <w:r>
              <w:rPr>
                <w:rFonts w:eastAsia="宋体" w:cs="宋体"/>
                <w:sz w:val="24"/>
                <w:szCs w:val="24"/>
              </w:rPr>
              <w:t>债权人</w:t>
            </w:r>
            <w:r>
              <w:rPr>
                <w:rFonts w:hint="eastAsia" w:eastAsia="宋体" w:cs="宋体"/>
                <w:sz w:val="24"/>
                <w:szCs w:val="24"/>
                <w:lang w:eastAsia="zh-CN"/>
              </w:rPr>
              <w:t>代表</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在破产程序中</w:t>
            </w:r>
            <w:r>
              <w:rPr>
                <w:rFonts w:hint="eastAsia" w:eastAsia="宋体" w:cs="宋体"/>
                <w:sz w:val="24"/>
                <w:szCs w:val="24"/>
                <w:lang w:eastAsia="zh-CN"/>
              </w:rPr>
              <w:t>是否</w:t>
            </w:r>
            <w:r>
              <w:rPr>
                <w:rFonts w:eastAsia="宋体" w:cs="宋体"/>
                <w:sz w:val="24"/>
                <w:szCs w:val="24"/>
                <w:lang w:eastAsia="zh-CN"/>
              </w:rPr>
              <w:t>存在债权人委员会或其他债权人代表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2</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债权人要求提供资料</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是否有条款规定债权人有权单独或通过债权人委员会要求提供有关债务人经营和财务状况的最新信息</w:t>
            </w:r>
            <w:r>
              <w:rPr>
                <w:rFonts w:hint="eastAsia" w:eastAsia="宋体" w:cs="宋体"/>
                <w:sz w:val="24"/>
                <w:szCs w:val="24"/>
                <w:lang w:eastAsia="zh-CN"/>
              </w:rPr>
              <w:t>的权利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3.</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担保</w:t>
            </w:r>
            <w:r>
              <w:rPr>
                <w:rFonts w:hint="eastAsia" w:eastAsia="宋体" w:cs="宋体"/>
                <w:sz w:val="24"/>
                <w:szCs w:val="24"/>
                <w:lang w:eastAsia="zh-CN"/>
              </w:rPr>
              <w:t>索赔</w:t>
            </w:r>
            <w:r>
              <w:rPr>
                <w:rFonts w:eastAsia="宋体" w:cs="宋体"/>
                <w:sz w:val="24"/>
                <w:szCs w:val="24"/>
              </w:rPr>
              <w:t>的优先权</w:t>
            </w:r>
          </w:p>
        </w:tc>
        <w:tc>
          <w:tcPr>
            <w:tcW w:w="6661" w:type="dxa"/>
            <w:vMerge w:val="restart"/>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除了在环境利益和劳工索赔等公共利益方面对特定的无担保债权人进行排序外，还可以对有担保债权人和无担保债权人的债权进行排序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4</w:t>
            </w:r>
          </w:p>
        </w:tc>
        <w:tc>
          <w:tcPr>
            <w:tcW w:w="2249"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劳动和环境索赔的优先权</w:t>
            </w:r>
          </w:p>
        </w:tc>
        <w:tc>
          <w:tcPr>
            <w:tcW w:w="6661" w:type="dxa"/>
            <w:vMerge w:val="continue"/>
            <w:tcBorders>
              <w:top w:val="nil"/>
            </w:tcBorders>
            <w:vAlign w:val="center"/>
          </w:tcPr>
          <w:p>
            <w:pPr>
              <w:pStyle w:val="10"/>
              <w:spacing w:before="103"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5</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劳动索赔特别制度</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破产程序中劳工标准的特殊制度</w:t>
            </w:r>
          </w:p>
        </w:tc>
      </w:tr>
    </w:tbl>
    <w:p>
      <w:pPr>
        <w:pStyle w:val="3"/>
        <w:spacing w:before="4" w:line="400" w:lineRule="exact"/>
        <w:ind w:firstLine="562" w:firstLineChars="200"/>
        <w:jc w:val="both"/>
        <w:rPr>
          <w:rFonts w:eastAsia="宋体"/>
          <w:b/>
          <w:sz w:val="28"/>
          <w:lang w:eastAsia="zh-CN"/>
        </w:rPr>
      </w:pPr>
    </w:p>
    <w:p>
      <w:pPr>
        <w:pStyle w:val="2"/>
        <w:tabs>
          <w:tab w:val="left" w:pos="841"/>
        </w:tabs>
        <w:spacing w:after="120" w:afterLines="50" w:line="400" w:lineRule="exact"/>
        <w:ind w:left="0" w:firstLine="562" w:firstLineChars="200"/>
        <w:jc w:val="both"/>
        <w:rPr>
          <w:rFonts w:eastAsia="宋体"/>
          <w:sz w:val="28"/>
          <w:lang w:eastAsia="zh-CN"/>
        </w:rPr>
      </w:pPr>
      <w:r>
        <w:rPr>
          <w:rFonts w:hint="eastAsia" w:eastAsia="宋体" w:cs="宋体"/>
          <w:sz w:val="28"/>
          <w:lang w:eastAsia="zh-CN"/>
        </w:rPr>
        <w:t>1.3专门的程序</w:t>
      </w:r>
    </w:p>
    <w:p>
      <w:pPr>
        <w:pStyle w:val="3"/>
        <w:spacing w:line="400" w:lineRule="exact"/>
        <w:ind w:left="120" w:right="198" w:firstLine="560" w:firstLineChars="200"/>
        <w:jc w:val="both"/>
        <w:rPr>
          <w:rFonts w:eastAsia="宋体"/>
          <w:sz w:val="28"/>
          <w:lang w:eastAsia="zh-CN"/>
        </w:rPr>
      </w:pPr>
      <w:r>
        <w:rPr>
          <w:rFonts w:hint="eastAsia" w:eastAsia="宋体" w:cs="宋体"/>
          <w:sz w:val="28"/>
          <w:lang w:val="en-US" w:eastAsia="zh-CN"/>
        </w:rPr>
        <w:t>类别</w:t>
      </w:r>
      <w:r>
        <w:rPr>
          <w:rFonts w:eastAsia="宋体" w:cs="宋体"/>
          <w:sz w:val="28"/>
          <w:lang w:eastAsia="zh-CN"/>
        </w:rPr>
        <w:t>1.3类有两个由若干指标组成的子类，每一个指标又可由若干组成部分组成。</w:t>
      </w:r>
    </w:p>
    <w:p>
      <w:pPr>
        <w:pStyle w:val="3"/>
        <w:spacing w:line="400" w:lineRule="exact"/>
        <w:ind w:firstLine="560" w:firstLineChars="200"/>
        <w:jc w:val="both"/>
        <w:rPr>
          <w:rFonts w:eastAsia="宋体"/>
          <w:sz w:val="28"/>
          <w:lang w:eastAsia="zh-CN"/>
        </w:r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1.3.1微型和小型企业</w:t>
      </w:r>
    </w:p>
    <w:p>
      <w:pPr>
        <w:pStyle w:val="3"/>
        <w:spacing w:line="400" w:lineRule="exact"/>
        <w:ind w:left="120" w:right="193" w:firstLine="560" w:firstLineChars="200"/>
        <w:jc w:val="both"/>
        <w:rPr>
          <w:rFonts w:eastAsia="宋体"/>
          <w:sz w:val="28"/>
          <w:lang w:eastAsia="zh-CN"/>
        </w:rPr>
      </w:pPr>
      <w:r>
        <w:rPr>
          <w:rFonts w:eastAsia="宋体" w:cs="宋体"/>
          <w:sz w:val="28"/>
          <w:lang w:eastAsia="zh-CN"/>
        </w:rPr>
        <w:t>对小微企业来说，缺乏</w:t>
      </w:r>
      <w:r>
        <w:rPr>
          <w:rFonts w:hint="eastAsia" w:eastAsia="宋体" w:cs="宋体"/>
          <w:sz w:val="28"/>
          <w:lang w:eastAsia="zh-CN"/>
        </w:rPr>
        <w:t>有吸引力</w:t>
      </w:r>
      <w:r>
        <w:rPr>
          <w:rFonts w:eastAsia="宋体" w:cs="宋体"/>
          <w:sz w:val="28"/>
          <w:lang w:eastAsia="zh-CN"/>
        </w:rPr>
        <w:t>的退出</w:t>
      </w:r>
      <w:r>
        <w:rPr>
          <w:rFonts w:hint="eastAsia" w:eastAsia="宋体" w:cs="宋体"/>
          <w:sz w:val="28"/>
          <w:lang w:eastAsia="zh-CN"/>
        </w:rPr>
        <w:t>渠道</w:t>
      </w:r>
      <w:r>
        <w:rPr>
          <w:rFonts w:eastAsia="宋体" w:cs="宋体"/>
          <w:sz w:val="28"/>
          <w:lang w:eastAsia="zh-CN"/>
        </w:rPr>
        <w:t>可能会</w:t>
      </w:r>
      <w:r>
        <w:rPr>
          <w:rFonts w:hint="eastAsia" w:eastAsia="宋体" w:cs="宋体"/>
          <w:sz w:val="28"/>
          <w:lang w:eastAsia="zh-CN"/>
        </w:rPr>
        <w:t>阻碍</w:t>
      </w:r>
      <w:r>
        <w:rPr>
          <w:rFonts w:eastAsia="宋体" w:cs="宋体"/>
          <w:sz w:val="28"/>
          <w:lang w:eastAsia="zh-CN"/>
        </w:rPr>
        <w:t>许多企业家创业。当</w:t>
      </w:r>
      <w:r>
        <w:rPr>
          <w:rFonts w:hint="eastAsia" w:eastAsia="宋体" w:cs="宋体"/>
          <w:sz w:val="28"/>
          <w:lang w:eastAsia="zh-CN"/>
        </w:rPr>
        <w:t>小微企业</w:t>
      </w:r>
      <w:r>
        <w:rPr>
          <w:rFonts w:eastAsia="宋体" w:cs="宋体"/>
          <w:sz w:val="28"/>
          <w:lang w:eastAsia="zh-CN"/>
        </w:rPr>
        <w:t>债务人启动破产程序时，公司已无法生存，</w:t>
      </w:r>
      <w:r>
        <w:rPr>
          <w:rFonts w:hint="eastAsia" w:eastAsia="宋体" w:cs="宋体"/>
          <w:sz w:val="28"/>
          <w:lang w:eastAsia="zh-CN"/>
        </w:rPr>
        <w:t>这将</w:t>
      </w:r>
      <w:r>
        <w:rPr>
          <w:rFonts w:eastAsia="宋体" w:cs="宋体"/>
          <w:sz w:val="28"/>
          <w:lang w:eastAsia="zh-CN"/>
        </w:rPr>
        <w:t>导致价值损失，</w:t>
      </w:r>
      <w:r>
        <w:rPr>
          <w:rFonts w:hint="eastAsia" w:eastAsia="宋体" w:cs="宋体"/>
          <w:sz w:val="28"/>
          <w:lang w:eastAsia="zh-CN"/>
        </w:rPr>
        <w:t>而这可能会牺牲公司的保护和法律程序确定性</w:t>
      </w:r>
      <w:r>
        <w:rPr>
          <w:rFonts w:eastAsia="宋体" w:cs="宋体"/>
          <w:sz w:val="28"/>
          <w:lang w:eastAsia="zh-CN"/>
        </w:rPr>
        <w:t>。</w:t>
      </w:r>
      <w:r>
        <w:rPr>
          <w:rFonts w:eastAsia="宋体" w:cs="宋体"/>
          <w:sz w:val="28"/>
          <w:vertAlign w:val="superscript"/>
          <w:lang w:eastAsia="zh-CN"/>
        </w:rPr>
        <w:t>27</w:t>
      </w:r>
      <w:r>
        <w:rPr>
          <w:rFonts w:eastAsia="宋体" w:cs="宋体"/>
          <w:sz w:val="28"/>
          <w:lang w:eastAsia="zh-CN"/>
        </w:rPr>
        <w:t>因此，</w:t>
      </w:r>
      <w:r>
        <w:rPr>
          <w:rFonts w:hint="eastAsia" w:eastAsia="宋体" w:cs="宋体"/>
          <w:sz w:val="28"/>
          <w:lang w:eastAsia="zh-CN"/>
        </w:rPr>
        <w:t>一个低效</w:t>
      </w:r>
      <w:r>
        <w:rPr>
          <w:rFonts w:eastAsia="宋体" w:cs="宋体"/>
          <w:sz w:val="28"/>
          <w:lang w:eastAsia="zh-CN"/>
        </w:rPr>
        <w:t>的破产框架也可能对创业有害。</w:t>
      </w:r>
      <w:r>
        <w:rPr>
          <w:rFonts w:eastAsia="宋体" w:cs="宋体"/>
          <w:sz w:val="28"/>
          <w:vertAlign w:val="superscript"/>
          <w:lang w:eastAsia="zh-CN"/>
        </w:rPr>
        <w:t>28</w:t>
      </w:r>
      <w:r>
        <w:rPr>
          <w:rFonts w:eastAsia="宋体" w:cs="宋体"/>
          <w:sz w:val="28"/>
          <w:lang w:eastAsia="zh-CN"/>
        </w:rPr>
        <w:t>良好做法主张促进微型和小型企业的专业化或简化程序。</w:t>
      </w:r>
      <w:r>
        <w:rPr>
          <w:rFonts w:eastAsia="宋体" w:cs="宋体"/>
          <w:sz w:val="28"/>
          <w:vertAlign w:val="superscript"/>
          <w:lang w:eastAsia="zh-CN"/>
        </w:rPr>
        <w:t>29</w:t>
      </w:r>
      <w:r>
        <w:rPr>
          <w:rFonts w:eastAsia="宋体" w:cs="宋体"/>
          <w:sz w:val="28"/>
          <w:lang w:eastAsia="zh-CN"/>
        </w:rPr>
        <w:t>因此，子类别1.3.1包括三个指标(表8)。</w:t>
      </w:r>
    </w:p>
    <w:p>
      <w:pPr>
        <w:pStyle w:val="3"/>
        <w:spacing w:line="400" w:lineRule="exact"/>
        <w:ind w:firstLine="560" w:firstLineChars="200"/>
        <w:jc w:val="both"/>
        <w:rPr>
          <w:rFonts w:eastAsia="宋体"/>
          <w:sz w:val="28"/>
          <w:lang w:eastAsia="zh-CN"/>
        </w:rPr>
      </w:pPr>
    </w:p>
    <w:p>
      <w:pPr>
        <w:spacing w:before="215" w:line="400" w:lineRule="exact"/>
        <w:jc w:val="center"/>
        <w:rPr>
          <w:rFonts w:eastAsia="宋体" w:cs="宋体"/>
          <w:b/>
          <w:sz w:val="28"/>
          <w:lang w:eastAsia="zh-CN"/>
        </w:rPr>
      </w:pPr>
      <w:r>
        <w:rPr>
          <w:rFonts w:eastAsia="宋体" w:cs="宋体"/>
          <w:b/>
          <w:sz w:val="28"/>
          <w:lang w:eastAsia="zh-CN"/>
        </w:rPr>
        <w:t>表8</w:t>
      </w:r>
      <w:r>
        <w:rPr>
          <w:rFonts w:hint="eastAsia" w:eastAsia="宋体" w:cs="宋体"/>
          <w:b/>
          <w:sz w:val="28"/>
          <w:lang w:val="en-US" w:eastAsia="zh-CN"/>
        </w:rPr>
        <w:t xml:space="preserve">. </w:t>
      </w:r>
      <w:r>
        <w:rPr>
          <w:rFonts w:eastAsia="宋体" w:cs="宋体"/>
          <w:b/>
          <w:sz w:val="28"/>
          <w:lang w:eastAsia="zh-CN"/>
        </w:rPr>
        <w:t>子类别1.3.1</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微型和小型企业</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10"/>
              <w:spacing w:line="400" w:lineRule="exact"/>
              <w:ind w:left="0" w:firstLine="560" w:firstLineChars="200"/>
              <w:jc w:val="both"/>
              <w:rPr>
                <w:rFonts w:eastAsia="宋体"/>
                <w:sz w:val="28"/>
                <w:lang w:eastAsia="zh-CN"/>
              </w:rPr>
            </w:pPr>
          </w:p>
        </w:tc>
        <w:tc>
          <w:tcPr>
            <w:tcW w:w="2249" w:type="dxa"/>
            <w:shd w:val="clear" w:color="auto" w:fill="E7EBF5"/>
          </w:tcPr>
          <w:p>
            <w:pPr>
              <w:pStyle w:val="10"/>
              <w:spacing w:before="2" w:line="400" w:lineRule="exact"/>
              <w:jc w:val="both"/>
              <w:rPr>
                <w:rFonts w:eastAsia="宋体"/>
                <w:b/>
                <w:sz w:val="24"/>
                <w:szCs w:val="24"/>
              </w:rPr>
            </w:pPr>
            <w:r>
              <w:rPr>
                <w:rFonts w:eastAsia="宋体" w:cs="宋体"/>
                <w:b/>
                <w:spacing w:val="-2"/>
                <w:sz w:val="24"/>
                <w:szCs w:val="24"/>
              </w:rPr>
              <w:t>指标</w:t>
            </w:r>
          </w:p>
        </w:tc>
        <w:tc>
          <w:tcPr>
            <w:tcW w:w="6661" w:type="dxa"/>
            <w:shd w:val="clear" w:color="auto" w:fill="E7EBF5"/>
          </w:tcPr>
          <w:p>
            <w:pPr>
              <w:pStyle w:val="10"/>
              <w:spacing w:before="2" w:line="400" w:lineRule="exact"/>
              <w:jc w:val="both"/>
              <w:rPr>
                <w:rFonts w:eastAsia="宋体"/>
                <w:b/>
                <w:sz w:val="24"/>
                <w:szCs w:val="24"/>
                <w:lang w:eastAsia="zh-CN"/>
              </w:rPr>
            </w:pPr>
            <w:r>
              <w:rPr>
                <w:rFonts w:hint="eastAsia"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3"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1</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可用性和资格</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在破产法中存在简化的中小微企业破产制度，确定债务人必须</w:t>
            </w:r>
            <w:r>
              <w:rPr>
                <w:rFonts w:hint="eastAsia" w:eastAsia="宋体" w:cs="宋体"/>
                <w:sz w:val="24"/>
                <w:szCs w:val="24"/>
                <w:lang w:eastAsia="zh-CN"/>
              </w:rPr>
              <w:t>符合</w:t>
            </w:r>
            <w:r>
              <w:rPr>
                <w:rFonts w:eastAsia="宋体" w:cs="宋体"/>
                <w:sz w:val="24"/>
                <w:szCs w:val="24"/>
                <w:lang w:eastAsia="zh-CN"/>
              </w:rPr>
              <w:t>标准才有资格进行简化清算或重组程序，并规定在何种条件下也可申请启动简化程序:即，在财务困难的早期阶段提出申请，</w:t>
            </w:r>
            <w:r>
              <w:rPr>
                <w:rFonts w:hint="eastAsia" w:eastAsia="宋体" w:cs="宋体"/>
                <w:sz w:val="24"/>
                <w:szCs w:val="24"/>
                <w:lang w:eastAsia="zh-CN"/>
              </w:rPr>
              <w:t>则</w:t>
            </w:r>
            <w:r>
              <w:rPr>
                <w:rFonts w:eastAsia="宋体" w:cs="宋体"/>
                <w:sz w:val="24"/>
                <w:szCs w:val="24"/>
                <w:lang w:eastAsia="zh-CN"/>
              </w:rPr>
              <w:t>无需证明破产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2</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诉讼程序的转换</w:t>
            </w:r>
          </w:p>
        </w:tc>
        <w:tc>
          <w:tcPr>
            <w:tcW w:w="6661" w:type="dxa"/>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提供</w:t>
            </w:r>
            <w:r>
              <w:rPr>
                <w:rFonts w:eastAsia="宋体" w:cs="宋体"/>
                <w:sz w:val="24"/>
                <w:szCs w:val="24"/>
                <w:lang w:eastAsia="zh-CN"/>
              </w:rPr>
              <w:t>一种机制，规定在简化的重组程序</w:t>
            </w:r>
            <w:r>
              <w:rPr>
                <w:rFonts w:hint="eastAsia" w:eastAsia="宋体" w:cs="宋体"/>
                <w:sz w:val="24"/>
                <w:szCs w:val="24"/>
                <w:lang w:eastAsia="zh-CN"/>
              </w:rPr>
              <w:t>期间</w:t>
            </w:r>
            <w:r>
              <w:rPr>
                <w:rFonts w:eastAsia="宋体" w:cs="宋体"/>
                <w:sz w:val="24"/>
                <w:szCs w:val="24"/>
                <w:lang w:eastAsia="zh-CN"/>
              </w:rPr>
              <w:t>的任何时候</w:t>
            </w:r>
            <w:r>
              <w:rPr>
                <w:rFonts w:hint="eastAsia" w:eastAsia="宋体" w:cs="宋体"/>
                <w:sz w:val="24"/>
                <w:szCs w:val="24"/>
                <w:lang w:eastAsia="zh-CN"/>
              </w:rPr>
              <w:t>，</w:t>
            </w:r>
            <w:r>
              <w:rPr>
                <w:rFonts w:eastAsia="宋体" w:cs="宋体"/>
                <w:sz w:val="24"/>
                <w:szCs w:val="24"/>
                <w:lang w:eastAsia="zh-CN"/>
              </w:rPr>
              <w:t>如果主管当局确定债务人无偿债能力</w:t>
            </w:r>
            <w:r>
              <w:rPr>
                <w:rFonts w:hint="eastAsia" w:eastAsia="宋体" w:cs="宋体"/>
                <w:sz w:val="24"/>
                <w:szCs w:val="24"/>
                <w:lang w:eastAsia="zh-CN"/>
              </w:rPr>
              <w:t>不存在</w:t>
            </w:r>
            <w:r>
              <w:rPr>
                <w:rFonts w:eastAsia="宋体" w:cs="宋体"/>
                <w:sz w:val="24"/>
                <w:szCs w:val="24"/>
                <w:lang w:eastAsia="zh-CN"/>
              </w:rPr>
              <w:t>可行的重组前景，</w:t>
            </w:r>
            <w:r>
              <w:rPr>
                <w:rFonts w:hint="eastAsia" w:eastAsia="宋体" w:cs="宋体"/>
                <w:sz w:val="24"/>
                <w:szCs w:val="24"/>
                <w:lang w:eastAsia="zh-CN"/>
              </w:rPr>
              <w:t>则可中止该程序并转换为清算。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3.</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债务清偿</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除了规定拒绝偿还债务的标准外，还</w:t>
            </w:r>
            <w:r>
              <w:rPr>
                <w:rFonts w:hint="eastAsia" w:eastAsia="宋体" w:cs="宋体"/>
                <w:sz w:val="24"/>
                <w:szCs w:val="24"/>
                <w:lang w:eastAsia="zh-CN"/>
              </w:rPr>
              <w:t>应</w:t>
            </w:r>
            <w:r>
              <w:rPr>
                <w:rFonts w:eastAsia="宋体" w:cs="宋体"/>
                <w:sz w:val="24"/>
                <w:szCs w:val="24"/>
                <w:lang w:eastAsia="zh-CN"/>
              </w:rPr>
              <w:t>规定将</w:t>
            </w:r>
            <w:r>
              <w:rPr>
                <w:rFonts w:hint="eastAsia" w:eastAsia="宋体" w:cs="宋体"/>
                <w:sz w:val="24"/>
                <w:szCs w:val="24"/>
                <w:lang w:eastAsia="zh-CN"/>
              </w:rPr>
              <w:t>小微企业</w:t>
            </w:r>
            <w:r>
              <w:rPr>
                <w:rFonts w:eastAsia="宋体" w:cs="宋体"/>
                <w:sz w:val="24"/>
                <w:szCs w:val="24"/>
                <w:lang w:eastAsia="zh-CN"/>
              </w:rPr>
              <w:t>债务偿还</w:t>
            </w:r>
            <w:r>
              <w:rPr>
                <w:rFonts w:hint="eastAsia" w:eastAsia="宋体" w:cs="宋体"/>
                <w:sz w:val="24"/>
                <w:szCs w:val="24"/>
                <w:lang w:eastAsia="zh-CN"/>
              </w:rPr>
              <w:t>的最低条件</w:t>
            </w:r>
          </w:p>
        </w:tc>
      </w:tr>
    </w:tbl>
    <w:p>
      <w:pPr>
        <w:spacing w:line="400" w:lineRule="exact"/>
        <w:ind w:firstLine="560" w:firstLineChars="200"/>
        <w:jc w:val="both"/>
        <w:rPr>
          <w:rFonts w:eastAsia="宋体"/>
          <w:sz w:val="28"/>
          <w:lang w:eastAsia="zh-CN"/>
        </w:rPr>
        <w:sectPr>
          <w:pgSz w:w="12240" w:h="15840"/>
          <w:pgMar w:top="1360" w:right="1240" w:bottom="280" w:left="1320" w:header="720" w:footer="720" w:gutter="0"/>
          <w:cols w:space="720" w:num="1"/>
        </w:sectPr>
      </w:pPr>
    </w:p>
    <w:p>
      <w:pPr>
        <w:pStyle w:val="2"/>
        <w:tabs>
          <w:tab w:val="left" w:pos="841"/>
        </w:tabs>
        <w:spacing w:after="120" w:afterLines="50" w:line="400" w:lineRule="exact"/>
        <w:ind w:left="0" w:firstLine="562" w:firstLineChars="200"/>
        <w:jc w:val="both"/>
        <w:rPr>
          <w:rFonts w:eastAsia="宋体" w:cs="宋体"/>
          <w:sz w:val="28"/>
          <w:lang w:eastAsia="zh-CN"/>
        </w:rPr>
      </w:pPr>
      <w:r>
        <w:rPr>
          <w:rFonts w:hint="eastAsia" w:eastAsia="宋体" w:cs="宋体"/>
          <w:sz w:val="28"/>
          <w:lang w:eastAsia="zh-CN"/>
        </w:rPr>
        <w:t>1.3.2跨境破产</w:t>
      </w:r>
    </w:p>
    <w:p>
      <w:pPr>
        <w:pStyle w:val="3"/>
        <w:spacing w:before="1" w:line="400" w:lineRule="exact"/>
        <w:ind w:left="120" w:right="195" w:firstLine="560" w:firstLineChars="200"/>
        <w:jc w:val="both"/>
        <w:rPr>
          <w:rFonts w:eastAsia="宋体"/>
          <w:sz w:val="28"/>
          <w:lang w:eastAsia="zh-CN"/>
        </w:rPr>
      </w:pPr>
      <w:r>
        <w:rPr>
          <w:rFonts w:eastAsia="宋体" w:cs="宋体"/>
          <w:sz w:val="28"/>
          <w:lang w:eastAsia="zh-CN"/>
        </w:rPr>
        <w:t>一个全面的跨境破产框架是促进实现以下目标的关键:提高贸易和投资的法律确定性，实现债务人资产价值最大化，促进对陷入财务困境的企业的救助，从而保护投资和维持就业。</w:t>
      </w:r>
      <w:r>
        <w:rPr>
          <w:rFonts w:eastAsia="宋体" w:cs="宋体"/>
          <w:sz w:val="28"/>
          <w:vertAlign w:val="superscript"/>
          <w:lang w:eastAsia="zh-CN"/>
        </w:rPr>
        <w:t>30</w:t>
      </w:r>
      <w:r>
        <w:rPr>
          <w:rFonts w:eastAsia="宋体" w:cs="宋体"/>
          <w:sz w:val="28"/>
          <w:lang w:eastAsia="zh-CN"/>
        </w:rPr>
        <w:t>该指标衡量是否建立了跨境破产的法律框架，并承认外国程序。因此，子类别1.3.2包括两个指标(表9)。</w:t>
      </w:r>
    </w:p>
    <w:p>
      <w:pPr>
        <w:spacing w:before="215" w:line="400" w:lineRule="exact"/>
        <w:jc w:val="center"/>
        <w:rPr>
          <w:rFonts w:eastAsia="宋体" w:cs="宋体"/>
          <w:b/>
          <w:sz w:val="28"/>
          <w:lang w:eastAsia="zh-CN"/>
        </w:rPr>
      </w:pPr>
      <w:r>
        <w:rPr>
          <w:rFonts w:eastAsia="宋体" w:cs="宋体"/>
          <w:b/>
          <w:sz w:val="28"/>
          <w:lang w:eastAsia="zh-CN"/>
        </w:rPr>
        <w:t>表9</w:t>
      </w:r>
      <w:r>
        <w:rPr>
          <w:rFonts w:hint="eastAsia" w:eastAsia="宋体" w:cs="宋体"/>
          <w:b/>
          <w:sz w:val="28"/>
          <w:lang w:val="en-US" w:eastAsia="zh-CN"/>
        </w:rPr>
        <w:t xml:space="preserve">. </w:t>
      </w:r>
      <w:r>
        <w:rPr>
          <w:rFonts w:eastAsia="宋体" w:cs="宋体"/>
          <w:b/>
          <w:sz w:val="28"/>
          <w:lang w:eastAsia="zh-CN"/>
        </w:rPr>
        <w:t>子类别1.3.2</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跨境破产</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0"/>
              <w:spacing w:line="400" w:lineRule="exact"/>
              <w:ind w:left="0" w:firstLine="480" w:firstLineChars="200"/>
              <w:jc w:val="both"/>
              <w:rPr>
                <w:rFonts w:eastAsia="宋体"/>
                <w:sz w:val="24"/>
                <w:szCs w:val="24"/>
                <w:lang w:eastAsia="zh-CN"/>
              </w:rPr>
            </w:pPr>
          </w:p>
        </w:tc>
        <w:tc>
          <w:tcPr>
            <w:tcW w:w="2249" w:type="dxa"/>
            <w:shd w:val="clear" w:color="auto" w:fill="E7EBF5"/>
          </w:tcPr>
          <w:p>
            <w:pPr>
              <w:pStyle w:val="10"/>
              <w:spacing w:line="400" w:lineRule="exact"/>
              <w:jc w:val="both"/>
              <w:rPr>
                <w:rFonts w:eastAsia="宋体"/>
                <w:b/>
                <w:sz w:val="24"/>
                <w:szCs w:val="24"/>
              </w:rPr>
            </w:pPr>
            <w:r>
              <w:rPr>
                <w:rFonts w:eastAsia="宋体" w:cs="宋体"/>
                <w:b/>
                <w:spacing w:val="-2"/>
                <w:sz w:val="24"/>
                <w:szCs w:val="24"/>
              </w:rPr>
              <w:t>指标</w:t>
            </w:r>
          </w:p>
        </w:tc>
        <w:tc>
          <w:tcPr>
            <w:tcW w:w="6661" w:type="dxa"/>
            <w:shd w:val="clear" w:color="auto" w:fill="E7EBF5"/>
          </w:tcPr>
          <w:p>
            <w:pPr>
              <w:pStyle w:val="10"/>
              <w:spacing w:line="400" w:lineRule="exact"/>
              <w:jc w:val="both"/>
              <w:rPr>
                <w:rFonts w:eastAsia="宋体"/>
                <w:b/>
                <w:sz w:val="24"/>
                <w:szCs w:val="24"/>
                <w:lang w:eastAsia="zh-CN"/>
              </w:rPr>
            </w:pPr>
            <w:r>
              <w:rPr>
                <w:rFonts w:hint="eastAsia"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0"/>
              <w:spacing w:before="103" w:line="400" w:lineRule="exact"/>
              <w:jc w:val="both"/>
              <w:rPr>
                <w:rFonts w:eastAsia="宋体" w:cs="宋体"/>
                <w:sz w:val="24"/>
                <w:szCs w:val="24"/>
              </w:rPr>
            </w:pPr>
            <w:r>
              <w:rPr>
                <w:rFonts w:eastAsia="宋体" w:cs="宋体"/>
                <w:sz w:val="24"/>
                <w:szCs w:val="24"/>
              </w:rPr>
              <w:t>1</w:t>
            </w:r>
          </w:p>
        </w:tc>
        <w:tc>
          <w:tcPr>
            <w:tcW w:w="2249" w:type="dxa"/>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外国破产程序框架的存在与承认</w:t>
            </w:r>
          </w:p>
        </w:tc>
        <w:tc>
          <w:tcPr>
            <w:tcW w:w="6661" w:type="dxa"/>
            <w:vMerge w:val="restart"/>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存在承认外国破产程序的机制和与外国法院和代表合作的制度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0"/>
              <w:spacing w:before="10" w:line="400" w:lineRule="exact"/>
              <w:ind w:left="0" w:firstLine="482" w:firstLineChars="200"/>
              <w:jc w:val="both"/>
              <w:rPr>
                <w:rFonts w:eastAsia="宋体"/>
                <w:b/>
                <w:sz w:val="24"/>
                <w:szCs w:val="24"/>
                <w:lang w:eastAsia="zh-CN"/>
              </w:rPr>
            </w:pPr>
          </w:p>
          <w:p>
            <w:pPr>
              <w:pStyle w:val="10"/>
              <w:spacing w:before="103" w:line="400" w:lineRule="exact"/>
              <w:jc w:val="both"/>
              <w:rPr>
                <w:rFonts w:eastAsia="宋体"/>
                <w:sz w:val="24"/>
                <w:szCs w:val="24"/>
              </w:rPr>
            </w:pPr>
            <w:r>
              <w:rPr>
                <w:rFonts w:eastAsia="宋体" w:cs="宋体"/>
                <w:sz w:val="24"/>
                <w:szCs w:val="24"/>
              </w:rPr>
              <w:t>2</w:t>
            </w:r>
          </w:p>
        </w:tc>
        <w:tc>
          <w:tcPr>
            <w:tcW w:w="2249" w:type="dxa"/>
          </w:tcPr>
          <w:p>
            <w:pPr>
              <w:pStyle w:val="10"/>
              <w:spacing w:before="103" w:line="400" w:lineRule="exact"/>
              <w:jc w:val="both"/>
              <w:rPr>
                <w:rFonts w:eastAsia="宋体"/>
                <w:sz w:val="24"/>
                <w:szCs w:val="24"/>
                <w:lang w:eastAsia="zh-CN"/>
              </w:rPr>
            </w:pPr>
            <w:r>
              <w:rPr>
                <w:rFonts w:hint="eastAsia" w:eastAsia="宋体"/>
                <w:sz w:val="24"/>
                <w:szCs w:val="24"/>
                <w:lang w:eastAsia="zh-CN"/>
              </w:rPr>
              <w:t>有与其他国家或地区的法院和代表合作的法律框架</w:t>
            </w:r>
          </w:p>
        </w:tc>
        <w:tc>
          <w:tcPr>
            <w:tcW w:w="6661" w:type="dxa"/>
            <w:vMerge w:val="continue"/>
            <w:tcBorders>
              <w:top w:val="nil"/>
            </w:tcBorders>
          </w:tcPr>
          <w:p>
            <w:pPr>
              <w:spacing w:line="400" w:lineRule="exact"/>
              <w:ind w:firstLine="480" w:firstLineChars="200"/>
              <w:jc w:val="both"/>
              <w:rPr>
                <w:rFonts w:eastAsia="宋体"/>
                <w:sz w:val="24"/>
                <w:szCs w:val="24"/>
                <w:lang w:eastAsia="zh-CN"/>
              </w:rPr>
            </w:pPr>
          </w:p>
        </w:tc>
      </w:tr>
    </w:tbl>
    <w:p>
      <w:pPr>
        <w:pStyle w:val="3"/>
        <w:spacing w:before="10" w:line="400" w:lineRule="exact"/>
        <w:ind w:firstLine="562" w:firstLineChars="200"/>
        <w:jc w:val="both"/>
        <w:rPr>
          <w:rFonts w:eastAsia="宋体"/>
          <w:b/>
          <w:sz w:val="28"/>
          <w:lang w:eastAsia="zh-CN"/>
        </w:rPr>
      </w:pPr>
    </w:p>
    <w:p>
      <w:pPr>
        <w:pStyle w:val="2"/>
        <w:tabs>
          <w:tab w:val="left" w:pos="841"/>
        </w:tabs>
        <w:spacing w:after="120" w:afterLines="50" w:line="400" w:lineRule="exact"/>
        <w:ind w:left="0" w:firstLine="562" w:firstLineChars="200"/>
        <w:jc w:val="both"/>
        <w:rPr>
          <w:rFonts w:eastAsia="宋体"/>
          <w:sz w:val="28"/>
          <w:lang w:eastAsia="zh-CN"/>
        </w:rPr>
      </w:pPr>
      <w:r>
        <w:rPr>
          <w:rFonts w:hint="eastAsia" w:eastAsia="宋体" w:cs="宋体"/>
          <w:sz w:val="28"/>
          <w:lang w:eastAsia="zh-CN"/>
        </w:rPr>
        <w:t>2.维度 II  公共服务:破产程序的体制和业务基础设施的质量</w:t>
      </w:r>
    </w:p>
    <w:p>
      <w:pPr>
        <w:pStyle w:val="3"/>
        <w:spacing w:line="400" w:lineRule="exact"/>
        <w:ind w:left="120" w:right="193" w:firstLine="560" w:firstLineChars="200"/>
        <w:jc w:val="both"/>
        <w:rPr>
          <w:rFonts w:eastAsia="宋体"/>
          <w:sz w:val="28"/>
          <w:lang w:eastAsia="zh-CN"/>
        </w:rPr>
      </w:pPr>
      <w:r>
        <w:rPr>
          <w:rFonts w:eastAsia="宋体" w:cs="宋体"/>
          <w:sz w:val="28"/>
          <w:lang w:eastAsia="zh-CN"/>
        </w:rPr>
        <w:t>表10显示了</w:t>
      </w:r>
      <w:r>
        <w:rPr>
          <w:rFonts w:hint="eastAsia" w:eastAsia="宋体" w:cs="宋体"/>
          <w:b w:val="0"/>
          <w:bCs/>
          <w:sz w:val="28"/>
          <w:lang w:eastAsia="zh-CN"/>
        </w:rPr>
        <w:t>维度II（</w:t>
      </w:r>
      <w:r>
        <w:rPr>
          <w:rFonts w:hint="eastAsia" w:eastAsia="宋体" w:cs="宋体"/>
          <w:b w:val="0"/>
          <w:bCs/>
          <w:sz w:val="28"/>
          <w:lang w:val="en-US" w:eastAsia="zh-CN"/>
        </w:rPr>
        <w:t>即</w:t>
      </w:r>
      <w:r>
        <w:rPr>
          <w:rFonts w:eastAsia="宋体" w:cs="宋体"/>
          <w:sz w:val="28"/>
          <w:lang w:eastAsia="zh-CN"/>
        </w:rPr>
        <w:t>破产程序的体制和业务基础设施的质量</w:t>
      </w:r>
      <w:r>
        <w:rPr>
          <w:rFonts w:hint="eastAsia" w:eastAsia="宋体" w:cs="宋体"/>
          <w:b w:val="0"/>
          <w:bCs/>
          <w:sz w:val="28"/>
          <w:lang w:eastAsia="zh-CN"/>
        </w:rPr>
        <w:t>）</w:t>
      </w:r>
      <w:r>
        <w:rPr>
          <w:rFonts w:eastAsia="宋体" w:cs="宋体"/>
          <w:sz w:val="28"/>
          <w:lang w:eastAsia="zh-CN"/>
        </w:rPr>
        <w:t>的结构。该</w:t>
      </w:r>
      <w:r>
        <w:rPr>
          <w:rFonts w:hint="eastAsia" w:eastAsia="宋体" w:cs="宋体"/>
          <w:sz w:val="28"/>
          <w:lang w:eastAsia="zh-CN"/>
        </w:rPr>
        <w:t>维度</w:t>
      </w:r>
      <w:r>
        <w:rPr>
          <w:rFonts w:eastAsia="宋体" w:cs="宋体"/>
          <w:sz w:val="28"/>
          <w:lang w:eastAsia="zh-CN"/>
        </w:rPr>
        <w:t>的每个类别和子类别将按照表中所示的顺序进行更</w:t>
      </w:r>
      <w:r>
        <w:rPr>
          <w:rFonts w:hint="eastAsia" w:eastAsia="宋体" w:cs="宋体"/>
          <w:sz w:val="28"/>
          <w:lang w:val="en-US" w:eastAsia="zh-CN"/>
        </w:rPr>
        <w:t>为</w:t>
      </w:r>
      <w:r>
        <w:rPr>
          <w:rFonts w:eastAsia="宋体" w:cs="宋体"/>
          <w:sz w:val="28"/>
          <w:lang w:eastAsia="zh-CN"/>
        </w:rPr>
        <w:t>详细的讨论。</w:t>
      </w:r>
    </w:p>
    <w:p>
      <w:pPr>
        <w:spacing w:before="215" w:line="400" w:lineRule="exact"/>
        <w:jc w:val="center"/>
        <w:rPr>
          <w:rFonts w:eastAsia="宋体" w:cs="宋体"/>
          <w:b/>
          <w:sz w:val="28"/>
          <w:lang w:eastAsia="zh-CN"/>
        </w:rPr>
      </w:pPr>
      <w:r>
        <w:rPr>
          <w:rFonts w:eastAsia="宋体" w:cs="宋体"/>
          <w:b/>
          <w:sz w:val="28"/>
          <w:lang w:eastAsia="zh-CN"/>
        </w:rPr>
        <w:t>表10</w:t>
      </w:r>
      <w:r>
        <w:rPr>
          <w:rFonts w:hint="eastAsia" w:eastAsia="宋体" w:cs="宋体"/>
          <w:b/>
          <w:sz w:val="28"/>
          <w:lang w:val="en-US" w:eastAsia="zh-CN"/>
        </w:rPr>
        <w:t xml:space="preserve">. </w:t>
      </w:r>
      <w:r>
        <w:rPr>
          <w:rFonts w:hint="eastAsia" w:eastAsia="宋体" w:cs="宋体"/>
          <w:b/>
          <w:sz w:val="28"/>
          <w:lang w:eastAsia="zh-CN"/>
        </w:rPr>
        <w:t>维度II</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破产程序机构和业务基础设施的质量</w:t>
      </w:r>
    </w:p>
    <w:tbl>
      <w:tblPr>
        <w:tblStyle w:val="6"/>
        <w:tblW w:w="0" w:type="auto"/>
        <w:tblInd w:w="13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5"/>
        <w:gridCol w:w="86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3" w:hRule="atLeast"/>
        </w:trPr>
        <w:tc>
          <w:tcPr>
            <w:tcW w:w="715" w:type="dxa"/>
            <w:tcBorders>
              <w:left w:val="single" w:color="000000" w:sz="4" w:space="0"/>
              <w:bottom w:val="single" w:color="000000" w:sz="4" w:space="0"/>
              <w:right w:val="single" w:color="000000" w:sz="4" w:space="0"/>
            </w:tcBorders>
            <w:shd w:val="clear" w:color="auto" w:fill="E7EBF5"/>
          </w:tcPr>
          <w:p>
            <w:pPr>
              <w:pStyle w:val="10"/>
              <w:spacing w:before="103" w:line="400" w:lineRule="exact"/>
              <w:jc w:val="both"/>
              <w:rPr>
                <w:rFonts w:eastAsia="宋体" w:cs="宋体"/>
                <w:sz w:val="24"/>
                <w:szCs w:val="24"/>
              </w:rPr>
            </w:pPr>
            <w:r>
              <w:rPr>
                <w:rFonts w:eastAsia="宋体" w:cs="宋体"/>
                <w:sz w:val="24"/>
                <w:szCs w:val="24"/>
              </w:rPr>
              <w:t>2.1</w:t>
            </w:r>
          </w:p>
        </w:tc>
        <w:tc>
          <w:tcPr>
            <w:tcW w:w="8641" w:type="dxa"/>
            <w:tcBorders>
              <w:left w:val="single" w:color="000000" w:sz="4" w:space="0"/>
              <w:bottom w:val="single" w:color="000000" w:sz="4" w:space="0"/>
              <w:right w:val="single" w:color="000000" w:sz="4" w:space="0"/>
            </w:tcBorders>
            <w:shd w:val="clear" w:color="auto" w:fill="E7EBF5"/>
          </w:tcPr>
          <w:p>
            <w:pPr>
              <w:pStyle w:val="10"/>
              <w:spacing w:before="103" w:line="400" w:lineRule="exact"/>
              <w:jc w:val="both"/>
              <w:rPr>
                <w:rFonts w:eastAsia="宋体" w:cs="宋体"/>
                <w:sz w:val="24"/>
                <w:szCs w:val="24"/>
              </w:rPr>
            </w:pPr>
            <w:r>
              <w:rPr>
                <w:rFonts w:eastAsia="宋体" w:cs="宋体"/>
                <w:sz w:val="24"/>
                <w:szCs w:val="24"/>
              </w:rPr>
              <w:t>数字化和在线服务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 w:hRule="atLeast"/>
        </w:trPr>
        <w:tc>
          <w:tcPr>
            <w:tcW w:w="715"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rPr>
            </w:pPr>
            <w:r>
              <w:rPr>
                <w:rFonts w:eastAsia="宋体" w:cs="宋体"/>
                <w:sz w:val="24"/>
                <w:szCs w:val="24"/>
              </w:rPr>
              <w:t>2.1.1</w:t>
            </w:r>
          </w:p>
        </w:tc>
        <w:tc>
          <w:tcPr>
            <w:tcW w:w="8641"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电子法庭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 w:hRule="atLeast"/>
        </w:trPr>
        <w:tc>
          <w:tcPr>
            <w:tcW w:w="715"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rPr>
            </w:pPr>
            <w:r>
              <w:rPr>
                <w:rFonts w:eastAsia="宋体" w:cs="宋体"/>
                <w:sz w:val="24"/>
                <w:szCs w:val="24"/>
              </w:rPr>
              <w:t>2.1.2</w:t>
            </w:r>
          </w:p>
        </w:tc>
        <w:tc>
          <w:tcPr>
            <w:tcW w:w="8641"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lang w:eastAsia="zh-CN"/>
              </w:rPr>
            </w:pPr>
            <w:r>
              <w:rPr>
                <w:rFonts w:eastAsia="宋体" w:cs="宋体"/>
                <w:sz w:val="24"/>
                <w:szCs w:val="24"/>
                <w:lang w:eastAsia="zh-CN"/>
              </w:rPr>
              <w:t>破产程序服务(电子服务)的互操作性和信息的公开可用性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 w:hRule="atLeast"/>
        </w:trPr>
        <w:tc>
          <w:tcPr>
            <w:tcW w:w="715" w:type="dxa"/>
            <w:tcBorders>
              <w:top w:val="single" w:color="000000" w:sz="4" w:space="0"/>
              <w:left w:val="single" w:color="000000" w:sz="4" w:space="0"/>
              <w:bottom w:val="single" w:color="000000" w:sz="4" w:space="0"/>
              <w:right w:val="single" w:color="000000" w:sz="4" w:space="0"/>
            </w:tcBorders>
            <w:shd w:val="clear" w:color="auto" w:fill="E7EBF5"/>
          </w:tcPr>
          <w:p>
            <w:pPr>
              <w:pStyle w:val="10"/>
              <w:spacing w:before="103" w:line="400" w:lineRule="exact"/>
              <w:jc w:val="both"/>
              <w:rPr>
                <w:rFonts w:eastAsia="宋体" w:cs="宋体"/>
                <w:sz w:val="24"/>
                <w:szCs w:val="24"/>
              </w:rPr>
            </w:pPr>
            <w:r>
              <w:rPr>
                <w:rFonts w:eastAsia="宋体" w:cs="宋体"/>
                <w:sz w:val="24"/>
                <w:szCs w:val="24"/>
              </w:rPr>
              <w:t>2.2</w:t>
            </w:r>
          </w:p>
        </w:tc>
        <w:tc>
          <w:tcPr>
            <w:tcW w:w="8641" w:type="dxa"/>
            <w:tcBorders>
              <w:top w:val="single" w:color="000000" w:sz="4" w:space="0"/>
              <w:left w:val="single" w:color="000000" w:sz="4" w:space="0"/>
              <w:bottom w:val="single" w:color="000000" w:sz="4" w:space="0"/>
              <w:right w:val="single" w:color="000000" w:sz="4" w:space="0"/>
            </w:tcBorders>
            <w:shd w:val="clear" w:color="auto" w:fill="E7EBF5"/>
          </w:tcPr>
          <w:p>
            <w:pPr>
              <w:pStyle w:val="10"/>
              <w:spacing w:before="103" w:line="400" w:lineRule="exact"/>
              <w:jc w:val="both"/>
              <w:rPr>
                <w:rFonts w:eastAsia="宋体" w:cs="宋体"/>
                <w:sz w:val="24"/>
                <w:szCs w:val="24"/>
                <w:lang w:eastAsia="zh-CN"/>
              </w:rPr>
            </w:pPr>
            <w:r>
              <w:rPr>
                <w:rFonts w:eastAsia="宋体" w:cs="宋体"/>
                <w:sz w:val="24"/>
                <w:szCs w:val="24"/>
                <w:lang w:eastAsia="zh-CN"/>
              </w:rPr>
              <w:t>公职人员和破产管理人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8" w:hRule="atLeast"/>
        </w:trPr>
        <w:tc>
          <w:tcPr>
            <w:tcW w:w="715"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rPr>
            </w:pPr>
            <w:r>
              <w:rPr>
                <w:rFonts w:eastAsia="宋体" w:cs="宋体"/>
                <w:sz w:val="24"/>
                <w:szCs w:val="24"/>
              </w:rPr>
              <w:t>2.2.1</w:t>
            </w:r>
          </w:p>
        </w:tc>
        <w:tc>
          <w:tcPr>
            <w:tcW w:w="8641"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lang w:eastAsia="zh-CN"/>
              </w:rPr>
            </w:pPr>
            <w:r>
              <w:rPr>
                <w:rFonts w:eastAsia="宋体" w:cs="宋体"/>
                <w:sz w:val="24"/>
                <w:szCs w:val="24"/>
                <w:lang w:eastAsia="zh-CN"/>
              </w:rPr>
              <w:t>破产法院或破产法官的专业化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 w:hRule="atLeast"/>
        </w:trPr>
        <w:tc>
          <w:tcPr>
            <w:tcW w:w="715"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rPr>
            </w:pPr>
            <w:r>
              <w:rPr>
                <w:rFonts w:eastAsia="宋体" w:cs="宋体"/>
                <w:sz w:val="24"/>
                <w:szCs w:val="24"/>
              </w:rPr>
              <w:t>2.2.2</w:t>
            </w:r>
          </w:p>
        </w:tc>
        <w:tc>
          <w:tcPr>
            <w:tcW w:w="8641" w:type="dxa"/>
            <w:tcBorders>
              <w:top w:val="single" w:color="000000" w:sz="4" w:space="0"/>
              <w:left w:val="single" w:color="000000" w:sz="4" w:space="0"/>
              <w:bottom w:val="single" w:color="000000" w:sz="4" w:space="0"/>
              <w:right w:val="single" w:color="000000" w:sz="4" w:space="0"/>
            </w:tcBorders>
          </w:tcPr>
          <w:p>
            <w:pPr>
              <w:pStyle w:val="10"/>
              <w:spacing w:before="103" w:line="400" w:lineRule="exact"/>
              <w:jc w:val="both"/>
              <w:rPr>
                <w:rFonts w:eastAsia="宋体" w:cs="宋体"/>
                <w:sz w:val="24"/>
                <w:szCs w:val="24"/>
                <w:lang w:eastAsia="zh-CN"/>
              </w:rPr>
            </w:pPr>
            <w:r>
              <w:rPr>
                <w:rFonts w:eastAsia="宋体" w:cs="宋体"/>
                <w:sz w:val="24"/>
                <w:szCs w:val="24"/>
                <w:lang w:eastAsia="zh-CN"/>
              </w:rPr>
              <w:t>破产管理人的实务专业知识</w:t>
            </w:r>
          </w:p>
        </w:tc>
      </w:tr>
    </w:tbl>
    <w:p>
      <w:pPr>
        <w:pStyle w:val="3"/>
        <w:spacing w:before="9" w:line="400" w:lineRule="exact"/>
        <w:ind w:firstLine="562" w:firstLineChars="200"/>
        <w:jc w:val="both"/>
        <w:rPr>
          <w:rFonts w:eastAsia="宋体"/>
          <w:b/>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2.1数字化和在线服务</w:t>
      </w:r>
    </w:p>
    <w:p>
      <w:pPr>
        <w:pStyle w:val="3"/>
        <w:spacing w:line="400" w:lineRule="exact"/>
        <w:ind w:left="120" w:right="198" w:firstLine="560" w:firstLineChars="200"/>
        <w:jc w:val="both"/>
        <w:rPr>
          <w:rFonts w:eastAsia="宋体"/>
          <w:sz w:val="28"/>
          <w:lang w:eastAsia="zh-CN"/>
        </w:rPr>
      </w:pPr>
      <w:r>
        <w:rPr>
          <w:rFonts w:hint="eastAsia" w:eastAsia="宋体" w:cs="宋体"/>
          <w:sz w:val="28"/>
          <w:lang w:val="en-US" w:eastAsia="zh-CN"/>
        </w:rPr>
        <w:t>类别</w:t>
      </w:r>
      <w:r>
        <w:rPr>
          <w:rFonts w:eastAsia="宋体" w:cs="宋体"/>
          <w:sz w:val="28"/>
          <w:lang w:eastAsia="zh-CN"/>
        </w:rPr>
        <w:t>2.1类有两个由若干指标组成的子类，每一个指标又可能由若干组成部分组成。</w:t>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2.1.1电子法庭</w:t>
      </w:r>
    </w:p>
    <w:p>
      <w:pPr>
        <w:pStyle w:val="3"/>
        <w:spacing w:before="2" w:line="400" w:lineRule="exact"/>
        <w:ind w:left="120" w:right="193" w:firstLine="560" w:firstLineChars="200"/>
        <w:jc w:val="both"/>
        <w:rPr>
          <w:rFonts w:eastAsia="宋体"/>
          <w:sz w:val="28"/>
          <w:lang w:eastAsia="zh-CN"/>
        </w:rPr>
      </w:pPr>
      <w:r>
        <w:rPr>
          <w:rFonts w:eastAsia="宋体" w:cs="宋体"/>
          <w:sz w:val="28"/>
          <w:lang w:eastAsia="zh-CN"/>
        </w:rPr>
        <w:t>由于法院自动化提高了效率和透明度，降低了行政成本，信息和通信技术(ICT)的快速发展为改善司法管理提供了新的机会。网络服务的可用性、电子归档的使用、法律文件的</w:t>
      </w:r>
      <w:r>
        <w:rPr>
          <w:rFonts w:hint="eastAsia" w:eastAsia="宋体" w:cs="宋体"/>
          <w:sz w:val="28"/>
          <w:lang w:eastAsia="zh-CN"/>
        </w:rPr>
        <w:t>信息</w:t>
      </w:r>
      <w:r>
        <w:rPr>
          <w:rFonts w:eastAsia="宋体" w:cs="宋体"/>
          <w:sz w:val="28"/>
          <w:lang w:eastAsia="zh-CN"/>
        </w:rPr>
        <w:t>交换以及在线立法和判例法的可能性，这些</w:t>
      </w:r>
      <w:r>
        <w:rPr>
          <w:rFonts w:hint="eastAsia" w:eastAsia="宋体" w:cs="宋体"/>
          <w:sz w:val="28"/>
          <w:lang w:eastAsia="zh-CN"/>
        </w:rPr>
        <w:t>激励着</w:t>
      </w:r>
      <w:r>
        <w:rPr>
          <w:rFonts w:eastAsia="宋体" w:cs="宋体"/>
          <w:sz w:val="28"/>
          <w:lang w:eastAsia="zh-CN"/>
        </w:rPr>
        <w:t>世界各地司法行政部门重新思考其当前职能和活动。信息通信技术可用于提高效率、</w:t>
      </w:r>
      <w:r>
        <w:rPr>
          <w:rFonts w:hint="eastAsia" w:eastAsia="宋体" w:cs="宋体"/>
          <w:sz w:val="28"/>
          <w:lang w:eastAsia="zh-CN"/>
        </w:rPr>
        <w:t>准确度</w:t>
      </w:r>
      <w:r>
        <w:rPr>
          <w:rFonts w:eastAsia="宋体" w:cs="宋体"/>
          <w:sz w:val="28"/>
          <w:lang w:eastAsia="zh-CN"/>
        </w:rPr>
        <w:t>、及时性、透明度和问责制，从而帮助司法机构提供充分的服务。</w:t>
      </w:r>
    </w:p>
    <w:p>
      <w:pPr>
        <w:pStyle w:val="3"/>
        <w:spacing w:line="400" w:lineRule="exact"/>
        <w:jc w:val="both"/>
        <w:rPr>
          <w:rFonts w:eastAsia="宋体"/>
          <w:sz w:val="28"/>
          <w:lang w:eastAsia="zh-CN"/>
        </w:rPr>
      </w:pPr>
      <w:r>
        <w:rPr>
          <w:rFonts w:eastAsia="宋体"/>
          <w:sz w:val="28"/>
        </w:rPr>
        <mc:AlternateContent>
          <mc:Choice Requires="wps">
            <w:drawing>
              <wp:anchor distT="0" distB="0" distL="114300" distR="114300" simplePos="0" relativeHeight="251660288" behindDoc="0" locked="0" layoutInCell="1" allowOverlap="1">
                <wp:simplePos x="0" y="0"/>
                <wp:positionH relativeFrom="column">
                  <wp:posOffset>55880</wp:posOffset>
                </wp:positionH>
                <wp:positionV relativeFrom="paragraph">
                  <wp:posOffset>116205</wp:posOffset>
                </wp:positionV>
                <wp:extent cx="5991225" cy="1447800"/>
                <wp:effectExtent l="4445" t="5080" r="11430" b="7620"/>
                <wp:wrapTopAndBottom/>
                <wp:docPr id="2" name="docshape1"/>
                <wp:cNvGraphicFramePr/>
                <a:graphic xmlns:a="http://schemas.openxmlformats.org/drawingml/2006/main">
                  <a:graphicData uri="http://schemas.microsoft.com/office/word/2010/wordprocessingShape">
                    <wps:wsp>
                      <wps:cNvSpPr txBox="1"/>
                      <wps:spPr>
                        <a:xfrm>
                          <a:off x="0" y="0"/>
                          <a:ext cx="5991225" cy="1447800"/>
                        </a:xfrm>
                        <a:prstGeom prst="rect">
                          <a:avLst/>
                        </a:prstGeom>
                        <a:noFill/>
                        <a:ln w="9525" cap="flat" cmpd="sng">
                          <a:solidFill>
                            <a:srgbClr val="000000"/>
                          </a:solidFill>
                          <a:prstDash val="solid"/>
                          <a:miter/>
                          <a:headEnd type="none" w="med" len="med"/>
                          <a:tailEnd type="none" w="med" len="med"/>
                        </a:ln>
                      </wps:spPr>
                      <wps:txbx>
                        <w:txbxContent>
                          <w:p>
                            <w:pPr>
                              <w:rPr>
                                <w:b/>
                                <w:sz w:val="24"/>
                                <w:szCs w:val="24"/>
                              </w:rPr>
                            </w:pPr>
                            <w:r>
                              <w:rPr>
                                <w:rFonts w:hAnsi="宋体" w:eastAsia="宋体" w:cs="宋体"/>
                                <w:b/>
                                <w:sz w:val="24"/>
                                <w:szCs w:val="24"/>
                              </w:rPr>
                              <w:t>框1。电子案件管理</w:t>
                            </w:r>
                          </w:p>
                          <w:p>
                            <w:pPr>
                              <w:pStyle w:val="3"/>
                              <w:rPr>
                                <w:b/>
                              </w:rPr>
                            </w:pPr>
                          </w:p>
                          <w:p>
                            <w:pPr>
                              <w:rPr>
                                <w:rFonts w:hAnsi="宋体" w:eastAsia="宋体" w:cs="宋体"/>
                                <w:sz w:val="24"/>
                                <w:szCs w:val="24"/>
                              </w:rPr>
                            </w:pPr>
                            <w:r>
                              <w:rPr>
                                <w:rFonts w:hAnsi="宋体" w:eastAsia="宋体" w:cs="宋体"/>
                                <w:sz w:val="24"/>
                                <w:szCs w:val="24"/>
                              </w:rPr>
                              <w:t>电子案件管理是指通过数字系统平台，使用随机选择法官的软件，以电子方式在法院分配案件。</w:t>
                            </w:r>
                            <w:r>
                              <w:rPr>
                                <w:rFonts w:hint="eastAsia" w:hAnsi="宋体" w:eastAsia="宋体" w:cs="宋体"/>
                                <w:sz w:val="24"/>
                                <w:szCs w:val="24"/>
                                <w:lang w:eastAsia="zh-CN"/>
                              </w:rPr>
                              <w:t>法庭上的案件可以</w:t>
                            </w:r>
                            <w:r>
                              <w:rPr>
                                <w:rFonts w:hAnsi="宋体" w:eastAsia="宋体" w:cs="宋体"/>
                                <w:sz w:val="24"/>
                                <w:szCs w:val="24"/>
                              </w:rPr>
                              <w:t>通过相关日期、专家电话、文件归档以及包括最终判决在内的任何法院公告等信息的平台，</w:t>
                            </w:r>
                            <w:r>
                              <w:rPr>
                                <w:rFonts w:hint="eastAsia" w:hAnsi="宋体" w:eastAsia="宋体" w:cs="宋体"/>
                                <w:sz w:val="24"/>
                                <w:szCs w:val="24"/>
                                <w:lang w:eastAsia="zh-CN"/>
                              </w:rPr>
                              <w:t>进行跟踪</w:t>
                            </w:r>
                            <w:r>
                              <w:rPr>
                                <w:rFonts w:hAnsi="宋体" w:eastAsia="宋体" w:cs="宋体"/>
                                <w:sz w:val="24"/>
                                <w:szCs w:val="24"/>
                              </w:rPr>
                              <w:t>。电子案件管理系统还包括</w:t>
                            </w:r>
                            <w:r>
                              <w:rPr>
                                <w:rFonts w:hint="eastAsia" w:hAnsi="宋体" w:eastAsia="宋体" w:cs="宋体"/>
                                <w:sz w:val="24"/>
                                <w:szCs w:val="24"/>
                                <w:lang w:eastAsia="zh-CN"/>
                              </w:rPr>
                              <w:t>绩效</w:t>
                            </w:r>
                            <w:r>
                              <w:rPr>
                                <w:rFonts w:hAnsi="宋体" w:eastAsia="宋体" w:cs="宋体"/>
                                <w:sz w:val="24"/>
                                <w:szCs w:val="24"/>
                              </w:rPr>
                              <w:t>报告。法院自动化包括法官和律师以及破产管理人的电子案件管理，这样他们就可以跟踪案件的状态、听证会日期、专家咨询(如果有的话)和最终判决(见贸易法委员会立法指南建议169，第263页)。</w:t>
                            </w:r>
                          </w:p>
                        </w:txbxContent>
                      </wps:txbx>
                      <wps:bodyPr lIns="0" tIns="0" rIns="0" bIns="0" upright="1"/>
                    </wps:wsp>
                  </a:graphicData>
                </a:graphic>
              </wp:anchor>
            </w:drawing>
          </mc:Choice>
          <mc:Fallback>
            <w:pict>
              <v:shape id="docshape1" o:spid="_x0000_s1026" o:spt="202" type="#_x0000_t202" style="position:absolute;left:0pt;margin-left:4.4pt;margin-top:9.15pt;height:114pt;width:471.75pt;mso-wrap-distance-bottom:0pt;mso-wrap-distance-top:0pt;z-index:251660288;mso-width-relative:page;mso-height-relative:page;" filled="f" stroked="t" coordsize="21600,21600" o:gfxdata="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0CF4fdgAAAAIAQAADwAAAAAAAAABACAAAAAiAAAAZHJz&#10;L2Rvd25yZXYueG1sUEsBAhQAFAAAAAgAh07iQHBzbg0EAgAAMAQAAA4AAAAAAAAAAQAgAAAAJwEA&#10;AGRycy9lMm9Eb2MueG1sUEsFBgAAAAAGAAYAWQEAAJ0FAAAAAA==&#10;">
                <v:fill on="f" focussize="0,0"/>
                <v:stroke color="#000000" joinstyle="miter"/>
                <v:imagedata o:title=""/>
                <o:lock v:ext="edit" aspectratio="f"/>
                <v:textbox inset="0mm,0mm,0mm,0mm">
                  <w:txbxContent>
                    <w:p>
                      <w:pPr>
                        <w:rPr>
                          <w:b/>
                          <w:sz w:val="24"/>
                          <w:szCs w:val="24"/>
                        </w:rPr>
                      </w:pPr>
                      <w:r>
                        <w:rPr>
                          <w:rFonts w:hAnsi="宋体" w:eastAsia="宋体" w:cs="宋体"/>
                          <w:b/>
                          <w:sz w:val="24"/>
                          <w:szCs w:val="24"/>
                        </w:rPr>
                        <w:t>框1。电子案件管理</w:t>
                      </w:r>
                    </w:p>
                    <w:p>
                      <w:pPr>
                        <w:pStyle w:val="3"/>
                        <w:rPr>
                          <w:b/>
                        </w:rPr>
                      </w:pPr>
                    </w:p>
                    <w:p>
                      <w:pPr>
                        <w:rPr>
                          <w:rFonts w:hAnsi="宋体" w:eastAsia="宋体" w:cs="宋体"/>
                          <w:sz w:val="24"/>
                          <w:szCs w:val="24"/>
                        </w:rPr>
                      </w:pPr>
                      <w:r>
                        <w:rPr>
                          <w:rFonts w:hAnsi="宋体" w:eastAsia="宋体" w:cs="宋体"/>
                          <w:sz w:val="24"/>
                          <w:szCs w:val="24"/>
                        </w:rPr>
                        <w:t>电子案件管理是指通过数字系统平台，使用随机选择法官的软件，以电子方式在法院分配案件。</w:t>
                      </w:r>
                      <w:r>
                        <w:rPr>
                          <w:rFonts w:hint="eastAsia" w:hAnsi="宋体" w:eastAsia="宋体" w:cs="宋体"/>
                          <w:sz w:val="24"/>
                          <w:szCs w:val="24"/>
                          <w:lang w:eastAsia="zh-CN"/>
                        </w:rPr>
                        <w:t>法庭上的案件可以</w:t>
                      </w:r>
                      <w:r>
                        <w:rPr>
                          <w:rFonts w:hAnsi="宋体" w:eastAsia="宋体" w:cs="宋体"/>
                          <w:sz w:val="24"/>
                          <w:szCs w:val="24"/>
                        </w:rPr>
                        <w:t>通过相关日期、专家电话、文件归档以及包括最终判决在内的任何法院公告等信息的平台，</w:t>
                      </w:r>
                      <w:r>
                        <w:rPr>
                          <w:rFonts w:hint="eastAsia" w:hAnsi="宋体" w:eastAsia="宋体" w:cs="宋体"/>
                          <w:sz w:val="24"/>
                          <w:szCs w:val="24"/>
                          <w:lang w:eastAsia="zh-CN"/>
                        </w:rPr>
                        <w:t>进行跟踪</w:t>
                      </w:r>
                      <w:r>
                        <w:rPr>
                          <w:rFonts w:hAnsi="宋体" w:eastAsia="宋体" w:cs="宋体"/>
                          <w:sz w:val="24"/>
                          <w:szCs w:val="24"/>
                        </w:rPr>
                        <w:t>。电子案件管理系统还包括</w:t>
                      </w:r>
                      <w:r>
                        <w:rPr>
                          <w:rFonts w:hint="eastAsia" w:hAnsi="宋体" w:eastAsia="宋体" w:cs="宋体"/>
                          <w:sz w:val="24"/>
                          <w:szCs w:val="24"/>
                          <w:lang w:eastAsia="zh-CN"/>
                        </w:rPr>
                        <w:t>绩效</w:t>
                      </w:r>
                      <w:r>
                        <w:rPr>
                          <w:rFonts w:hAnsi="宋体" w:eastAsia="宋体" w:cs="宋体"/>
                          <w:sz w:val="24"/>
                          <w:szCs w:val="24"/>
                        </w:rPr>
                        <w:t>报告。法院自动化包括法官和律师以及破产管理人的电子案件管理，这样他们就可以跟踪案件的状态、听证会日期、专家咨询(如果有的话)和最终判决(见贸易法委员会立法指南建议169，第263页)。</w:t>
                      </w:r>
                    </w:p>
                  </w:txbxContent>
                </v:textbox>
                <w10:wrap type="topAndBottom"/>
              </v:shape>
            </w:pict>
          </mc:Fallback>
        </mc:AlternateContent>
      </w:r>
    </w:p>
    <w:p>
      <w:pPr>
        <w:pStyle w:val="3"/>
        <w:spacing w:before="52" w:line="400" w:lineRule="exact"/>
        <w:ind w:left="120" w:right="194" w:firstLine="560" w:firstLineChars="200"/>
        <w:jc w:val="both"/>
        <w:rPr>
          <w:rFonts w:eastAsia="宋体"/>
          <w:sz w:val="28"/>
          <w:lang w:eastAsia="zh-CN"/>
        </w:rPr>
      </w:pPr>
      <w:r>
        <w:rPr>
          <w:rFonts w:eastAsia="宋体" w:cs="宋体"/>
          <w:sz w:val="28"/>
          <w:lang w:eastAsia="zh-CN"/>
        </w:rPr>
        <w:t>此外，电子拍卖的使用有可能增加竞标者的数量，从而可能提高遗产价值的回收率。</w:t>
      </w:r>
      <w:r>
        <w:rPr>
          <w:rFonts w:eastAsia="宋体" w:cs="宋体"/>
          <w:sz w:val="28"/>
          <w:vertAlign w:val="superscript"/>
          <w:lang w:eastAsia="zh-CN"/>
        </w:rPr>
        <w:t>32</w:t>
      </w:r>
      <w:r>
        <w:rPr>
          <w:rFonts w:eastAsia="宋体" w:cs="宋体"/>
          <w:sz w:val="28"/>
          <w:lang w:eastAsia="zh-CN"/>
        </w:rPr>
        <w:t>因此，子类别2.1.1 -电子法院包括六个指标(表11)。</w:t>
      </w:r>
    </w:p>
    <w:p>
      <w:pPr>
        <w:spacing w:before="215" w:line="400" w:lineRule="exact"/>
        <w:jc w:val="center"/>
        <w:rPr>
          <w:rFonts w:eastAsia="宋体" w:cs="宋体"/>
          <w:b/>
          <w:sz w:val="28"/>
          <w:lang w:eastAsia="zh-CN"/>
        </w:rPr>
      </w:pPr>
      <w:r>
        <w:rPr>
          <w:rFonts w:eastAsia="宋体" w:cs="宋体"/>
          <w:b/>
          <w:sz w:val="28"/>
        </w:rPr>
        <w:t>表11</w:t>
      </w:r>
      <w:r>
        <w:rPr>
          <w:rFonts w:hint="eastAsia" w:eastAsia="宋体" w:cs="宋体"/>
          <w:b/>
          <w:sz w:val="28"/>
          <w:lang w:val="en-US" w:eastAsia="zh-CN"/>
        </w:rPr>
        <w:t xml:space="preserve">. </w:t>
      </w:r>
      <w:r>
        <w:rPr>
          <w:rFonts w:eastAsia="宋体" w:cs="宋体"/>
          <w:b/>
          <w:sz w:val="28"/>
        </w:rPr>
        <w:t>子类2.1.1-</w:t>
      </w:r>
      <w:r>
        <w:rPr>
          <w:rFonts w:hint="eastAsia" w:eastAsia="宋体" w:cs="宋体"/>
          <w:b/>
          <w:sz w:val="28"/>
          <w:lang w:eastAsia="zh-CN"/>
        </w:rPr>
        <w:t>电子法庭</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3"/>
        <w:gridCol w:w="2742"/>
        <w:gridCol w:w="6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33" w:type="dxa"/>
            <w:shd w:val="clear" w:color="auto" w:fill="E7EBF5"/>
          </w:tcPr>
          <w:p>
            <w:pPr>
              <w:pStyle w:val="10"/>
              <w:spacing w:before="103" w:line="400" w:lineRule="exact"/>
              <w:jc w:val="both"/>
              <w:rPr>
                <w:rFonts w:eastAsia="宋体" w:cs="宋体"/>
                <w:sz w:val="24"/>
                <w:szCs w:val="24"/>
              </w:rPr>
            </w:pPr>
          </w:p>
        </w:tc>
        <w:tc>
          <w:tcPr>
            <w:tcW w:w="2742" w:type="dxa"/>
            <w:shd w:val="clear" w:color="auto" w:fill="E7EBF5"/>
          </w:tcPr>
          <w:p>
            <w:pPr>
              <w:pStyle w:val="10"/>
              <w:spacing w:before="103" w:line="400" w:lineRule="exact"/>
              <w:jc w:val="both"/>
              <w:rPr>
                <w:rFonts w:eastAsia="宋体" w:cs="宋体"/>
                <w:b/>
                <w:bCs/>
                <w:sz w:val="24"/>
                <w:szCs w:val="24"/>
              </w:rPr>
            </w:pPr>
            <w:r>
              <w:rPr>
                <w:rFonts w:eastAsia="宋体" w:cs="宋体"/>
                <w:b/>
                <w:bCs/>
                <w:sz w:val="24"/>
                <w:szCs w:val="24"/>
              </w:rPr>
              <w:t>指标</w:t>
            </w:r>
          </w:p>
        </w:tc>
        <w:tc>
          <w:tcPr>
            <w:tcW w:w="6180" w:type="dxa"/>
            <w:shd w:val="clear" w:color="auto" w:fill="E7EBF5"/>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33" w:type="dxa"/>
            <w:vAlign w:val="center"/>
          </w:tcPr>
          <w:p>
            <w:pPr>
              <w:pStyle w:val="10"/>
              <w:spacing w:before="103" w:line="400" w:lineRule="exact"/>
              <w:jc w:val="both"/>
              <w:rPr>
                <w:rFonts w:eastAsia="宋体" w:cs="宋体"/>
                <w:sz w:val="24"/>
                <w:szCs w:val="24"/>
              </w:rPr>
            </w:pPr>
            <w:r>
              <w:rPr>
                <w:rFonts w:eastAsia="宋体" w:cs="宋体"/>
                <w:sz w:val="24"/>
                <w:szCs w:val="24"/>
              </w:rPr>
              <w:t>1</w:t>
            </w:r>
          </w:p>
        </w:tc>
        <w:tc>
          <w:tcPr>
            <w:tcW w:w="2742" w:type="dxa"/>
            <w:vAlign w:val="center"/>
          </w:tcPr>
          <w:p>
            <w:pPr>
              <w:pStyle w:val="10"/>
              <w:spacing w:before="103" w:line="400" w:lineRule="exact"/>
              <w:jc w:val="both"/>
              <w:rPr>
                <w:rFonts w:eastAsia="宋体" w:cs="宋体"/>
                <w:sz w:val="24"/>
                <w:szCs w:val="24"/>
              </w:rPr>
            </w:pPr>
            <w:r>
              <w:rPr>
                <w:rFonts w:eastAsia="宋体" w:cs="宋体"/>
                <w:sz w:val="24"/>
                <w:szCs w:val="24"/>
              </w:rPr>
              <w:t>电子文件</w:t>
            </w:r>
          </w:p>
        </w:tc>
        <w:tc>
          <w:tcPr>
            <w:tcW w:w="6180" w:type="dxa"/>
            <w:vMerge w:val="restart"/>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除了为法官、律师和破产管理人提供功能完备的案件管理系统外，还存在可全面运行的电子</w:t>
            </w:r>
            <w:r>
              <w:rPr>
                <w:rFonts w:hint="eastAsia" w:eastAsia="宋体" w:cs="宋体"/>
                <w:sz w:val="24"/>
                <w:szCs w:val="24"/>
                <w:lang w:eastAsia="zh-CN"/>
              </w:rPr>
              <w:t>存档</w:t>
            </w:r>
            <w:r>
              <w:rPr>
                <w:rFonts w:eastAsia="宋体" w:cs="宋体"/>
                <w:sz w:val="24"/>
                <w:szCs w:val="24"/>
                <w:lang w:eastAsia="zh-CN"/>
              </w:rPr>
              <w:t>和电子支付系统</w:t>
            </w:r>
          </w:p>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ii)</w:t>
            </w:r>
            <w:r>
              <w:rPr>
                <w:rFonts w:eastAsia="宋体" w:cs="宋体"/>
                <w:sz w:val="24"/>
                <w:szCs w:val="24"/>
                <w:lang w:eastAsia="zh-CN"/>
              </w:rPr>
              <w:t>进行拍卖和听证的可能性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33" w:type="dxa"/>
            <w:vAlign w:val="center"/>
          </w:tcPr>
          <w:p>
            <w:pPr>
              <w:pStyle w:val="10"/>
              <w:spacing w:before="103" w:line="400" w:lineRule="exact"/>
              <w:jc w:val="both"/>
              <w:rPr>
                <w:rFonts w:eastAsia="宋体" w:cs="宋体"/>
                <w:sz w:val="24"/>
                <w:szCs w:val="24"/>
              </w:rPr>
            </w:pPr>
            <w:r>
              <w:rPr>
                <w:rFonts w:eastAsia="宋体" w:cs="宋体"/>
                <w:sz w:val="24"/>
                <w:szCs w:val="24"/>
              </w:rPr>
              <w:t>2</w:t>
            </w:r>
          </w:p>
        </w:tc>
        <w:tc>
          <w:tcPr>
            <w:tcW w:w="2742"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以电子方式支付法庭费用</w:t>
            </w:r>
          </w:p>
        </w:tc>
        <w:tc>
          <w:tcPr>
            <w:tcW w:w="6180" w:type="dxa"/>
            <w:vMerge w:val="continue"/>
            <w:tcBorders>
              <w:top w:val="nil"/>
            </w:tcBorders>
          </w:tcPr>
          <w:p>
            <w:pPr>
              <w:spacing w:line="400" w:lineRule="exact"/>
              <w:ind w:firstLine="560" w:firstLineChars="200"/>
              <w:jc w:val="both"/>
              <w:rPr>
                <w:rFonts w:eastAsia="宋体"/>
                <w:sz w:val="28"/>
                <w:szCs w:val="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33" w:type="dxa"/>
            <w:vAlign w:val="center"/>
          </w:tcPr>
          <w:p>
            <w:pPr>
              <w:pStyle w:val="10"/>
              <w:spacing w:before="103" w:line="400" w:lineRule="exact"/>
              <w:jc w:val="both"/>
              <w:rPr>
                <w:rFonts w:eastAsia="宋体" w:cs="宋体"/>
                <w:sz w:val="24"/>
                <w:szCs w:val="24"/>
              </w:rPr>
            </w:pPr>
            <w:r>
              <w:rPr>
                <w:rFonts w:eastAsia="宋体" w:cs="宋体"/>
                <w:sz w:val="24"/>
                <w:szCs w:val="24"/>
              </w:rPr>
              <w:t>3.</w:t>
            </w:r>
          </w:p>
        </w:tc>
        <w:tc>
          <w:tcPr>
            <w:tcW w:w="2742"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法官和律师的电子案件管理</w:t>
            </w:r>
          </w:p>
        </w:tc>
        <w:tc>
          <w:tcPr>
            <w:tcW w:w="6180" w:type="dxa"/>
            <w:vMerge w:val="continue"/>
            <w:tcBorders>
              <w:top w:val="nil"/>
            </w:tcBorders>
          </w:tcPr>
          <w:p>
            <w:pPr>
              <w:spacing w:line="400" w:lineRule="exact"/>
              <w:ind w:firstLine="560" w:firstLineChars="200"/>
              <w:jc w:val="both"/>
              <w:rPr>
                <w:rFonts w:eastAsia="宋体"/>
                <w:sz w:val="28"/>
                <w:szCs w:val="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33" w:type="dxa"/>
            <w:vAlign w:val="center"/>
          </w:tcPr>
          <w:p>
            <w:pPr>
              <w:pStyle w:val="10"/>
              <w:spacing w:before="103" w:line="400" w:lineRule="exact"/>
              <w:jc w:val="both"/>
              <w:rPr>
                <w:rFonts w:eastAsia="宋体" w:cs="宋体"/>
                <w:sz w:val="24"/>
                <w:szCs w:val="24"/>
              </w:rPr>
            </w:pPr>
            <w:r>
              <w:rPr>
                <w:rFonts w:eastAsia="宋体" w:cs="宋体"/>
                <w:sz w:val="24"/>
                <w:szCs w:val="24"/>
              </w:rPr>
              <w:t>4</w:t>
            </w:r>
          </w:p>
        </w:tc>
        <w:tc>
          <w:tcPr>
            <w:tcW w:w="2742"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破产管理人的电子案件管理</w:t>
            </w:r>
          </w:p>
        </w:tc>
        <w:tc>
          <w:tcPr>
            <w:tcW w:w="6180" w:type="dxa"/>
            <w:vMerge w:val="continue"/>
            <w:tcBorders>
              <w:top w:val="nil"/>
            </w:tcBorders>
          </w:tcPr>
          <w:p>
            <w:pPr>
              <w:spacing w:line="400" w:lineRule="exact"/>
              <w:ind w:firstLine="560" w:firstLineChars="200"/>
              <w:jc w:val="both"/>
              <w:rPr>
                <w:rFonts w:eastAsia="宋体"/>
                <w:sz w:val="28"/>
                <w:szCs w:val="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33" w:type="dxa"/>
            <w:vAlign w:val="center"/>
          </w:tcPr>
          <w:p>
            <w:pPr>
              <w:pStyle w:val="10"/>
              <w:spacing w:before="103" w:line="400" w:lineRule="exact"/>
              <w:jc w:val="both"/>
              <w:rPr>
                <w:rFonts w:eastAsia="宋体" w:cs="宋体"/>
                <w:sz w:val="24"/>
                <w:szCs w:val="24"/>
              </w:rPr>
            </w:pPr>
            <w:r>
              <w:rPr>
                <w:rFonts w:eastAsia="宋体" w:cs="宋体"/>
                <w:sz w:val="24"/>
                <w:szCs w:val="24"/>
              </w:rPr>
              <w:t>5</w:t>
            </w:r>
          </w:p>
        </w:tc>
        <w:tc>
          <w:tcPr>
            <w:tcW w:w="2742" w:type="dxa"/>
            <w:vAlign w:val="center"/>
          </w:tcPr>
          <w:p>
            <w:pPr>
              <w:pStyle w:val="10"/>
              <w:spacing w:before="103" w:line="400" w:lineRule="exact"/>
              <w:jc w:val="both"/>
              <w:rPr>
                <w:rFonts w:eastAsia="宋体" w:cs="宋体"/>
                <w:sz w:val="24"/>
                <w:szCs w:val="24"/>
              </w:rPr>
            </w:pPr>
            <w:r>
              <w:rPr>
                <w:rFonts w:eastAsia="宋体" w:cs="宋体"/>
                <w:sz w:val="24"/>
                <w:szCs w:val="24"/>
              </w:rPr>
              <w:t>电子拍卖</w:t>
            </w:r>
          </w:p>
        </w:tc>
        <w:tc>
          <w:tcPr>
            <w:tcW w:w="6180" w:type="dxa"/>
            <w:vMerge w:val="continue"/>
            <w:tcBorders>
              <w:top w:val="nil"/>
            </w:tcBorders>
          </w:tcPr>
          <w:p>
            <w:pPr>
              <w:spacing w:line="400" w:lineRule="exact"/>
              <w:ind w:firstLine="560" w:firstLineChars="200"/>
              <w:jc w:val="both"/>
              <w:rPr>
                <w:rFonts w:eastAsia="宋体"/>
                <w:sz w:val="28"/>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33" w:type="dxa"/>
            <w:vAlign w:val="center"/>
          </w:tcPr>
          <w:p>
            <w:pPr>
              <w:pStyle w:val="10"/>
              <w:spacing w:before="103" w:line="400" w:lineRule="exact"/>
              <w:jc w:val="both"/>
              <w:rPr>
                <w:rFonts w:eastAsia="宋体" w:cs="宋体"/>
                <w:sz w:val="24"/>
                <w:szCs w:val="24"/>
              </w:rPr>
            </w:pPr>
            <w:r>
              <w:rPr>
                <w:rFonts w:eastAsia="宋体" w:cs="宋体"/>
                <w:sz w:val="24"/>
                <w:szCs w:val="24"/>
              </w:rPr>
              <w:t>6</w:t>
            </w:r>
          </w:p>
        </w:tc>
        <w:tc>
          <w:tcPr>
            <w:tcW w:w="2742" w:type="dxa"/>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网上听证会</w:t>
            </w:r>
          </w:p>
        </w:tc>
        <w:tc>
          <w:tcPr>
            <w:tcW w:w="6180" w:type="dxa"/>
            <w:vMerge w:val="continue"/>
            <w:tcBorders>
              <w:top w:val="nil"/>
            </w:tcBorders>
          </w:tcPr>
          <w:p>
            <w:pPr>
              <w:spacing w:line="400" w:lineRule="exact"/>
              <w:ind w:firstLine="560" w:firstLineChars="200"/>
              <w:jc w:val="both"/>
              <w:rPr>
                <w:rFonts w:eastAsia="宋体"/>
                <w:sz w:val="28"/>
                <w:szCs w:val="2"/>
              </w:rPr>
            </w:pPr>
          </w:p>
        </w:tc>
      </w:tr>
    </w:tbl>
    <w:p>
      <w:pPr>
        <w:rPr>
          <w:rFonts w:eastAsia="宋体"/>
          <w:b/>
          <w:sz w:val="28"/>
        </w:rPr>
      </w:pPr>
      <w:r>
        <w:rPr>
          <w:rFonts w:eastAsia="宋体"/>
          <w:b/>
          <w:sz w:val="28"/>
        </w:rPr>
        <w:br w:type="page"/>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2.1.2破产程序服务(电子服务)的互操作性和信息的公开可用性</w:t>
      </w:r>
    </w:p>
    <w:p>
      <w:pPr>
        <w:pStyle w:val="3"/>
        <w:spacing w:before="1" w:line="400" w:lineRule="exact"/>
        <w:ind w:left="120" w:right="193" w:firstLine="560" w:firstLineChars="200"/>
        <w:jc w:val="both"/>
        <w:rPr>
          <w:rFonts w:eastAsia="宋体"/>
          <w:sz w:val="28"/>
          <w:lang w:eastAsia="zh-CN"/>
        </w:rPr>
      </w:pPr>
      <w:r>
        <w:rPr>
          <w:rFonts w:eastAsia="宋体" w:cs="宋体"/>
          <w:sz w:val="28"/>
          <w:lang w:eastAsia="zh-CN"/>
        </w:rPr>
        <w:t>在透明的破产框架中，所有破产对应方，包括破产代表、法警等判决执行代理人和债权人，都应能</w:t>
      </w:r>
      <w:r>
        <w:rPr>
          <w:rFonts w:hint="eastAsia" w:eastAsia="宋体" w:cs="宋体"/>
          <w:sz w:val="28"/>
          <w:lang w:eastAsia="zh-CN"/>
        </w:rPr>
        <w:t>获得</w:t>
      </w:r>
      <w:r>
        <w:rPr>
          <w:rFonts w:eastAsia="宋体" w:cs="宋体"/>
          <w:sz w:val="28"/>
          <w:lang w:eastAsia="zh-CN"/>
        </w:rPr>
        <w:t>相关登记册，如记录识别和扣押资产所需的所有权详细信息的土地所有权登记册和公司登记册，以及专业登记册和其他相关信息。</w:t>
      </w:r>
      <w:r>
        <w:rPr>
          <w:rFonts w:hint="eastAsia" w:eastAsia="宋体" w:cs="宋体"/>
          <w:sz w:val="28"/>
          <w:lang w:eastAsia="zh-CN"/>
        </w:rPr>
        <w:t>综合和方便地获取这些信息</w:t>
      </w:r>
      <w:r>
        <w:rPr>
          <w:rFonts w:eastAsia="宋体" w:cs="宋体"/>
          <w:sz w:val="28"/>
          <w:lang w:eastAsia="zh-CN"/>
        </w:rPr>
        <w:t>，加快了获取判决债务人财产信息的进程。</w:t>
      </w:r>
    </w:p>
    <w:p>
      <w:pPr>
        <w:pStyle w:val="3"/>
        <w:spacing w:line="400" w:lineRule="exact"/>
        <w:ind w:left="120" w:right="193" w:firstLine="560" w:firstLineChars="200"/>
        <w:jc w:val="both"/>
        <w:rPr>
          <w:rFonts w:eastAsia="宋体"/>
          <w:sz w:val="28"/>
          <w:lang w:eastAsia="zh-CN"/>
        </w:rPr>
      </w:pPr>
      <w:r>
        <w:rPr>
          <w:rFonts w:eastAsia="宋体" w:cs="宋体"/>
          <w:sz w:val="28"/>
          <w:lang w:eastAsia="zh-CN"/>
        </w:rPr>
        <w:t>公布各级法院诉讼的判决书是国际公认的良好做法。在破产案件中，这种判决可以提供法律指导，因为法律仍然</w:t>
      </w:r>
      <w:r>
        <w:rPr>
          <w:rFonts w:hint="eastAsia" w:eastAsia="宋体" w:cs="宋体"/>
          <w:sz w:val="28"/>
          <w:lang w:eastAsia="zh-CN"/>
        </w:rPr>
        <w:t>在更新</w:t>
      </w:r>
      <w:r>
        <w:rPr>
          <w:rFonts w:eastAsia="宋体" w:cs="宋体"/>
          <w:sz w:val="28"/>
          <w:lang w:eastAsia="zh-CN"/>
        </w:rPr>
        <w:t>。公布判决书也将增加透明度和可信度。这一数据体系的创建可能会进一步促进法官和律师专业知识的增长。手头有大量相关的判例法，有助于</w:t>
      </w:r>
      <w:r>
        <w:rPr>
          <w:rFonts w:hint="eastAsia" w:eastAsia="宋体" w:cs="宋体"/>
          <w:sz w:val="28"/>
          <w:lang w:eastAsia="zh-CN"/>
        </w:rPr>
        <w:t>相</w:t>
      </w:r>
      <w:r>
        <w:rPr>
          <w:rFonts w:eastAsia="宋体" w:cs="宋体"/>
          <w:sz w:val="28"/>
          <w:lang w:eastAsia="zh-CN"/>
        </w:rPr>
        <w:t>关各方了解这一法律领域的</w:t>
      </w:r>
      <w:r>
        <w:rPr>
          <w:rFonts w:hint="eastAsia" w:eastAsia="宋体" w:cs="宋体"/>
          <w:sz w:val="28"/>
          <w:lang w:eastAsia="zh-CN"/>
        </w:rPr>
        <w:t>细节</w:t>
      </w:r>
      <w:r>
        <w:rPr>
          <w:rFonts w:eastAsia="宋体" w:cs="宋体"/>
          <w:sz w:val="28"/>
          <w:lang w:eastAsia="zh-CN"/>
        </w:rPr>
        <w:t>，追踪当前趋势，并确定可能的风险和如何避免风险的解决方案。</w:t>
      </w:r>
      <w:r>
        <w:rPr>
          <w:rFonts w:eastAsia="宋体" w:cs="宋体"/>
          <w:sz w:val="28"/>
          <w:vertAlign w:val="superscript"/>
          <w:lang w:eastAsia="zh-CN"/>
        </w:rPr>
        <w:t>33</w:t>
      </w:r>
      <w:r>
        <w:rPr>
          <w:rFonts w:eastAsia="宋体" w:cs="宋体"/>
          <w:sz w:val="28"/>
          <w:lang w:eastAsia="zh-CN"/>
        </w:rPr>
        <w:t>因此，子类别2.1.2——破产程序服务(电子服务)的互操作性和信息的公开可得性包括四个指标(表12)。</w:t>
      </w:r>
    </w:p>
    <w:p>
      <w:pPr>
        <w:spacing w:before="215" w:line="400" w:lineRule="exact"/>
        <w:jc w:val="center"/>
        <w:rPr>
          <w:rFonts w:eastAsia="宋体" w:cs="宋体"/>
          <w:b/>
          <w:sz w:val="28"/>
          <w:lang w:eastAsia="zh-CN"/>
        </w:rPr>
      </w:pPr>
      <w:r>
        <w:rPr>
          <w:rFonts w:eastAsia="宋体" w:cs="宋体"/>
          <w:b/>
          <w:sz w:val="28"/>
          <w:lang w:eastAsia="zh-CN"/>
        </w:rPr>
        <w:t>表12</w:t>
      </w:r>
      <w:r>
        <w:rPr>
          <w:rFonts w:hint="eastAsia" w:eastAsia="宋体" w:cs="宋体"/>
          <w:b/>
          <w:sz w:val="28"/>
          <w:lang w:val="en-US" w:eastAsia="zh-CN"/>
        </w:rPr>
        <w:t xml:space="preserve">. </w:t>
      </w:r>
      <w:r>
        <w:rPr>
          <w:rFonts w:eastAsia="宋体" w:cs="宋体"/>
          <w:b/>
          <w:sz w:val="28"/>
          <w:lang w:eastAsia="zh-CN"/>
        </w:rPr>
        <w:t>子类别2.1.2 -破产程序服务(电子服务)的互操作性和信息的公开可用性</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624"/>
        <w:gridCol w:w="6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0"/>
              <w:spacing w:line="400" w:lineRule="exact"/>
              <w:ind w:left="0" w:firstLine="560" w:firstLineChars="200"/>
              <w:jc w:val="both"/>
              <w:rPr>
                <w:rFonts w:eastAsia="宋体"/>
                <w:sz w:val="28"/>
                <w:lang w:eastAsia="zh-CN"/>
              </w:rPr>
            </w:pPr>
          </w:p>
        </w:tc>
        <w:tc>
          <w:tcPr>
            <w:tcW w:w="2624" w:type="dxa"/>
            <w:shd w:val="clear" w:color="auto" w:fill="E7EBF5"/>
            <w:vAlign w:val="center"/>
          </w:tcPr>
          <w:p>
            <w:pPr>
              <w:pStyle w:val="10"/>
              <w:spacing w:before="103" w:line="400" w:lineRule="exact"/>
              <w:jc w:val="both"/>
              <w:rPr>
                <w:rFonts w:eastAsia="宋体" w:cs="宋体"/>
                <w:b/>
                <w:bCs/>
                <w:sz w:val="24"/>
                <w:szCs w:val="24"/>
              </w:rPr>
            </w:pPr>
            <w:r>
              <w:rPr>
                <w:rFonts w:eastAsia="宋体" w:cs="宋体"/>
                <w:b/>
                <w:bCs/>
                <w:sz w:val="24"/>
                <w:szCs w:val="24"/>
              </w:rPr>
              <w:t>指标</w:t>
            </w:r>
          </w:p>
        </w:tc>
        <w:tc>
          <w:tcPr>
            <w:tcW w:w="6285" w:type="dxa"/>
            <w:shd w:val="clear" w:color="auto" w:fill="E7EBF5"/>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0"/>
              <w:spacing w:before="103" w:line="400" w:lineRule="exact"/>
              <w:jc w:val="both"/>
              <w:rPr>
                <w:rFonts w:eastAsia="宋体"/>
                <w:sz w:val="28"/>
              </w:rPr>
            </w:pPr>
            <w:r>
              <w:rPr>
                <w:rFonts w:eastAsia="宋体" w:cs="宋体"/>
                <w:sz w:val="28"/>
              </w:rPr>
              <w:t>1</w:t>
            </w:r>
          </w:p>
        </w:tc>
        <w:tc>
          <w:tcPr>
            <w:tcW w:w="2624"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与外部系统的互操作性</w:t>
            </w:r>
          </w:p>
        </w:tc>
        <w:tc>
          <w:tcPr>
            <w:tcW w:w="6285" w:type="dxa"/>
            <w:vMerge w:val="restart"/>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i)</w:t>
            </w:r>
            <w:r>
              <w:rPr>
                <w:rFonts w:eastAsia="宋体" w:cs="宋体"/>
                <w:sz w:val="24"/>
                <w:szCs w:val="24"/>
                <w:lang w:eastAsia="zh-CN"/>
              </w:rPr>
              <w:t>与其他当局交换数据，提高司法行政的效率</w:t>
            </w:r>
          </w:p>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ii)可从网上获得</w:t>
            </w:r>
            <w:r>
              <w:rPr>
                <w:rFonts w:eastAsia="宋体" w:cs="宋体"/>
                <w:sz w:val="24"/>
                <w:szCs w:val="24"/>
                <w:lang w:eastAsia="zh-CN"/>
              </w:rPr>
              <w:t>判决书、破产程序和破产从业人员登记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2</w:t>
            </w:r>
          </w:p>
        </w:tc>
        <w:tc>
          <w:tcPr>
            <w:tcW w:w="2624"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破产程序判决书的公布</w:t>
            </w:r>
          </w:p>
        </w:tc>
        <w:tc>
          <w:tcPr>
            <w:tcW w:w="6285" w:type="dxa"/>
            <w:vMerge w:val="continue"/>
            <w:tcBorders>
              <w:top w:val="nil"/>
            </w:tcBorders>
          </w:tcPr>
          <w:p>
            <w:pPr>
              <w:spacing w:line="400" w:lineRule="exact"/>
              <w:ind w:firstLine="560" w:firstLineChars="200"/>
              <w:jc w:val="both"/>
              <w:rPr>
                <w:rFonts w:eastAsia="宋体"/>
                <w:sz w:val="28"/>
                <w:szCs w:val="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3.</w:t>
            </w:r>
          </w:p>
        </w:tc>
        <w:tc>
          <w:tcPr>
            <w:tcW w:w="2624" w:type="dxa"/>
            <w:vAlign w:val="center"/>
          </w:tcPr>
          <w:p>
            <w:pPr>
              <w:pStyle w:val="10"/>
              <w:spacing w:before="103" w:line="400" w:lineRule="exact"/>
              <w:jc w:val="both"/>
              <w:rPr>
                <w:rFonts w:eastAsia="宋体" w:cs="宋体"/>
                <w:sz w:val="24"/>
                <w:szCs w:val="24"/>
              </w:rPr>
            </w:pPr>
            <w:r>
              <w:rPr>
                <w:rFonts w:eastAsia="宋体" w:cs="宋体"/>
                <w:sz w:val="24"/>
                <w:szCs w:val="24"/>
              </w:rPr>
              <w:t>公布破产程序</w:t>
            </w:r>
          </w:p>
        </w:tc>
        <w:tc>
          <w:tcPr>
            <w:tcW w:w="6285" w:type="dxa"/>
            <w:vMerge w:val="continue"/>
            <w:tcBorders>
              <w:top w:val="nil"/>
            </w:tcBorders>
          </w:tcPr>
          <w:p>
            <w:pPr>
              <w:spacing w:line="400" w:lineRule="exact"/>
              <w:ind w:firstLine="560" w:firstLineChars="200"/>
              <w:jc w:val="both"/>
              <w:rPr>
                <w:rFonts w:eastAsia="宋体"/>
                <w:sz w:val="28"/>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4</w:t>
            </w:r>
          </w:p>
        </w:tc>
        <w:tc>
          <w:tcPr>
            <w:tcW w:w="2624" w:type="dxa"/>
            <w:vAlign w:val="center"/>
          </w:tcPr>
          <w:p>
            <w:pPr>
              <w:pStyle w:val="10"/>
              <w:spacing w:before="103" w:line="400" w:lineRule="exact"/>
              <w:jc w:val="both"/>
              <w:rPr>
                <w:rFonts w:eastAsia="宋体" w:cs="宋体"/>
                <w:sz w:val="24"/>
                <w:szCs w:val="24"/>
                <w:lang w:eastAsia="zh-CN"/>
              </w:rPr>
            </w:pPr>
            <w:r>
              <w:rPr>
                <w:rFonts w:hint="eastAsia" w:eastAsia="宋体" w:cs="宋体"/>
                <w:sz w:val="24"/>
                <w:szCs w:val="24"/>
                <w:lang w:eastAsia="zh-CN"/>
              </w:rPr>
              <w:t>公布</w:t>
            </w:r>
            <w:r>
              <w:rPr>
                <w:rFonts w:eastAsia="宋体" w:cs="宋体"/>
                <w:sz w:val="24"/>
                <w:szCs w:val="24"/>
                <w:lang w:eastAsia="zh-CN"/>
              </w:rPr>
              <w:t>破产从业员登记册</w:t>
            </w:r>
          </w:p>
        </w:tc>
        <w:tc>
          <w:tcPr>
            <w:tcW w:w="6285" w:type="dxa"/>
            <w:vMerge w:val="continue"/>
            <w:tcBorders>
              <w:top w:val="nil"/>
            </w:tcBorders>
          </w:tcPr>
          <w:p>
            <w:pPr>
              <w:spacing w:line="400" w:lineRule="exact"/>
              <w:ind w:firstLine="560" w:firstLineChars="200"/>
              <w:jc w:val="both"/>
              <w:rPr>
                <w:rFonts w:eastAsia="宋体"/>
                <w:sz w:val="28"/>
                <w:szCs w:val="2"/>
                <w:lang w:eastAsia="zh-CN"/>
              </w:rPr>
            </w:pPr>
          </w:p>
        </w:tc>
      </w:tr>
    </w:tbl>
    <w:p>
      <w:pPr>
        <w:spacing w:line="400" w:lineRule="exact"/>
        <w:ind w:firstLine="560" w:firstLineChars="200"/>
        <w:jc w:val="both"/>
        <w:rPr>
          <w:rFonts w:eastAsia="宋体"/>
          <w:sz w:val="28"/>
          <w:szCs w:val="2"/>
          <w:lang w:eastAsia="zh-CN"/>
        </w:rPr>
        <w:sectPr>
          <w:pgSz w:w="12240" w:h="15840"/>
          <w:pgMar w:top="1440" w:right="1240" w:bottom="280" w:left="1320" w:header="720" w:footer="720" w:gutter="0"/>
          <w:cols w:space="720" w:num="1"/>
        </w:sect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2.2公职人员及破产管理人</w:t>
      </w:r>
    </w:p>
    <w:p>
      <w:pPr>
        <w:pStyle w:val="3"/>
        <w:spacing w:line="400" w:lineRule="exact"/>
        <w:ind w:left="120" w:right="198" w:firstLine="560" w:firstLineChars="200"/>
        <w:jc w:val="both"/>
        <w:rPr>
          <w:rFonts w:eastAsia="宋体"/>
          <w:sz w:val="28"/>
          <w:lang w:eastAsia="zh-CN"/>
        </w:rPr>
      </w:pPr>
      <w:r>
        <w:rPr>
          <w:rFonts w:hint="eastAsia" w:eastAsia="宋体" w:cs="宋体"/>
          <w:sz w:val="28"/>
          <w:lang w:val="en-US" w:eastAsia="zh-CN"/>
        </w:rPr>
        <w:t>类别</w:t>
      </w:r>
      <w:r>
        <w:rPr>
          <w:rFonts w:eastAsia="宋体" w:cs="宋体"/>
          <w:sz w:val="28"/>
          <w:lang w:eastAsia="zh-CN"/>
        </w:rPr>
        <w:t>2.2类有两个子类，由若干指标组成，每一指标又可由若干组成部分组成。</w:t>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2.2.1破产法院或破产法官的专业化</w:t>
      </w:r>
    </w:p>
    <w:p>
      <w:pPr>
        <w:pStyle w:val="3"/>
        <w:spacing w:line="400" w:lineRule="exact"/>
        <w:ind w:left="120" w:right="193" w:firstLine="560" w:firstLineChars="200"/>
        <w:jc w:val="both"/>
        <w:rPr>
          <w:rFonts w:eastAsia="宋体"/>
          <w:sz w:val="28"/>
          <w:lang w:eastAsia="zh-CN"/>
        </w:rPr>
      </w:pPr>
      <w:r>
        <w:rPr>
          <w:rFonts w:eastAsia="宋体" w:cs="宋体"/>
          <w:sz w:val="28"/>
          <w:lang w:eastAsia="zh-CN"/>
        </w:rPr>
        <w:t>设立专门法庭有助于处理商法、破产法、证券法或知识产权法等领域的复杂法律问题，因为这些法庭侧重于具体而复杂的程序。破产案件特别复杂，因为涉及许多利益相关者的利益</w:t>
      </w:r>
      <w:r>
        <w:rPr>
          <w:rFonts w:hint="eastAsia" w:eastAsia="宋体" w:cs="宋体"/>
          <w:sz w:val="28"/>
          <w:lang w:eastAsia="zh-CN"/>
        </w:rPr>
        <w:t>，</w:t>
      </w:r>
      <w:r>
        <w:rPr>
          <w:rFonts w:eastAsia="宋体" w:cs="宋体"/>
          <w:sz w:val="28"/>
          <w:lang w:eastAsia="zh-CN"/>
        </w:rPr>
        <w:t>这些利益相关者包括数量众多且类型多样的债权人、破产代表、从业人员和面临财务困难的债务人。处理这类案件的法官需要特殊的技能(如财务和会计技能)。例如，为了成功地进行重组程序，法官必须</w:t>
      </w:r>
      <w:r>
        <w:rPr>
          <w:rFonts w:hint="eastAsia" w:eastAsia="宋体" w:cs="宋体"/>
          <w:sz w:val="28"/>
          <w:lang w:eastAsia="zh-CN"/>
        </w:rPr>
        <w:t>具有</w:t>
      </w:r>
      <w:r>
        <w:rPr>
          <w:rFonts w:eastAsia="宋体" w:cs="宋体"/>
          <w:sz w:val="28"/>
          <w:lang w:eastAsia="zh-CN"/>
        </w:rPr>
        <w:t>良好的会计和财务技能;因此，应根据其功绩和充分了解债务人财务状况的能力来指定破产法官——这是普通商事法官所不具备的技能。专门</w:t>
      </w:r>
      <w:r>
        <w:rPr>
          <w:rFonts w:hint="eastAsia" w:eastAsia="宋体" w:cs="宋体"/>
          <w:sz w:val="28"/>
          <w:lang w:eastAsia="zh-CN"/>
        </w:rPr>
        <w:t>的</w:t>
      </w:r>
      <w:r>
        <w:rPr>
          <w:rFonts w:eastAsia="宋体" w:cs="宋体"/>
          <w:sz w:val="28"/>
          <w:lang w:eastAsia="zh-CN"/>
        </w:rPr>
        <w:t>法院还可以加强银行的融资决定</w:t>
      </w:r>
      <w:r>
        <w:rPr>
          <w:rFonts w:eastAsia="宋体" w:cs="宋体"/>
          <w:sz w:val="28"/>
          <w:vertAlign w:val="superscript"/>
          <w:lang w:eastAsia="zh-CN"/>
        </w:rPr>
        <w:t>34</w:t>
      </w:r>
      <w:r>
        <w:rPr>
          <w:rFonts w:eastAsia="宋体" w:cs="宋体"/>
          <w:spacing w:val="-12"/>
          <w:sz w:val="28"/>
          <w:lang w:eastAsia="zh-CN"/>
        </w:rPr>
        <w:t>，更快地解决</w:t>
      </w:r>
      <w:r>
        <w:rPr>
          <w:rFonts w:hint="eastAsia" w:eastAsia="宋体" w:cs="宋体"/>
          <w:spacing w:val="-12"/>
          <w:sz w:val="28"/>
          <w:lang w:eastAsia="zh-CN"/>
        </w:rPr>
        <w:t>诉讼</w:t>
      </w:r>
      <w:r>
        <w:rPr>
          <w:rFonts w:eastAsia="宋体" w:cs="宋体"/>
          <w:spacing w:val="-12"/>
          <w:sz w:val="28"/>
          <w:lang w:eastAsia="zh-CN"/>
        </w:rPr>
        <w:t>程序和</w:t>
      </w:r>
      <w:r>
        <w:rPr>
          <w:rFonts w:hint="eastAsia" w:eastAsia="宋体" w:cs="宋体"/>
          <w:spacing w:val="-12"/>
          <w:sz w:val="28"/>
          <w:lang w:eastAsia="zh-CN"/>
        </w:rPr>
        <w:t>做出</w:t>
      </w:r>
      <w:r>
        <w:rPr>
          <w:rFonts w:eastAsia="宋体" w:cs="宋体"/>
          <w:spacing w:val="-12"/>
          <w:sz w:val="28"/>
          <w:lang w:eastAsia="zh-CN"/>
        </w:rPr>
        <w:t>更可靠的决策。</w:t>
      </w:r>
      <w:r>
        <w:rPr>
          <w:rFonts w:eastAsia="宋体" w:cs="宋体"/>
          <w:sz w:val="28"/>
          <w:vertAlign w:val="superscript"/>
          <w:lang w:eastAsia="zh-CN"/>
        </w:rPr>
        <w:t>35</w:t>
      </w:r>
      <w:r>
        <w:rPr>
          <w:rFonts w:eastAsia="宋体" w:cs="宋体"/>
          <w:sz w:val="28"/>
          <w:lang w:eastAsia="zh-CN"/>
        </w:rPr>
        <w:t>因此，子类别2.2.1 -破产法院或破产法官的专业化包括一个指标(表13)。</w:t>
      </w:r>
    </w:p>
    <w:p>
      <w:pPr>
        <w:spacing w:before="215" w:line="400" w:lineRule="exact"/>
        <w:jc w:val="center"/>
        <w:rPr>
          <w:rFonts w:eastAsia="宋体" w:cs="宋体"/>
          <w:b/>
          <w:sz w:val="28"/>
          <w:lang w:eastAsia="zh-CN"/>
        </w:rPr>
      </w:pPr>
      <w:r>
        <w:rPr>
          <w:rFonts w:eastAsia="宋体" w:cs="宋体"/>
          <w:b/>
          <w:sz w:val="28"/>
          <w:lang w:eastAsia="zh-CN"/>
        </w:rPr>
        <w:t>表13</w:t>
      </w:r>
      <w:r>
        <w:rPr>
          <w:rFonts w:hint="eastAsia" w:eastAsia="宋体" w:cs="宋体"/>
          <w:b/>
          <w:sz w:val="28"/>
          <w:lang w:val="en-US" w:eastAsia="zh-CN"/>
        </w:rPr>
        <w:t xml:space="preserve">. </w:t>
      </w:r>
      <w:r>
        <w:rPr>
          <w:rFonts w:eastAsia="宋体" w:cs="宋体"/>
          <w:b/>
          <w:sz w:val="28"/>
          <w:lang w:eastAsia="zh-CN"/>
        </w:rPr>
        <w:t>子类别2.2.1 -破产法院或破产法官的专业化</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10"/>
              <w:spacing w:line="400" w:lineRule="exact"/>
              <w:ind w:left="0" w:firstLine="560" w:firstLineChars="200"/>
              <w:jc w:val="both"/>
              <w:rPr>
                <w:rFonts w:eastAsia="宋体"/>
                <w:sz w:val="28"/>
                <w:lang w:eastAsia="zh-CN"/>
              </w:rPr>
            </w:pPr>
          </w:p>
        </w:tc>
        <w:tc>
          <w:tcPr>
            <w:tcW w:w="2249" w:type="dxa"/>
            <w:shd w:val="clear" w:color="auto" w:fill="E7EBF5"/>
          </w:tcPr>
          <w:p>
            <w:pPr>
              <w:pStyle w:val="10"/>
              <w:spacing w:line="400" w:lineRule="exact"/>
              <w:jc w:val="both"/>
              <w:rPr>
                <w:rFonts w:eastAsia="宋体"/>
                <w:b/>
                <w:sz w:val="24"/>
                <w:szCs w:val="21"/>
              </w:rPr>
            </w:pPr>
            <w:r>
              <w:rPr>
                <w:rFonts w:eastAsia="宋体" w:cs="宋体"/>
                <w:b/>
                <w:spacing w:val="-2"/>
                <w:sz w:val="24"/>
                <w:szCs w:val="21"/>
              </w:rPr>
              <w:t>指标</w:t>
            </w:r>
          </w:p>
        </w:tc>
        <w:tc>
          <w:tcPr>
            <w:tcW w:w="6661" w:type="dxa"/>
            <w:shd w:val="clear" w:color="auto" w:fill="E7EBF5"/>
          </w:tcPr>
          <w:p>
            <w:pPr>
              <w:pStyle w:val="10"/>
              <w:spacing w:line="400" w:lineRule="exact"/>
              <w:jc w:val="both"/>
              <w:rPr>
                <w:rFonts w:eastAsia="宋体"/>
                <w:b/>
                <w:sz w:val="24"/>
                <w:szCs w:val="21"/>
                <w:lang w:eastAsia="zh-CN"/>
              </w:rPr>
            </w:pPr>
            <w:r>
              <w:rPr>
                <w:rFonts w:hint="eastAsia" w:eastAsia="宋体" w:cs="宋体"/>
                <w:b/>
                <w:spacing w:val="-2"/>
                <w:sz w:val="24"/>
                <w:szCs w:val="21"/>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0"/>
              <w:spacing w:before="103" w:line="400" w:lineRule="exact"/>
              <w:jc w:val="both"/>
              <w:rPr>
                <w:rFonts w:eastAsia="宋体" w:cs="宋体"/>
                <w:sz w:val="24"/>
                <w:szCs w:val="24"/>
              </w:rPr>
            </w:pPr>
            <w:r>
              <w:rPr>
                <w:rFonts w:eastAsia="宋体" w:cs="宋体"/>
                <w:sz w:val="24"/>
                <w:szCs w:val="24"/>
              </w:rPr>
              <w:t>1</w:t>
            </w:r>
          </w:p>
        </w:tc>
        <w:tc>
          <w:tcPr>
            <w:tcW w:w="2249" w:type="dxa"/>
            <w:vAlign w:val="center"/>
          </w:tcPr>
          <w:p>
            <w:pPr>
              <w:pStyle w:val="10"/>
              <w:spacing w:before="103" w:line="400" w:lineRule="exact"/>
              <w:jc w:val="both"/>
              <w:rPr>
                <w:rFonts w:eastAsia="宋体" w:cs="宋体"/>
                <w:sz w:val="24"/>
                <w:szCs w:val="24"/>
              </w:rPr>
            </w:pPr>
            <w:r>
              <w:rPr>
                <w:rFonts w:eastAsia="宋体" w:cs="宋体"/>
                <w:sz w:val="24"/>
                <w:szCs w:val="24"/>
              </w:rPr>
              <w:t>专门法院</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在经济</w:t>
            </w:r>
            <w:r>
              <w:rPr>
                <w:rFonts w:hint="eastAsia" w:eastAsia="宋体" w:cs="宋体"/>
                <w:sz w:val="24"/>
                <w:szCs w:val="24"/>
                <w:lang w:eastAsia="zh-CN"/>
              </w:rPr>
              <w:t>体</w:t>
            </w:r>
            <w:r>
              <w:rPr>
                <w:rFonts w:eastAsia="宋体" w:cs="宋体"/>
                <w:sz w:val="24"/>
                <w:szCs w:val="24"/>
                <w:lang w:eastAsia="zh-CN"/>
              </w:rPr>
              <w:t>最大的商业城市</w:t>
            </w:r>
            <w:r>
              <w:rPr>
                <w:rFonts w:hint="eastAsia" w:eastAsia="宋体" w:cs="宋体"/>
                <w:sz w:val="24"/>
                <w:szCs w:val="24"/>
                <w:lang w:eastAsia="zh-CN"/>
              </w:rPr>
              <w:t>中</w:t>
            </w:r>
            <w:r>
              <w:rPr>
                <w:rFonts w:eastAsia="宋体" w:cs="宋体"/>
                <w:sz w:val="24"/>
                <w:szCs w:val="24"/>
                <w:lang w:eastAsia="zh-CN"/>
              </w:rPr>
              <w:t>存在专门的破产法庭或专门处理破产事宜的商事法庭的法官/分庭/法官席</w:t>
            </w:r>
          </w:p>
        </w:tc>
      </w:tr>
    </w:tbl>
    <w:p>
      <w:pPr>
        <w:pStyle w:val="3"/>
        <w:spacing w:line="400" w:lineRule="exact"/>
        <w:ind w:firstLine="562" w:firstLineChars="200"/>
        <w:jc w:val="both"/>
        <w:rPr>
          <w:rFonts w:eastAsia="宋体"/>
          <w:b/>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2.2.2破产管理人的实践专业知识</w:t>
      </w:r>
    </w:p>
    <w:p>
      <w:pPr>
        <w:pStyle w:val="3"/>
        <w:spacing w:line="400" w:lineRule="exact"/>
        <w:ind w:left="120" w:right="196" w:firstLine="560" w:firstLineChars="200"/>
        <w:jc w:val="both"/>
        <w:rPr>
          <w:rFonts w:eastAsia="宋体"/>
          <w:sz w:val="28"/>
          <w:lang w:eastAsia="zh-CN"/>
        </w:rPr>
      </w:pPr>
      <w:r>
        <w:rPr>
          <w:rFonts w:eastAsia="宋体" w:cs="宋体"/>
          <w:sz w:val="28"/>
          <w:lang w:eastAsia="zh-CN"/>
        </w:rPr>
        <w:t>许多破产程序的复杂性使破产代表非常需要具备适当的资格，具备法律知识(不仅是破产法，还包括相关的商业、</w:t>
      </w:r>
      <w:r>
        <w:rPr>
          <w:rFonts w:hint="eastAsia" w:eastAsia="宋体" w:cs="宋体"/>
          <w:sz w:val="28"/>
          <w:lang w:eastAsia="zh-CN"/>
        </w:rPr>
        <w:t>金融</w:t>
      </w:r>
      <w:r>
        <w:rPr>
          <w:rFonts w:eastAsia="宋体" w:cs="宋体"/>
          <w:sz w:val="28"/>
          <w:lang w:eastAsia="zh-CN"/>
        </w:rPr>
        <w:t>和商业法)，以及在商业和财务事务(包括会计)方面有足够的经验。因此，子类别2.2.2 -破产管理人在实践中的专业知识包括一个指标(表14)。</w:t>
      </w:r>
    </w:p>
    <w:p>
      <w:pPr>
        <w:spacing w:before="215" w:line="400" w:lineRule="exact"/>
        <w:jc w:val="center"/>
        <w:rPr>
          <w:rFonts w:eastAsia="宋体" w:cs="宋体"/>
          <w:b/>
          <w:sz w:val="28"/>
          <w:lang w:eastAsia="zh-CN"/>
        </w:rPr>
      </w:pPr>
      <w:r>
        <w:rPr>
          <w:rFonts w:eastAsia="宋体" w:cs="宋体"/>
          <w:b/>
          <w:sz w:val="28"/>
          <w:lang w:eastAsia="zh-CN"/>
        </w:rPr>
        <w:t>表14</w:t>
      </w:r>
      <w:r>
        <w:rPr>
          <w:rFonts w:hint="eastAsia" w:eastAsia="宋体" w:cs="宋体"/>
          <w:b/>
          <w:sz w:val="28"/>
          <w:lang w:val="en-US" w:eastAsia="zh-CN"/>
        </w:rPr>
        <w:t xml:space="preserve">. </w:t>
      </w:r>
      <w:r>
        <w:rPr>
          <w:rFonts w:eastAsia="宋体" w:cs="宋体"/>
          <w:b/>
          <w:sz w:val="28"/>
          <w:lang w:eastAsia="zh-CN"/>
        </w:rPr>
        <w:t>子类别2.2.2 -破产管理人在实践中的专业知识</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
        <w:gridCol w:w="2255"/>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5" w:hRule="atLeast"/>
        </w:trPr>
        <w:tc>
          <w:tcPr>
            <w:tcW w:w="442" w:type="dxa"/>
            <w:shd w:val="clear" w:color="auto" w:fill="E7EBF5"/>
          </w:tcPr>
          <w:p>
            <w:pPr>
              <w:pStyle w:val="10"/>
              <w:spacing w:line="400" w:lineRule="exact"/>
              <w:ind w:left="0" w:firstLine="560" w:firstLineChars="200"/>
              <w:jc w:val="both"/>
              <w:rPr>
                <w:rFonts w:eastAsia="宋体"/>
                <w:sz w:val="28"/>
                <w:lang w:eastAsia="zh-CN"/>
              </w:rPr>
            </w:pPr>
          </w:p>
        </w:tc>
        <w:tc>
          <w:tcPr>
            <w:tcW w:w="2255" w:type="dxa"/>
            <w:shd w:val="clear" w:color="auto" w:fill="E7EBF5"/>
          </w:tcPr>
          <w:p>
            <w:pPr>
              <w:pStyle w:val="10"/>
              <w:spacing w:line="400" w:lineRule="exact"/>
              <w:jc w:val="both"/>
              <w:rPr>
                <w:rFonts w:eastAsia="宋体"/>
                <w:b/>
                <w:sz w:val="24"/>
                <w:szCs w:val="21"/>
              </w:rPr>
            </w:pPr>
            <w:r>
              <w:rPr>
                <w:rFonts w:eastAsia="宋体" w:cs="宋体"/>
                <w:b/>
                <w:spacing w:val="-2"/>
                <w:sz w:val="24"/>
                <w:szCs w:val="21"/>
              </w:rPr>
              <w:t>指标</w:t>
            </w:r>
          </w:p>
        </w:tc>
        <w:tc>
          <w:tcPr>
            <w:tcW w:w="6662" w:type="dxa"/>
            <w:shd w:val="clear" w:color="auto" w:fill="E7EBF5"/>
          </w:tcPr>
          <w:p>
            <w:pPr>
              <w:pStyle w:val="10"/>
              <w:spacing w:line="400" w:lineRule="exact"/>
              <w:jc w:val="both"/>
              <w:rPr>
                <w:rFonts w:eastAsia="宋体"/>
                <w:b/>
                <w:sz w:val="24"/>
                <w:szCs w:val="21"/>
                <w:lang w:eastAsia="zh-CN"/>
              </w:rPr>
            </w:pPr>
            <w:r>
              <w:rPr>
                <w:rFonts w:hint="eastAsia" w:eastAsia="宋体" w:cs="宋体"/>
                <w:b/>
                <w:spacing w:val="-2"/>
                <w:sz w:val="24"/>
                <w:szCs w:val="21"/>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2" w:type="dxa"/>
            <w:vAlign w:val="center"/>
          </w:tcPr>
          <w:p>
            <w:pPr>
              <w:pStyle w:val="10"/>
              <w:spacing w:before="103" w:line="400" w:lineRule="exact"/>
              <w:jc w:val="both"/>
              <w:rPr>
                <w:rFonts w:eastAsia="宋体" w:cs="宋体"/>
                <w:sz w:val="24"/>
                <w:szCs w:val="24"/>
              </w:rPr>
            </w:pPr>
            <w:r>
              <w:rPr>
                <w:rFonts w:eastAsia="宋体" w:cs="宋体"/>
                <w:sz w:val="24"/>
                <w:szCs w:val="24"/>
              </w:rPr>
              <w:t>1</w:t>
            </w:r>
          </w:p>
        </w:tc>
        <w:tc>
          <w:tcPr>
            <w:tcW w:w="2255" w:type="dxa"/>
            <w:vAlign w:val="center"/>
          </w:tcPr>
          <w:p>
            <w:pPr>
              <w:pStyle w:val="10"/>
              <w:spacing w:before="103" w:line="400" w:lineRule="exact"/>
              <w:jc w:val="both"/>
              <w:rPr>
                <w:rFonts w:eastAsia="宋体" w:cs="宋体"/>
                <w:sz w:val="24"/>
                <w:szCs w:val="24"/>
              </w:rPr>
            </w:pPr>
            <w:r>
              <w:rPr>
                <w:rFonts w:eastAsia="宋体" w:cs="宋体"/>
                <w:sz w:val="24"/>
                <w:szCs w:val="24"/>
              </w:rPr>
              <w:t>资格要求</w:t>
            </w:r>
          </w:p>
        </w:tc>
        <w:tc>
          <w:tcPr>
            <w:tcW w:w="6662"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破产管理人特殊资格在实践中的适用情况，以及在实践中是否也对破产管理人进行了专门培训</w:t>
            </w:r>
          </w:p>
        </w:tc>
      </w:tr>
    </w:tbl>
    <w:p>
      <w:pPr>
        <w:rPr>
          <w:lang w:eastAsia="zh-CN"/>
        </w:rPr>
      </w:pPr>
      <w:r>
        <w:rPr>
          <w:rFonts w:hint="eastAsia" w:eastAsia="宋体" w:cs="宋体"/>
          <w:sz w:val="28"/>
          <w:lang w:eastAsia="zh-CN"/>
        </w:rPr>
        <w:br w:type="page"/>
      </w:r>
    </w:p>
    <w:p>
      <w:pPr>
        <w:pStyle w:val="2"/>
        <w:tabs>
          <w:tab w:val="left" w:pos="841"/>
        </w:tabs>
        <w:spacing w:after="120" w:afterLines="50" w:line="400" w:lineRule="exact"/>
        <w:ind w:left="0" w:firstLine="562" w:firstLineChars="200"/>
        <w:jc w:val="both"/>
        <w:rPr>
          <w:rFonts w:eastAsia="宋体"/>
          <w:sz w:val="28"/>
          <w:lang w:eastAsia="zh-CN"/>
        </w:rPr>
      </w:pPr>
      <w:r>
        <w:rPr>
          <w:rFonts w:hint="eastAsia" w:eastAsia="宋体" w:cs="宋体"/>
          <w:sz w:val="28"/>
          <w:lang w:eastAsia="zh-CN"/>
        </w:rPr>
        <w:t>3.维度III</w:t>
      </w:r>
      <w:r>
        <w:rPr>
          <w:rFonts w:hint="eastAsia" w:eastAsia="宋体" w:cs="宋体"/>
          <w:sz w:val="28"/>
          <w:lang w:val="en-US" w:eastAsia="zh-CN"/>
        </w:rPr>
        <w:t>.</w:t>
      </w:r>
      <w:r>
        <w:rPr>
          <w:rFonts w:hint="eastAsia" w:eastAsia="宋体" w:cs="宋体"/>
          <w:sz w:val="28"/>
          <w:lang w:eastAsia="zh-CN"/>
        </w:rPr>
        <w:t>效率:在实践中解决司法破产程序的效率</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表15显示了</w:t>
      </w:r>
      <w:r>
        <w:rPr>
          <w:rFonts w:hint="eastAsia" w:eastAsia="宋体" w:cs="宋体"/>
          <w:sz w:val="28"/>
          <w:lang w:eastAsia="zh-CN"/>
        </w:rPr>
        <w:t>维度III（</w:t>
      </w:r>
      <w:r>
        <w:rPr>
          <w:rFonts w:hint="eastAsia" w:eastAsia="宋体" w:cs="宋体"/>
          <w:sz w:val="28"/>
          <w:lang w:val="en-US" w:eastAsia="zh-CN"/>
        </w:rPr>
        <w:t>即</w:t>
      </w:r>
      <w:r>
        <w:rPr>
          <w:rFonts w:eastAsia="宋体" w:cs="宋体"/>
          <w:sz w:val="28"/>
          <w:lang w:eastAsia="zh-CN"/>
        </w:rPr>
        <w:t>在实践中解决司法破产程序的效率</w:t>
      </w:r>
      <w:r>
        <w:rPr>
          <w:rFonts w:hint="eastAsia" w:eastAsia="宋体" w:cs="宋体"/>
          <w:sz w:val="28"/>
          <w:lang w:eastAsia="zh-CN"/>
        </w:rPr>
        <w:t>）</w:t>
      </w:r>
      <w:r>
        <w:rPr>
          <w:rFonts w:eastAsia="宋体" w:cs="宋体"/>
          <w:sz w:val="28"/>
          <w:lang w:eastAsia="zh-CN"/>
        </w:rPr>
        <w:t>的结构。该</w:t>
      </w:r>
      <w:r>
        <w:rPr>
          <w:rFonts w:hint="eastAsia" w:eastAsia="宋体" w:cs="宋体"/>
          <w:sz w:val="28"/>
          <w:lang w:eastAsia="zh-CN"/>
        </w:rPr>
        <w:t>维度</w:t>
      </w:r>
      <w:r>
        <w:rPr>
          <w:rFonts w:eastAsia="宋体" w:cs="宋体"/>
          <w:sz w:val="28"/>
          <w:lang w:eastAsia="zh-CN"/>
        </w:rPr>
        <w:t>的每个类别和子类别将按照表中所示的顺序进行更</w:t>
      </w:r>
      <w:r>
        <w:rPr>
          <w:rFonts w:hint="eastAsia" w:eastAsia="宋体" w:cs="宋体"/>
          <w:sz w:val="28"/>
          <w:lang w:val="en-US" w:eastAsia="zh-CN"/>
        </w:rPr>
        <w:t>为</w:t>
      </w:r>
      <w:r>
        <w:rPr>
          <w:rFonts w:eastAsia="宋体" w:cs="宋体"/>
          <w:sz w:val="28"/>
          <w:lang w:eastAsia="zh-CN"/>
        </w:rPr>
        <w:t>详细的讨论。</w:t>
      </w:r>
    </w:p>
    <w:p>
      <w:pPr>
        <w:spacing w:before="215" w:line="400" w:lineRule="exact"/>
        <w:jc w:val="center"/>
        <w:rPr>
          <w:rFonts w:eastAsia="宋体" w:cs="宋体"/>
          <w:b/>
          <w:sz w:val="28"/>
          <w:lang w:eastAsia="zh-CN"/>
        </w:rPr>
      </w:pPr>
      <w:r>
        <w:rPr>
          <w:rFonts w:eastAsia="宋体" w:cs="宋体"/>
          <w:b/>
          <w:sz w:val="28"/>
          <w:lang w:eastAsia="zh-CN"/>
        </w:rPr>
        <w:t>表15</w:t>
      </w:r>
      <w:r>
        <w:rPr>
          <w:rFonts w:hint="eastAsia" w:eastAsia="宋体" w:cs="宋体"/>
          <w:b/>
          <w:sz w:val="28"/>
          <w:lang w:val="en-US" w:eastAsia="zh-CN"/>
        </w:rPr>
        <w:t xml:space="preserve">. </w:t>
      </w:r>
      <w:r>
        <w:rPr>
          <w:rFonts w:hint="eastAsia" w:eastAsia="宋体" w:cs="宋体"/>
          <w:b/>
          <w:sz w:val="28"/>
          <w:lang w:eastAsia="zh-CN"/>
        </w:rPr>
        <w:t>维度III</w:t>
      </w:r>
      <w:r>
        <w:rPr>
          <w:rFonts w:hint="eastAsia" w:ascii="Times New Roman Bold" w:hAnsi="Times New Roman Bold" w:eastAsia="Songti SC Bold" w:cs="Times New Roman"/>
          <w:b/>
          <w:color w:val="222222"/>
          <w:sz w:val="28"/>
          <w:szCs w:val="27"/>
          <w:shd w:val="clear" w:color="auto" w:fill="FFFFFF"/>
          <w:lang w:val="en-US" w:eastAsia="zh-CN"/>
        </w:rPr>
        <w:t>-</w:t>
      </w:r>
      <w:r>
        <w:rPr>
          <w:rFonts w:eastAsia="宋体" w:cs="宋体"/>
          <w:b/>
          <w:sz w:val="28"/>
          <w:lang w:eastAsia="zh-CN"/>
        </w:rPr>
        <w:t>在实践中解决司法破产程序的效率</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8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shd w:val="clear" w:color="auto" w:fill="E7EBF5"/>
          </w:tcPr>
          <w:p>
            <w:pPr>
              <w:pStyle w:val="10"/>
              <w:spacing w:before="103" w:line="400" w:lineRule="exact"/>
              <w:jc w:val="both"/>
              <w:rPr>
                <w:rFonts w:eastAsia="宋体" w:cs="宋体"/>
                <w:sz w:val="24"/>
                <w:szCs w:val="24"/>
              </w:rPr>
            </w:pPr>
            <w:r>
              <w:rPr>
                <w:rFonts w:eastAsia="宋体" w:cs="宋体"/>
                <w:sz w:val="24"/>
                <w:szCs w:val="24"/>
              </w:rPr>
              <w:t>3.1</w:t>
            </w:r>
          </w:p>
        </w:tc>
        <w:tc>
          <w:tcPr>
            <w:tcW w:w="8476" w:type="dxa"/>
            <w:shd w:val="clear" w:color="auto" w:fill="E7EBF5"/>
          </w:tcPr>
          <w:p>
            <w:pPr>
              <w:pStyle w:val="10"/>
              <w:spacing w:before="103" w:line="400" w:lineRule="exact"/>
              <w:jc w:val="both"/>
              <w:rPr>
                <w:rFonts w:eastAsia="宋体" w:cs="宋体"/>
                <w:sz w:val="24"/>
                <w:szCs w:val="24"/>
              </w:rPr>
            </w:pPr>
            <w:r>
              <w:rPr>
                <w:rFonts w:eastAsia="宋体" w:cs="宋体"/>
                <w:sz w:val="24"/>
                <w:szCs w:val="24"/>
              </w:rPr>
              <w:t>实践中的清算程序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10"/>
              <w:spacing w:before="103" w:line="400" w:lineRule="exact"/>
              <w:jc w:val="both"/>
              <w:rPr>
                <w:rFonts w:eastAsia="宋体" w:cs="宋体"/>
                <w:sz w:val="24"/>
                <w:szCs w:val="24"/>
              </w:rPr>
            </w:pPr>
            <w:r>
              <w:rPr>
                <w:rFonts w:eastAsia="宋体" w:cs="宋体"/>
                <w:sz w:val="24"/>
                <w:szCs w:val="24"/>
              </w:rPr>
              <w:t>3.1.1</w:t>
            </w:r>
          </w:p>
        </w:tc>
        <w:tc>
          <w:tcPr>
            <w:tcW w:w="8476"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解决庭内清算程序的时间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10"/>
              <w:spacing w:before="103" w:line="400" w:lineRule="exact"/>
              <w:jc w:val="both"/>
              <w:rPr>
                <w:rFonts w:eastAsia="宋体" w:cs="宋体"/>
                <w:sz w:val="24"/>
                <w:szCs w:val="24"/>
              </w:rPr>
            </w:pPr>
            <w:r>
              <w:rPr>
                <w:rFonts w:eastAsia="宋体" w:cs="宋体"/>
                <w:sz w:val="24"/>
                <w:szCs w:val="24"/>
              </w:rPr>
              <w:t>3.1.1</w:t>
            </w:r>
          </w:p>
        </w:tc>
        <w:tc>
          <w:tcPr>
            <w:tcW w:w="8476"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解决庭内清算程序的费用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10"/>
              <w:spacing w:before="103" w:line="400" w:lineRule="exact"/>
              <w:jc w:val="both"/>
              <w:rPr>
                <w:rFonts w:eastAsia="宋体" w:cs="宋体"/>
                <w:sz w:val="24"/>
                <w:szCs w:val="24"/>
              </w:rPr>
            </w:pPr>
            <w:r>
              <w:rPr>
                <w:rFonts w:eastAsia="宋体" w:cs="宋体"/>
                <w:sz w:val="24"/>
                <w:szCs w:val="24"/>
              </w:rPr>
              <w:t>3.2</w:t>
            </w:r>
          </w:p>
        </w:tc>
        <w:tc>
          <w:tcPr>
            <w:tcW w:w="8476" w:type="dxa"/>
            <w:shd w:val="clear" w:color="auto" w:fill="E7EBF5"/>
          </w:tcPr>
          <w:p>
            <w:pPr>
              <w:pStyle w:val="10"/>
              <w:spacing w:before="103" w:line="400" w:lineRule="exact"/>
              <w:jc w:val="both"/>
              <w:rPr>
                <w:rFonts w:eastAsia="宋体" w:cs="宋体"/>
                <w:sz w:val="24"/>
                <w:szCs w:val="24"/>
              </w:rPr>
            </w:pPr>
            <w:r>
              <w:rPr>
                <w:rFonts w:eastAsia="宋体" w:cs="宋体"/>
                <w:sz w:val="24"/>
                <w:szCs w:val="24"/>
              </w:rPr>
              <w:t>实践中的重整程序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tcPr>
          <w:p>
            <w:pPr>
              <w:pStyle w:val="10"/>
              <w:spacing w:before="103" w:line="400" w:lineRule="exact"/>
              <w:jc w:val="both"/>
              <w:rPr>
                <w:rFonts w:eastAsia="宋体" w:cs="宋体"/>
                <w:sz w:val="24"/>
                <w:szCs w:val="24"/>
              </w:rPr>
            </w:pPr>
            <w:r>
              <w:rPr>
                <w:rFonts w:eastAsia="宋体" w:cs="宋体"/>
                <w:sz w:val="24"/>
                <w:szCs w:val="24"/>
              </w:rPr>
              <w:t>3.2.1</w:t>
            </w:r>
          </w:p>
        </w:tc>
        <w:tc>
          <w:tcPr>
            <w:tcW w:w="8476"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解决庭内重组程序的时间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10"/>
              <w:spacing w:before="103" w:line="400" w:lineRule="exact"/>
              <w:jc w:val="both"/>
              <w:rPr>
                <w:rFonts w:eastAsia="宋体" w:cs="宋体"/>
                <w:sz w:val="24"/>
                <w:szCs w:val="24"/>
              </w:rPr>
            </w:pPr>
            <w:r>
              <w:rPr>
                <w:rFonts w:eastAsia="宋体" w:cs="宋体"/>
                <w:sz w:val="24"/>
                <w:szCs w:val="24"/>
              </w:rPr>
              <w:t>3.2.1</w:t>
            </w:r>
          </w:p>
        </w:tc>
        <w:tc>
          <w:tcPr>
            <w:tcW w:w="8476" w:type="dxa"/>
          </w:tcPr>
          <w:p>
            <w:pPr>
              <w:pStyle w:val="10"/>
              <w:spacing w:before="103" w:line="400" w:lineRule="exact"/>
              <w:jc w:val="both"/>
              <w:rPr>
                <w:rFonts w:eastAsia="宋体" w:cs="宋体"/>
                <w:sz w:val="24"/>
                <w:szCs w:val="24"/>
                <w:lang w:eastAsia="zh-CN"/>
              </w:rPr>
            </w:pPr>
            <w:r>
              <w:rPr>
                <w:rFonts w:eastAsia="宋体" w:cs="宋体"/>
                <w:sz w:val="24"/>
                <w:szCs w:val="24"/>
                <w:lang w:eastAsia="zh-CN"/>
              </w:rPr>
              <w:t>解决庭内重整程序的费用</w:t>
            </w:r>
          </w:p>
        </w:tc>
      </w:tr>
    </w:tbl>
    <w:p>
      <w:pPr>
        <w:spacing w:line="400" w:lineRule="exact"/>
        <w:ind w:firstLine="560" w:firstLineChars="200"/>
        <w:jc w:val="both"/>
        <w:rPr>
          <w:rFonts w:eastAsia="宋体"/>
          <w:sz w:val="28"/>
          <w:lang w:eastAsia="zh-CN"/>
        </w:rPr>
        <w:sectPr>
          <w:pgSz w:w="12240" w:h="15840"/>
          <w:pgMar w:top="1360" w:right="1240" w:bottom="280" w:left="1320" w:header="720" w:footer="720" w:gutter="0"/>
          <w:cols w:space="720" w:num="1"/>
        </w:sect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3.1实践中的清算程序</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具有成本效益的破产程序可以鼓励</w:t>
      </w:r>
      <w:r>
        <w:rPr>
          <w:rFonts w:hint="eastAsia" w:eastAsia="宋体" w:cs="宋体"/>
          <w:sz w:val="28"/>
          <w:lang w:eastAsia="zh-CN"/>
        </w:rPr>
        <w:t>低效企业</w:t>
      </w:r>
      <w:r>
        <w:rPr>
          <w:rFonts w:eastAsia="宋体" w:cs="宋体"/>
          <w:sz w:val="28"/>
          <w:lang w:eastAsia="zh-CN"/>
        </w:rPr>
        <w:t>的公司退出，鼓励更大的创业活动和新公司的创建。</w:t>
      </w:r>
      <w:r>
        <w:rPr>
          <w:rFonts w:eastAsia="宋体" w:cs="宋体"/>
          <w:sz w:val="28"/>
          <w:vertAlign w:val="superscript"/>
          <w:lang w:eastAsia="zh-CN"/>
        </w:rPr>
        <w:t>36</w:t>
      </w:r>
      <w:r>
        <w:rPr>
          <w:rFonts w:hint="eastAsia" w:eastAsia="宋体" w:cs="宋体"/>
          <w:sz w:val="28"/>
          <w:lang w:eastAsia="zh-CN"/>
        </w:rPr>
        <w:t>针对成本合规性的措施是评估破产司法程序效率的一种适当代理</w:t>
      </w:r>
      <w:r>
        <w:rPr>
          <w:rFonts w:eastAsia="宋体" w:cs="宋体"/>
          <w:sz w:val="28"/>
          <w:lang w:eastAsia="zh-CN"/>
        </w:rPr>
        <w:t>。因此，子类别3.1 -实践中的清算程序包括两个指标(表27)。</w:t>
      </w:r>
    </w:p>
    <w:p>
      <w:pPr>
        <w:spacing w:before="215" w:line="400" w:lineRule="exact"/>
        <w:jc w:val="center"/>
        <w:rPr>
          <w:rFonts w:eastAsia="宋体" w:cs="宋体"/>
          <w:b/>
          <w:sz w:val="28"/>
          <w:lang w:eastAsia="zh-CN"/>
        </w:rPr>
      </w:pPr>
      <w:r>
        <w:rPr>
          <w:rFonts w:eastAsia="宋体" w:cs="宋体"/>
          <w:b/>
          <w:sz w:val="28"/>
          <w:lang w:eastAsia="zh-CN"/>
        </w:rPr>
        <w:t>表16</w:t>
      </w:r>
      <w:r>
        <w:rPr>
          <w:rFonts w:hint="eastAsia" w:eastAsia="宋体" w:cs="宋体"/>
          <w:b/>
          <w:sz w:val="28"/>
          <w:lang w:val="en-US" w:eastAsia="zh-CN"/>
        </w:rPr>
        <w:t xml:space="preserve">. </w:t>
      </w:r>
      <w:r>
        <w:rPr>
          <w:rFonts w:eastAsia="宋体" w:cs="宋体"/>
          <w:b/>
          <w:sz w:val="28"/>
          <w:lang w:eastAsia="zh-CN"/>
        </w:rPr>
        <w:t>子类别3.1 -实践中的清算程序</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6"/>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696" w:type="dxa"/>
            <w:shd w:val="clear" w:color="auto" w:fill="E7EBF5"/>
            <w:vAlign w:val="center"/>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6661" w:type="dxa"/>
            <w:shd w:val="clear" w:color="auto" w:fill="E7EBF5"/>
            <w:vAlign w:val="center"/>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696"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解决庭内清算程序的时间</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解决清算程序的时间以日历月为单位，从申请之日起计算，直到支付部分或全部欠债权人的钱为止。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2696" w:type="dxa"/>
            <w:vAlign w:val="center"/>
          </w:tcPr>
          <w:p>
            <w:pPr>
              <w:pStyle w:val="10"/>
              <w:spacing w:before="103" w:line="400" w:lineRule="exact"/>
              <w:jc w:val="both"/>
              <w:rPr>
                <w:rFonts w:eastAsia="宋体" w:cs="宋体"/>
                <w:sz w:val="24"/>
                <w:szCs w:val="24"/>
                <w:lang w:eastAsia="zh-CN"/>
              </w:rPr>
            </w:pPr>
          </w:p>
          <w:p>
            <w:pPr>
              <w:pStyle w:val="10"/>
              <w:spacing w:before="103" w:line="400" w:lineRule="exact"/>
              <w:jc w:val="both"/>
              <w:rPr>
                <w:rFonts w:eastAsia="宋体" w:cs="宋体"/>
                <w:sz w:val="24"/>
                <w:szCs w:val="24"/>
                <w:lang w:eastAsia="zh-CN"/>
              </w:rPr>
            </w:pPr>
            <w:r>
              <w:rPr>
                <w:rFonts w:eastAsia="宋体" w:cs="宋体"/>
                <w:sz w:val="24"/>
                <w:szCs w:val="24"/>
                <w:lang w:eastAsia="zh-CN"/>
              </w:rPr>
              <w:t>庭内清算程序的解决费用</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诉讼的总成本(债权人和借款人</w:t>
            </w:r>
            <w:r>
              <w:rPr>
                <w:rFonts w:hint="eastAsia" w:eastAsia="宋体" w:cs="宋体"/>
                <w:sz w:val="24"/>
                <w:szCs w:val="24"/>
                <w:lang w:eastAsia="zh-CN"/>
              </w:rPr>
              <w:t>产生的费用</w:t>
            </w:r>
            <w:r>
              <w:rPr>
                <w:rFonts w:eastAsia="宋体" w:cs="宋体"/>
                <w:sz w:val="24"/>
                <w:szCs w:val="24"/>
                <w:lang w:eastAsia="zh-CN"/>
              </w:rPr>
              <w:t>)</w:t>
            </w:r>
            <w:r>
              <w:rPr>
                <w:rFonts w:hint="eastAsia" w:eastAsia="宋体" w:cs="宋体"/>
                <w:sz w:val="24"/>
                <w:szCs w:val="24"/>
                <w:lang w:eastAsia="zh-CN"/>
              </w:rPr>
              <w:t>按确定的</w:t>
            </w:r>
            <w:r>
              <w:rPr>
                <w:rFonts w:eastAsia="宋体" w:cs="宋体"/>
                <w:sz w:val="24"/>
                <w:szCs w:val="24"/>
                <w:lang w:eastAsia="zh-CN"/>
              </w:rPr>
              <w:t>公司价值的百分比记录，其中包括法庭费用，律师费、破产代表费</w:t>
            </w:r>
            <w:r>
              <w:rPr>
                <w:rFonts w:hint="eastAsia" w:eastAsia="宋体" w:cs="宋体"/>
                <w:sz w:val="24"/>
                <w:szCs w:val="24"/>
                <w:lang w:eastAsia="zh-CN"/>
              </w:rPr>
              <w:t>用</w:t>
            </w:r>
            <w:r>
              <w:rPr>
                <w:rFonts w:eastAsia="宋体" w:cs="宋体"/>
                <w:sz w:val="24"/>
                <w:szCs w:val="24"/>
                <w:lang w:eastAsia="zh-CN"/>
              </w:rPr>
              <w:t>，以及其他费用(拍卖费、会计师费和其他杂费)。</w:t>
            </w:r>
          </w:p>
        </w:tc>
      </w:tr>
    </w:tbl>
    <w:p>
      <w:pPr>
        <w:pStyle w:val="3"/>
        <w:spacing w:before="10" w:line="400" w:lineRule="exact"/>
        <w:ind w:firstLine="562" w:firstLineChars="200"/>
        <w:jc w:val="both"/>
        <w:rPr>
          <w:rFonts w:eastAsia="宋体"/>
          <w:b/>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3.2重整程序实践</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重组和业务剥离时间过长是引发企业价值损失的关键。</w:t>
      </w:r>
      <w:r>
        <w:rPr>
          <w:rFonts w:eastAsia="宋体" w:cs="宋体"/>
          <w:sz w:val="28"/>
          <w:vertAlign w:val="superscript"/>
          <w:lang w:eastAsia="zh-CN"/>
        </w:rPr>
        <w:t>37</w:t>
      </w:r>
      <w:r>
        <w:rPr>
          <w:rFonts w:eastAsia="宋体" w:cs="宋体"/>
          <w:sz w:val="28"/>
          <w:lang w:eastAsia="zh-CN"/>
        </w:rPr>
        <w:t>因此，子类别3.1 -实践中的重组程序包括两个指标(表27)。</w:t>
      </w:r>
    </w:p>
    <w:p>
      <w:pPr>
        <w:spacing w:before="215" w:line="400" w:lineRule="exact"/>
        <w:jc w:val="center"/>
        <w:rPr>
          <w:rFonts w:eastAsia="宋体" w:cs="宋体"/>
          <w:b/>
          <w:sz w:val="28"/>
          <w:lang w:eastAsia="zh-CN"/>
        </w:rPr>
      </w:pPr>
      <w:r>
        <w:rPr>
          <w:rFonts w:eastAsia="宋体" w:cs="宋体"/>
          <w:b/>
          <w:sz w:val="28"/>
          <w:lang w:eastAsia="zh-CN"/>
        </w:rPr>
        <w:t>表17</w:t>
      </w:r>
      <w:r>
        <w:rPr>
          <w:rFonts w:hint="eastAsia" w:eastAsia="宋体" w:cs="宋体"/>
          <w:b/>
          <w:sz w:val="28"/>
          <w:lang w:val="en-US" w:eastAsia="zh-CN"/>
        </w:rPr>
        <w:t xml:space="preserve">. </w:t>
      </w:r>
      <w:r>
        <w:rPr>
          <w:rFonts w:eastAsia="宋体" w:cs="宋体"/>
          <w:b/>
          <w:sz w:val="28"/>
          <w:lang w:eastAsia="zh-CN"/>
        </w:rPr>
        <w:t>子类别3.2 -实践中的重整程序</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6"/>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696" w:type="dxa"/>
            <w:shd w:val="clear" w:color="auto" w:fill="E7EBF5"/>
          </w:tcPr>
          <w:p>
            <w:pPr>
              <w:pStyle w:val="10"/>
              <w:spacing w:before="103" w:line="400" w:lineRule="exact"/>
              <w:jc w:val="both"/>
              <w:rPr>
                <w:rFonts w:eastAsia="宋体" w:cs="宋体"/>
                <w:b/>
                <w:bCs/>
                <w:sz w:val="24"/>
                <w:szCs w:val="24"/>
              </w:rPr>
            </w:pPr>
            <w:r>
              <w:rPr>
                <w:rFonts w:eastAsia="宋体" w:cs="宋体"/>
                <w:b/>
                <w:bCs/>
                <w:sz w:val="24"/>
                <w:szCs w:val="24"/>
              </w:rPr>
              <w:t>指示</w:t>
            </w:r>
          </w:p>
        </w:tc>
        <w:tc>
          <w:tcPr>
            <w:tcW w:w="6661" w:type="dxa"/>
            <w:shd w:val="clear" w:color="auto" w:fill="E7EBF5"/>
          </w:tcPr>
          <w:p>
            <w:pPr>
              <w:pStyle w:val="10"/>
              <w:spacing w:before="103" w:line="400" w:lineRule="exact"/>
              <w:jc w:val="both"/>
              <w:rPr>
                <w:rFonts w:eastAsia="宋体" w:cs="宋体"/>
                <w:b/>
                <w:bCs/>
                <w:sz w:val="24"/>
                <w:szCs w:val="24"/>
                <w:lang w:eastAsia="zh-CN"/>
              </w:rPr>
            </w:pPr>
            <w:r>
              <w:rPr>
                <w:rFonts w:hint="eastAsia"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696"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解决庭内重组程序的时间</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解决程序的时间以日历月为单位，从提交申请之日起计算，直至重组计划获得批准。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2696" w:type="dxa"/>
            <w:vAlign w:val="center"/>
          </w:tcPr>
          <w:p>
            <w:pPr>
              <w:pStyle w:val="10"/>
              <w:spacing w:before="103" w:line="400" w:lineRule="exact"/>
              <w:jc w:val="both"/>
              <w:rPr>
                <w:rFonts w:eastAsia="宋体" w:cs="宋体"/>
                <w:sz w:val="24"/>
                <w:szCs w:val="24"/>
                <w:lang w:eastAsia="zh-CN"/>
              </w:rPr>
            </w:pPr>
          </w:p>
          <w:p>
            <w:pPr>
              <w:pStyle w:val="10"/>
              <w:spacing w:before="103" w:line="400" w:lineRule="exact"/>
              <w:jc w:val="both"/>
              <w:rPr>
                <w:rFonts w:eastAsia="宋体" w:cs="宋体"/>
                <w:sz w:val="24"/>
                <w:szCs w:val="24"/>
                <w:lang w:eastAsia="zh-CN"/>
              </w:rPr>
            </w:pPr>
            <w:r>
              <w:rPr>
                <w:rFonts w:eastAsia="宋体" w:cs="宋体"/>
                <w:sz w:val="24"/>
                <w:szCs w:val="24"/>
                <w:lang w:eastAsia="zh-CN"/>
              </w:rPr>
              <w:t>解决庭内重整程序的费用</w:t>
            </w:r>
          </w:p>
        </w:tc>
        <w:tc>
          <w:tcPr>
            <w:tcW w:w="6661" w:type="dxa"/>
            <w:vAlign w:val="center"/>
          </w:tcPr>
          <w:p>
            <w:pPr>
              <w:pStyle w:val="10"/>
              <w:spacing w:before="103" w:line="400" w:lineRule="exact"/>
              <w:jc w:val="both"/>
              <w:rPr>
                <w:rFonts w:eastAsia="宋体" w:cs="宋体"/>
                <w:sz w:val="24"/>
                <w:szCs w:val="24"/>
                <w:lang w:eastAsia="zh-CN"/>
              </w:rPr>
            </w:pPr>
            <w:r>
              <w:rPr>
                <w:rFonts w:eastAsia="宋体" w:cs="宋体"/>
                <w:sz w:val="24"/>
                <w:szCs w:val="24"/>
                <w:lang w:eastAsia="zh-CN"/>
              </w:rPr>
              <w:t>诉讼的总成本(债权人和借款人双方发生的成本)按确定的公司价值的百分比记录，包括诉讼费、律师费、破产代表费，以及其他费用(拍卖费、会计师费用和其他杂费)</w:t>
            </w:r>
          </w:p>
        </w:tc>
      </w:tr>
    </w:tbl>
    <w:p>
      <w:pPr>
        <w:pStyle w:val="3"/>
        <w:spacing w:line="400" w:lineRule="exact"/>
        <w:ind w:firstLine="562" w:firstLineChars="200"/>
        <w:jc w:val="both"/>
        <w:rPr>
          <w:rFonts w:eastAsia="宋体"/>
          <w:b/>
          <w:sz w:val="28"/>
          <w:lang w:eastAsia="zh-CN"/>
        </w:rPr>
      </w:pPr>
    </w:p>
    <w:p>
      <w:pPr>
        <w:rPr>
          <w:rFonts w:eastAsia="宋体"/>
          <w:b/>
          <w:sz w:val="28"/>
          <w:lang w:eastAsia="zh-CN"/>
        </w:rPr>
      </w:pPr>
      <w:r>
        <w:rPr>
          <w:rFonts w:eastAsia="宋体"/>
          <w:b/>
          <w:sz w:val="28"/>
          <w:lang w:eastAsia="zh-CN"/>
        </w:rPr>
        <w:br w:type="page"/>
      </w:r>
    </w:p>
    <w:p>
      <w:pPr>
        <w:pStyle w:val="2"/>
        <w:tabs>
          <w:tab w:val="left" w:pos="3941"/>
          <w:tab w:val="left" w:pos="3942"/>
        </w:tabs>
        <w:spacing w:before="1" w:after="240" w:afterLines="100" w:line="400" w:lineRule="exact"/>
        <w:ind w:left="0" w:firstLine="0"/>
        <w:jc w:val="center"/>
        <w:rPr>
          <w:rFonts w:eastAsia="宋体"/>
          <w:sz w:val="28"/>
          <w:lang w:eastAsia="zh-CN"/>
        </w:rPr>
      </w:pPr>
      <w:r>
        <w:rPr>
          <w:rFonts w:hint="eastAsia" w:eastAsia="宋体" w:cs="宋体"/>
          <w:sz w:val="28"/>
          <w:lang w:eastAsia="zh-CN"/>
        </w:rPr>
        <w:t>III.</w:t>
      </w:r>
      <w:r>
        <w:rPr>
          <w:rFonts w:eastAsia="宋体" w:cs="宋体"/>
          <w:sz w:val="28"/>
          <w:lang w:eastAsia="zh-CN"/>
        </w:rPr>
        <w:t>数据源</w:t>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4.1数据收集来源</w:t>
      </w:r>
    </w:p>
    <w:p>
      <w:pPr>
        <w:pStyle w:val="3"/>
        <w:spacing w:before="1" w:line="400" w:lineRule="exact"/>
        <w:ind w:left="120" w:right="193" w:firstLine="560" w:firstLineChars="200"/>
        <w:jc w:val="both"/>
        <w:rPr>
          <w:rFonts w:eastAsia="宋体"/>
          <w:sz w:val="28"/>
          <w:lang w:eastAsia="zh-CN"/>
        </w:rPr>
      </w:pPr>
      <w:r>
        <w:rPr>
          <w:rFonts w:hint="eastAsia" w:eastAsia="宋体" w:cs="宋体"/>
          <w:sz w:val="28"/>
          <w:lang w:eastAsia="zh-CN"/>
        </w:rPr>
        <w:t>维度</w:t>
      </w:r>
      <w:r>
        <w:rPr>
          <w:rFonts w:eastAsia="宋体" w:cs="宋体"/>
          <w:sz w:val="28"/>
          <w:lang w:eastAsia="zh-CN"/>
        </w:rPr>
        <w:t>I</w:t>
      </w:r>
      <w:r>
        <w:rPr>
          <w:rFonts w:hint="eastAsia" w:eastAsia="宋体" w:cs="宋体"/>
          <w:sz w:val="28"/>
          <w:lang w:eastAsia="zh-CN"/>
        </w:rPr>
        <w:t>、II、III</w:t>
      </w:r>
      <w:r>
        <w:rPr>
          <w:rFonts w:eastAsia="宋体" w:cs="宋体"/>
          <w:sz w:val="28"/>
          <w:lang w:eastAsia="zh-CN"/>
        </w:rPr>
        <w:t>的数据是通过与私营部门专家协商收集的。私营部门专家包括专门从事公司法或商法的破产从业人员和律师，他们在公司破产程序方面具有实践经验，并对每个经济体的破产框架具有相关知识。</w:t>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4.2筛选和选择专家</w:t>
      </w:r>
    </w:p>
    <w:p>
      <w:pPr>
        <w:pStyle w:val="3"/>
        <w:spacing w:line="400" w:lineRule="exact"/>
        <w:ind w:left="120" w:right="191" w:firstLine="560" w:firstLineChars="200"/>
        <w:jc w:val="both"/>
        <w:rPr>
          <w:rFonts w:eastAsia="宋体"/>
          <w:sz w:val="28"/>
          <w:lang w:eastAsia="zh-CN"/>
        </w:rPr>
      </w:pPr>
      <w:r>
        <w:rPr>
          <w:rFonts w:eastAsia="宋体" w:cs="宋体"/>
          <w:sz w:val="28"/>
          <w:lang w:eastAsia="zh-CN"/>
        </w:rPr>
        <w:t>为了选拔潜在的专家，编制了企业破产专题筛选问卷(表18)。筛选问卷中提供的信息将使B-READY团队能够更好地了解专家的职业、专业领域以及与公司破产法律制度和实践相关的知识或经验。最终，这将使团队能够选择专家来回答关于企业破产的调查问卷。</w:t>
      </w:r>
    </w:p>
    <w:p>
      <w:pPr>
        <w:spacing w:before="215" w:line="400" w:lineRule="exact"/>
        <w:jc w:val="center"/>
        <w:rPr>
          <w:rFonts w:eastAsia="宋体" w:cs="宋体"/>
          <w:b/>
          <w:sz w:val="28"/>
          <w:lang w:eastAsia="zh-CN"/>
        </w:rPr>
      </w:pPr>
      <w:r>
        <w:rPr>
          <w:rFonts w:eastAsia="宋体" w:cs="宋体"/>
          <w:b/>
          <w:sz w:val="28"/>
          <w:lang w:eastAsia="zh-CN"/>
        </w:rPr>
        <w:t>表18</w:t>
      </w:r>
      <w:r>
        <w:rPr>
          <w:rFonts w:hint="eastAsia" w:eastAsia="宋体" w:cs="宋体"/>
          <w:b/>
          <w:sz w:val="28"/>
          <w:lang w:val="en-US" w:eastAsia="zh-CN"/>
        </w:rPr>
        <w:t xml:space="preserve">. </w:t>
      </w:r>
      <w:r>
        <w:rPr>
          <w:rFonts w:eastAsia="宋体" w:cs="宋体"/>
          <w:b/>
          <w:sz w:val="28"/>
          <w:lang w:eastAsia="zh-CN"/>
        </w:rPr>
        <w:t>筛选者问卷和应答标准</w:t>
      </w: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9357" w:type="dxa"/>
            <w:shd w:val="clear" w:color="auto" w:fill="E7EBF5"/>
          </w:tcPr>
          <w:p>
            <w:pPr>
              <w:pStyle w:val="10"/>
              <w:spacing w:before="2" w:line="400" w:lineRule="exact"/>
              <w:jc w:val="both"/>
              <w:rPr>
                <w:rFonts w:eastAsia="宋体"/>
                <w:b/>
                <w:sz w:val="24"/>
                <w:szCs w:val="24"/>
              </w:rPr>
            </w:pPr>
            <w:r>
              <w:rPr>
                <w:rFonts w:eastAsia="宋体" w:cs="宋体"/>
                <w:b/>
                <w:sz w:val="24"/>
                <w:szCs w:val="24"/>
              </w:rPr>
              <w:t>考虑到专家的职业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357" w:type="dxa"/>
          </w:tcPr>
          <w:p>
            <w:pPr>
              <w:pStyle w:val="10"/>
              <w:spacing w:line="400" w:lineRule="exact"/>
              <w:jc w:val="both"/>
              <w:rPr>
                <w:rFonts w:eastAsia="宋体"/>
                <w:sz w:val="24"/>
                <w:szCs w:val="24"/>
                <w:lang w:eastAsia="zh-CN"/>
              </w:rPr>
            </w:pPr>
            <w:r>
              <w:rPr>
                <w:rFonts w:eastAsia="宋体" w:cs="宋体"/>
                <w:sz w:val="24"/>
                <w:szCs w:val="24"/>
                <w:lang w:eastAsia="zh-CN"/>
              </w:rPr>
              <w:t>律师、法官和其他相关职业，包括书记员、破产管理人、破产委员会官员等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7" w:type="dxa"/>
            <w:shd w:val="clear" w:color="auto" w:fill="E7EBF5"/>
          </w:tcPr>
          <w:p>
            <w:pPr>
              <w:pStyle w:val="10"/>
              <w:spacing w:line="400" w:lineRule="exact"/>
              <w:jc w:val="both"/>
              <w:rPr>
                <w:rFonts w:eastAsia="宋体"/>
                <w:b/>
                <w:sz w:val="24"/>
                <w:szCs w:val="24"/>
                <w:lang w:eastAsia="zh-CN"/>
              </w:rPr>
            </w:pPr>
            <w:r>
              <w:rPr>
                <w:rFonts w:eastAsia="宋体" w:cs="宋体"/>
                <w:b/>
                <w:sz w:val="24"/>
                <w:szCs w:val="24"/>
                <w:lang w:eastAsia="zh-CN"/>
              </w:rPr>
              <w:t>被认为是专家的专业领域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7" w:type="dxa"/>
          </w:tcPr>
          <w:p>
            <w:pPr>
              <w:pStyle w:val="10"/>
              <w:spacing w:line="400" w:lineRule="exact"/>
              <w:jc w:val="both"/>
              <w:rPr>
                <w:rFonts w:eastAsia="宋体"/>
                <w:sz w:val="24"/>
                <w:szCs w:val="24"/>
                <w:lang w:eastAsia="zh-CN"/>
              </w:rPr>
            </w:pPr>
            <w:r>
              <w:rPr>
                <w:rFonts w:eastAsia="宋体" w:cs="宋体"/>
                <w:sz w:val="24"/>
                <w:szCs w:val="24"/>
                <w:lang w:eastAsia="zh-CN"/>
              </w:rPr>
              <w:t>公司破产，公司法，商法，程序法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7" w:type="dxa"/>
            <w:shd w:val="clear" w:color="auto" w:fill="E7EBF5"/>
          </w:tcPr>
          <w:p>
            <w:pPr>
              <w:pStyle w:val="10"/>
              <w:spacing w:line="400" w:lineRule="exact"/>
              <w:jc w:val="both"/>
              <w:rPr>
                <w:rFonts w:eastAsia="宋体"/>
                <w:b/>
                <w:sz w:val="24"/>
                <w:szCs w:val="24"/>
                <w:lang w:eastAsia="zh-CN"/>
              </w:rPr>
            </w:pPr>
            <w:r>
              <w:rPr>
                <w:rFonts w:eastAsia="宋体" w:cs="宋体"/>
                <w:b/>
                <w:sz w:val="24"/>
                <w:szCs w:val="24"/>
                <w:lang w:eastAsia="zh-CN"/>
              </w:rPr>
              <w:t>评估专家对商业破产的相关知识或经验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9357" w:type="dxa"/>
          </w:tcPr>
          <w:p>
            <w:pPr>
              <w:pStyle w:val="10"/>
              <w:spacing w:line="400" w:lineRule="exact"/>
              <w:ind w:firstLine="480" w:firstLineChars="200"/>
              <w:jc w:val="both"/>
              <w:rPr>
                <w:rFonts w:eastAsia="宋体"/>
                <w:sz w:val="24"/>
                <w:szCs w:val="24"/>
                <w:lang w:eastAsia="zh-CN"/>
              </w:rPr>
            </w:pPr>
            <w:r>
              <w:rPr>
                <w:rFonts w:eastAsia="宋体" w:cs="宋体"/>
                <w:sz w:val="24"/>
                <w:szCs w:val="24"/>
                <w:lang w:eastAsia="zh-CN"/>
              </w:rPr>
              <w:t>在过去三年</w:t>
            </w:r>
            <w:r>
              <w:rPr>
                <w:rFonts w:hint="eastAsia" w:eastAsia="宋体" w:cs="宋体"/>
                <w:sz w:val="24"/>
                <w:szCs w:val="24"/>
                <w:lang w:eastAsia="zh-CN"/>
              </w:rPr>
              <w:t>内，有</w:t>
            </w:r>
            <w:r>
              <w:rPr>
                <w:rFonts w:eastAsia="宋体" w:cs="宋体"/>
                <w:sz w:val="24"/>
                <w:szCs w:val="24"/>
                <w:lang w:eastAsia="zh-CN"/>
              </w:rPr>
              <w:t>涉及公司债务人或债权人的正式司法程序清算或重组方面的经验，特别是涉及国内微型和小型企业的经验。</w:t>
            </w:r>
          </w:p>
          <w:p>
            <w:pPr>
              <w:pStyle w:val="10"/>
              <w:spacing w:before="1" w:line="400" w:lineRule="exact"/>
              <w:ind w:firstLine="480" w:firstLineChars="200"/>
              <w:jc w:val="both"/>
              <w:rPr>
                <w:rFonts w:eastAsia="宋体"/>
                <w:sz w:val="24"/>
                <w:szCs w:val="24"/>
                <w:lang w:eastAsia="zh-CN"/>
              </w:rPr>
            </w:pPr>
            <w:r>
              <w:rPr>
                <w:rFonts w:eastAsia="宋体" w:cs="宋体"/>
                <w:sz w:val="24"/>
                <w:szCs w:val="24"/>
                <w:lang w:eastAsia="zh-CN"/>
              </w:rPr>
              <w:t>鼓励在破产法立法指南和世界银行有效破产原则和债权人/债务人制度的基本框架方面具有经验或知识。</w:t>
            </w:r>
          </w:p>
          <w:p>
            <w:pPr>
              <w:pStyle w:val="10"/>
              <w:spacing w:line="400" w:lineRule="exact"/>
              <w:ind w:firstLine="480" w:firstLineChars="200"/>
              <w:jc w:val="both"/>
              <w:rPr>
                <w:rFonts w:eastAsia="宋体" w:cs="宋体"/>
                <w:sz w:val="24"/>
                <w:szCs w:val="24"/>
                <w:lang w:eastAsia="zh-CN"/>
              </w:rPr>
            </w:pPr>
            <w:r>
              <w:rPr>
                <w:rFonts w:eastAsia="宋体" w:cs="宋体"/>
                <w:sz w:val="24"/>
                <w:szCs w:val="24"/>
                <w:lang w:eastAsia="zh-CN"/>
              </w:rPr>
              <w:t>鼓励具有处理破产领域内环境义务方面的知识或经验。</w:t>
            </w:r>
          </w:p>
          <w:p>
            <w:pPr>
              <w:pStyle w:val="10"/>
              <w:spacing w:line="400" w:lineRule="exact"/>
              <w:ind w:firstLine="480" w:firstLineChars="200"/>
              <w:jc w:val="both"/>
              <w:rPr>
                <w:rFonts w:eastAsia="宋体"/>
                <w:sz w:val="24"/>
                <w:szCs w:val="24"/>
                <w:lang w:eastAsia="zh-CN"/>
              </w:rPr>
            </w:pPr>
            <w:r>
              <w:rPr>
                <w:rFonts w:eastAsia="宋体" w:cs="宋体"/>
                <w:sz w:val="24"/>
                <w:szCs w:val="24"/>
                <w:lang w:eastAsia="zh-CN"/>
              </w:rPr>
              <w:t>鼓励成为特定司法管辖区可用的在线法院服务和平台的积极用户，假设这些功能已到位，并可全面运行。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9357" w:type="dxa"/>
            <w:shd w:val="clear" w:color="auto" w:fill="D9E1F3"/>
          </w:tcPr>
          <w:p>
            <w:pPr>
              <w:pStyle w:val="10"/>
              <w:spacing w:line="400" w:lineRule="exact"/>
              <w:jc w:val="both"/>
              <w:rPr>
                <w:rFonts w:eastAsia="宋体"/>
                <w:b/>
                <w:sz w:val="24"/>
                <w:szCs w:val="24"/>
                <w:lang w:eastAsia="zh-CN"/>
              </w:rPr>
            </w:pPr>
            <w:r>
              <w:rPr>
                <w:rFonts w:eastAsia="宋体" w:cs="宋体"/>
                <w:b/>
                <w:sz w:val="24"/>
                <w:szCs w:val="24"/>
                <w:lang w:eastAsia="zh-CN"/>
              </w:rPr>
              <w:t>确定将回答调查问卷的专家总数</w:t>
            </w:r>
          </w:p>
        </w:tc>
      </w:tr>
    </w:tbl>
    <w:p>
      <w:pPr>
        <w:rPr>
          <w:rFonts w:eastAsia="宋体"/>
          <w:b/>
          <w:sz w:val="28"/>
          <w:lang w:eastAsia="zh-CN"/>
        </w:rPr>
      </w:pPr>
      <w:r>
        <w:rPr>
          <w:rFonts w:eastAsia="宋体"/>
          <w:b/>
          <w:sz w:val="28"/>
          <w:lang w:eastAsia="zh-CN"/>
        </w:rPr>
        <w:br w:type="page"/>
      </w:r>
    </w:p>
    <w:p>
      <w:pPr>
        <w:pStyle w:val="2"/>
        <w:tabs>
          <w:tab w:val="left" w:pos="3941"/>
          <w:tab w:val="left" w:pos="3942"/>
        </w:tabs>
        <w:spacing w:before="1" w:after="240" w:afterLines="100" w:line="400" w:lineRule="exact"/>
        <w:ind w:left="0" w:firstLine="0"/>
        <w:jc w:val="center"/>
        <w:rPr>
          <w:rFonts w:eastAsia="宋体"/>
          <w:sz w:val="28"/>
          <w:lang w:eastAsia="zh-CN"/>
        </w:rPr>
      </w:pPr>
      <w:r>
        <w:rPr>
          <w:rFonts w:hint="eastAsia" w:eastAsia="宋体" w:cs="宋体"/>
          <w:sz w:val="28"/>
          <w:lang w:eastAsia="zh-CN"/>
        </w:rPr>
        <w:t>IV.参数</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为确保各经济体专家咨询数据的可比性，企业破产</w:t>
      </w:r>
      <w:r>
        <w:rPr>
          <w:rFonts w:hint="eastAsia" w:eastAsia="宋体" w:cs="宋体"/>
          <w:sz w:val="28"/>
          <w:lang w:eastAsia="zh-CN"/>
        </w:rPr>
        <w:t>主</w:t>
      </w:r>
      <w:r>
        <w:rPr>
          <w:rFonts w:eastAsia="宋体" w:cs="宋体"/>
          <w:sz w:val="28"/>
          <w:lang w:eastAsia="zh-CN"/>
        </w:rPr>
        <w:t>题使用了特定参数。参数是指对破产法和破产实践的具体特征所做的假设。企业破产</w:t>
      </w:r>
      <w:r>
        <w:rPr>
          <w:rFonts w:hint="eastAsia" w:eastAsia="宋体" w:cs="宋体"/>
          <w:sz w:val="28"/>
          <w:lang w:eastAsia="zh-CN"/>
        </w:rPr>
        <w:t>主</w:t>
      </w:r>
      <w:r>
        <w:rPr>
          <w:rFonts w:eastAsia="宋体" w:cs="宋体"/>
          <w:sz w:val="28"/>
          <w:lang w:eastAsia="zh-CN"/>
        </w:rPr>
        <w:t>题特有的参数也是必要的，以确保主管法院及其所在地(在最大的商业城市中对破产案件有管辖权的法院)和债务人(公司类型、规模、财务状况和债权人数量)特有的衡量标准在各经济体之间具有可比性。</w:t>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5.1具体的参数</w:t>
      </w: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5.1.1主管法院及其所在地</w:t>
      </w:r>
    </w:p>
    <w:p>
      <w:pPr>
        <w:pStyle w:val="3"/>
        <w:spacing w:line="400" w:lineRule="exact"/>
        <w:ind w:left="120" w:firstLine="552" w:firstLineChars="200"/>
        <w:jc w:val="both"/>
        <w:rPr>
          <w:rFonts w:eastAsia="宋体"/>
          <w:sz w:val="28"/>
          <w:lang w:eastAsia="zh-CN"/>
        </w:rPr>
      </w:pPr>
      <w:r>
        <w:rPr>
          <w:rFonts w:eastAsia="宋体" w:cs="宋体"/>
          <w:spacing w:val="-2"/>
          <w:sz w:val="28"/>
          <w:u w:val="single"/>
          <w:lang w:eastAsia="zh-CN"/>
        </w:rPr>
        <w:t>理由:</w:t>
      </w:r>
    </w:p>
    <w:p>
      <w:pPr>
        <w:pStyle w:val="3"/>
        <w:spacing w:line="400" w:lineRule="exact"/>
        <w:ind w:left="120" w:right="195" w:firstLine="560" w:firstLineChars="200"/>
        <w:jc w:val="both"/>
        <w:rPr>
          <w:rFonts w:eastAsia="宋体"/>
          <w:sz w:val="28"/>
          <w:lang w:eastAsia="zh-CN"/>
        </w:rPr>
      </w:pPr>
      <w:r>
        <w:rPr>
          <w:rFonts w:eastAsia="宋体" w:cs="宋体"/>
          <w:sz w:val="28"/>
          <w:lang w:eastAsia="zh-CN"/>
        </w:rPr>
        <w:t>界定主管法院是确保不同经济体之间可比性的关键，因为它确立了对破产程序的启动和实施具有相同级别的管辖权。</w:t>
      </w:r>
      <w:r>
        <w:rPr>
          <w:rFonts w:hint="eastAsia" w:eastAsia="宋体" w:cs="宋体"/>
          <w:sz w:val="28"/>
          <w:lang w:eastAsia="zh-CN"/>
        </w:rPr>
        <w:t>初审</w:t>
      </w:r>
      <w:r>
        <w:rPr>
          <w:rFonts w:eastAsia="宋体" w:cs="宋体"/>
          <w:sz w:val="28"/>
          <w:lang w:eastAsia="zh-CN"/>
        </w:rPr>
        <w:t>或</w:t>
      </w:r>
      <w:r>
        <w:rPr>
          <w:rFonts w:hint="eastAsia" w:eastAsia="宋体" w:cs="宋体"/>
          <w:sz w:val="28"/>
          <w:lang w:eastAsia="zh-CN"/>
        </w:rPr>
        <w:t>初</w:t>
      </w:r>
      <w:r>
        <w:rPr>
          <w:rFonts w:eastAsia="宋体" w:cs="宋体"/>
          <w:sz w:val="28"/>
          <w:lang w:eastAsia="zh-CN"/>
        </w:rPr>
        <w:t>审主管法院在全世界的司法管辖区中是最具可比性的:二审法院的管辖权通常取决于法律框架和有关司法管辖区的性质，这就不允许在数据分析中有一个全面的观点和一致性。此外，由于每个经济体内部</w:t>
      </w:r>
      <w:r>
        <w:rPr>
          <w:rFonts w:hint="eastAsia" w:eastAsia="宋体" w:cs="宋体"/>
          <w:sz w:val="28"/>
          <w:lang w:eastAsia="zh-CN"/>
        </w:rPr>
        <w:t>可能存在各种子国家级别的管辖权</w:t>
      </w:r>
      <w:r>
        <w:rPr>
          <w:rFonts w:eastAsia="宋体" w:cs="宋体"/>
          <w:sz w:val="28"/>
          <w:lang w:eastAsia="zh-CN"/>
        </w:rPr>
        <w:t>，因此此处假定的主管法院以该经济体最大的商业城市为基础，作为属地管辖权的主要标准。</w:t>
      </w:r>
    </w:p>
    <w:p>
      <w:pPr>
        <w:pStyle w:val="3"/>
        <w:spacing w:line="400" w:lineRule="exact"/>
        <w:ind w:left="120" w:firstLine="552" w:firstLineChars="200"/>
        <w:jc w:val="both"/>
        <w:rPr>
          <w:rFonts w:eastAsia="宋体"/>
          <w:sz w:val="28"/>
          <w:lang w:eastAsia="zh-CN"/>
        </w:rPr>
      </w:pPr>
      <w:r>
        <w:rPr>
          <w:rFonts w:eastAsia="宋体" w:cs="宋体"/>
          <w:spacing w:val="-2"/>
          <w:sz w:val="28"/>
          <w:u w:val="single"/>
          <w:lang w:eastAsia="zh-CN"/>
        </w:rPr>
        <w:t>应用:</w:t>
      </w:r>
    </w:p>
    <w:p>
      <w:pPr>
        <w:pStyle w:val="3"/>
        <w:spacing w:line="400" w:lineRule="exact"/>
        <w:ind w:left="120" w:right="194" w:firstLine="560" w:firstLineChars="200"/>
        <w:jc w:val="both"/>
        <w:rPr>
          <w:rFonts w:eastAsia="宋体"/>
          <w:sz w:val="28"/>
          <w:lang w:eastAsia="zh-CN"/>
        </w:rPr>
      </w:pPr>
      <w:r>
        <w:rPr>
          <w:rFonts w:eastAsia="宋体" w:cs="宋体"/>
          <w:sz w:val="28"/>
          <w:lang w:eastAsia="zh-CN"/>
        </w:rPr>
        <w:t>此参数适用于</w:t>
      </w:r>
      <w:r>
        <w:rPr>
          <w:rFonts w:hint="eastAsia" w:eastAsia="宋体" w:cs="宋体"/>
          <w:sz w:val="28"/>
          <w:lang w:eastAsia="zh-CN"/>
        </w:rPr>
        <w:t>维度II、III</w:t>
      </w:r>
      <w:r>
        <w:rPr>
          <w:rFonts w:eastAsia="宋体" w:cs="宋体"/>
          <w:sz w:val="28"/>
          <w:lang w:eastAsia="zh-CN"/>
        </w:rPr>
        <w:t>所有指标。例如，假设解决破产纠纷具有管辖权的主管法院的确立了</w:t>
      </w:r>
      <w:r>
        <w:rPr>
          <w:rFonts w:hint="eastAsia" w:eastAsia="宋体" w:cs="宋体"/>
          <w:sz w:val="28"/>
          <w:lang w:eastAsia="zh-CN"/>
        </w:rPr>
        <w:t>维度II</w:t>
      </w:r>
      <w:r>
        <w:rPr>
          <w:rFonts w:eastAsia="宋体" w:cs="宋体"/>
          <w:sz w:val="28"/>
          <w:lang w:eastAsia="zh-CN"/>
        </w:rPr>
        <w:t>衡量的提供公共服务的机构。</w:t>
      </w:r>
      <w:r>
        <w:rPr>
          <w:rFonts w:hint="eastAsia" w:eastAsia="宋体"/>
          <w:sz w:val="28"/>
          <w:lang w:eastAsia="zh-CN"/>
        </w:rPr>
        <w:t>提供这些公共服务的最相关机构</w:t>
      </w:r>
      <w:r>
        <w:rPr>
          <w:rFonts w:eastAsia="宋体" w:cs="宋体"/>
          <w:sz w:val="28"/>
          <w:lang w:eastAsia="zh-CN"/>
        </w:rPr>
        <w:t>必须以尽可能一致和统一的方式</w:t>
      </w:r>
      <w:r>
        <w:rPr>
          <w:rFonts w:hint="eastAsia" w:eastAsia="宋体"/>
          <w:sz w:val="28"/>
          <w:lang w:eastAsia="zh-CN"/>
        </w:rPr>
        <w:t>在各经济体之间确定一致</w:t>
      </w:r>
      <w:r>
        <w:rPr>
          <w:rFonts w:eastAsia="宋体" w:cs="宋体"/>
          <w:sz w:val="28"/>
          <w:lang w:eastAsia="zh-CN"/>
        </w:rPr>
        <w:t>，以便在与电子法院或测量(如专门破产法院或商事法庭的法官/分庭/法官)相关的指标方面具有可比性。此外，与位于最大商业城市的主管法院有关的假设适用于估计</w:t>
      </w:r>
      <w:r>
        <w:rPr>
          <w:rFonts w:hint="eastAsia" w:eastAsia="宋体" w:cs="宋体"/>
          <w:sz w:val="28"/>
          <w:lang w:eastAsia="zh-CN"/>
        </w:rPr>
        <w:t>维度III</w:t>
      </w:r>
      <w:r>
        <w:rPr>
          <w:rFonts w:eastAsia="宋体" w:cs="宋体"/>
          <w:sz w:val="28"/>
          <w:lang w:eastAsia="zh-CN"/>
        </w:rPr>
        <w:t>所衡量的庭内清算和重组程序的效率，因为它允许在程序层面上标准化，以计算此类程序的时间和成本。</w:t>
      </w:r>
    </w:p>
    <w:p>
      <w:pPr>
        <w:spacing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5.1.2债务人公司</w:t>
      </w:r>
    </w:p>
    <w:p>
      <w:pPr>
        <w:pStyle w:val="3"/>
        <w:spacing w:line="400" w:lineRule="exact"/>
        <w:ind w:left="120" w:firstLine="552" w:firstLineChars="200"/>
        <w:jc w:val="both"/>
        <w:rPr>
          <w:rFonts w:eastAsia="宋体"/>
          <w:sz w:val="28"/>
          <w:lang w:eastAsia="zh-CN"/>
        </w:rPr>
      </w:pPr>
      <w:r>
        <w:rPr>
          <w:rFonts w:eastAsia="宋体" w:cs="宋体"/>
          <w:spacing w:val="-2"/>
          <w:sz w:val="28"/>
          <w:u w:val="single"/>
          <w:lang w:eastAsia="zh-CN"/>
        </w:rPr>
        <w:t>理由:</w:t>
      </w:r>
    </w:p>
    <w:p>
      <w:pPr>
        <w:pStyle w:val="3"/>
        <w:spacing w:before="1" w:line="400" w:lineRule="exact"/>
        <w:ind w:left="120" w:right="192" w:firstLine="560" w:firstLineChars="200"/>
        <w:jc w:val="both"/>
        <w:rPr>
          <w:rFonts w:eastAsia="宋体"/>
          <w:sz w:val="28"/>
          <w:lang w:eastAsia="zh-CN"/>
        </w:rPr>
      </w:pPr>
      <w:r>
        <w:rPr>
          <w:rFonts w:eastAsia="宋体" w:cs="宋体"/>
          <w:sz w:val="28"/>
          <w:lang w:eastAsia="zh-CN"/>
        </w:rPr>
        <w:t>有限责任公司(LLC)是世界上最普遍的公司经营形式。有限责任公司还可以保护其成员的个人资产免受与</w:t>
      </w:r>
      <w:r>
        <w:rPr>
          <w:rFonts w:hint="eastAsia" w:eastAsia="宋体" w:cs="宋体"/>
          <w:sz w:val="28"/>
          <w:lang w:eastAsia="zh-CN"/>
        </w:rPr>
        <w:t>该</w:t>
      </w:r>
      <w:r>
        <w:rPr>
          <w:rFonts w:eastAsia="宋体" w:cs="宋体"/>
          <w:sz w:val="28"/>
          <w:lang w:eastAsia="zh-CN"/>
        </w:rPr>
        <w:t>业务有关的法律索赔。在其他类型的公司安排中，成员和/或合伙人承担个人责任，这将导致个人和/或个人破产，这超出了B-READY项目所研究的公司破产的范围。仅关注有限责任公司，可以在破产框架内单独审查债权人和债务人之间的关系，而不会产生其他形式的责任。</w:t>
      </w:r>
    </w:p>
    <w:p>
      <w:pPr>
        <w:pStyle w:val="3"/>
        <w:spacing w:before="11" w:line="400" w:lineRule="exact"/>
        <w:ind w:firstLine="560" w:firstLineChars="200"/>
        <w:jc w:val="both"/>
        <w:rPr>
          <w:rFonts w:eastAsia="宋体"/>
          <w:sz w:val="28"/>
          <w:lang w:eastAsia="zh-CN"/>
        </w:rPr>
      </w:pPr>
    </w:p>
    <w:p>
      <w:pPr>
        <w:pStyle w:val="3"/>
        <w:spacing w:line="400" w:lineRule="exact"/>
        <w:ind w:left="120" w:firstLine="552" w:firstLineChars="200"/>
        <w:jc w:val="both"/>
        <w:rPr>
          <w:rFonts w:eastAsia="宋体"/>
          <w:sz w:val="28"/>
          <w:lang w:eastAsia="zh-CN"/>
        </w:rPr>
      </w:pPr>
      <w:r>
        <w:rPr>
          <w:rFonts w:eastAsia="宋体" w:cs="宋体"/>
          <w:spacing w:val="-2"/>
          <w:sz w:val="28"/>
          <w:u w:val="single"/>
          <w:lang w:eastAsia="zh-CN"/>
        </w:rPr>
        <w:t>应用:</w:t>
      </w:r>
    </w:p>
    <w:p>
      <w:pPr>
        <w:pStyle w:val="3"/>
        <w:spacing w:line="400" w:lineRule="exact"/>
        <w:ind w:left="120" w:right="192" w:firstLine="560" w:firstLineChars="200"/>
        <w:jc w:val="both"/>
        <w:rPr>
          <w:rFonts w:eastAsia="宋体"/>
          <w:sz w:val="28"/>
          <w:lang w:eastAsia="zh-CN"/>
        </w:rPr>
      </w:pPr>
      <w:r>
        <w:rPr>
          <w:rFonts w:eastAsia="宋体" w:cs="宋体"/>
          <w:sz w:val="28"/>
          <w:lang w:eastAsia="zh-CN"/>
        </w:rPr>
        <w:t>企业破产主题假设债务人是在每个经济体中最大的商业城市经营的国内有限责任公司。公司的资产规模由公司在每个经济体的市场价值决定，该市场价值是根据国民总收入的150到200倍设定的。有限责任公司在其有担保和无担保债权人的债务到期时违约，或者债务人负债的价值超过其资产的价值。建立一个具有非常具体特征</w:t>
      </w:r>
      <w:r>
        <w:rPr>
          <w:rFonts w:hint="eastAsia" w:eastAsia="宋体" w:cs="宋体"/>
          <w:sz w:val="28"/>
          <w:lang w:eastAsia="zh-CN"/>
        </w:rPr>
        <w:t>的</w:t>
      </w:r>
      <w:r>
        <w:rPr>
          <w:rFonts w:eastAsia="宋体" w:cs="宋体"/>
          <w:sz w:val="28"/>
          <w:lang w:eastAsia="zh-CN"/>
        </w:rPr>
        <w:t>标准化债务人公司，是在衡量破产程序的时间和成本时保持可比性的唯一方法。建立债务人公司特征的假设仅在</w:t>
      </w:r>
      <w:r>
        <w:rPr>
          <w:rFonts w:hint="eastAsia" w:eastAsia="宋体" w:cs="宋体"/>
          <w:sz w:val="28"/>
          <w:lang w:eastAsia="zh-CN"/>
        </w:rPr>
        <w:t>维度</w:t>
      </w:r>
      <w:r>
        <w:rPr>
          <w:rFonts w:eastAsia="宋体" w:cs="宋体"/>
          <w:sz w:val="28"/>
          <w:lang w:eastAsia="zh-CN"/>
        </w:rPr>
        <w:t>III中使用。例如，该假设分别用于估计清算和重组的破产程序的时间和成本。同样，设定公司价值的假设在计算成本时也起着核心作用，因为相关问题是以公司价值的百分比来表示的。</w:t>
      </w:r>
    </w:p>
    <w:p>
      <w:pPr>
        <w:pStyle w:val="2"/>
        <w:tabs>
          <w:tab w:val="left" w:pos="3941"/>
          <w:tab w:val="left" w:pos="3942"/>
        </w:tabs>
        <w:spacing w:before="1" w:after="240" w:afterLines="100" w:line="400" w:lineRule="exact"/>
        <w:ind w:left="0" w:firstLine="0"/>
        <w:jc w:val="both"/>
        <w:rPr>
          <w:rFonts w:eastAsia="宋体"/>
          <w:sz w:val="28"/>
          <w:lang w:eastAsia="zh-CN"/>
        </w:rPr>
      </w:pPr>
    </w:p>
    <w:p>
      <w:pPr>
        <w:pStyle w:val="2"/>
        <w:tabs>
          <w:tab w:val="left" w:pos="3941"/>
          <w:tab w:val="left" w:pos="3942"/>
        </w:tabs>
        <w:spacing w:before="1" w:after="240" w:afterLines="100" w:line="400" w:lineRule="exact"/>
        <w:ind w:left="0" w:firstLine="0"/>
        <w:jc w:val="center"/>
        <w:rPr>
          <w:rFonts w:eastAsia="宋体"/>
          <w:sz w:val="28"/>
          <w:lang w:eastAsia="zh-CN"/>
        </w:rPr>
      </w:pPr>
      <w:r>
        <w:rPr>
          <w:rFonts w:hint="eastAsia" w:eastAsia="宋体" w:cs="宋体"/>
          <w:sz w:val="28"/>
          <w:lang w:eastAsia="zh-CN"/>
        </w:rPr>
        <w:t>V. 主题评分</w:t>
      </w:r>
    </w:p>
    <w:p>
      <w:pPr>
        <w:widowControl/>
        <w:spacing w:line="400" w:lineRule="exact"/>
        <w:ind w:firstLine="560" w:firstLineChars="200"/>
        <w:jc w:val="both"/>
        <w:rPr>
          <w:rFonts w:eastAsia="宋体"/>
          <w:sz w:val="28"/>
          <w:lang w:eastAsia="zh-CN"/>
        </w:rPr>
      </w:pPr>
      <w:r>
        <w:rPr>
          <w:rFonts w:eastAsia="宋体" w:cs="宋体"/>
          <w:sz w:val="28"/>
          <w:lang w:eastAsia="zh-CN"/>
        </w:rPr>
        <w:t>企业破产专题有三个</w:t>
      </w:r>
      <w:r>
        <w:rPr>
          <w:rFonts w:hint="eastAsia" w:eastAsia="宋体" w:cs="宋体"/>
          <w:sz w:val="28"/>
          <w:lang w:eastAsia="zh-CN"/>
        </w:rPr>
        <w:t>维度</w:t>
      </w:r>
      <w:r>
        <w:rPr>
          <w:rFonts w:eastAsia="宋体" w:cs="宋体"/>
          <w:sz w:val="28"/>
          <w:lang w:eastAsia="zh-CN"/>
        </w:rPr>
        <w:t>:</w:t>
      </w:r>
      <w:r>
        <w:rPr>
          <w:rFonts w:hint="eastAsia" w:eastAsia="宋体" w:cs="宋体"/>
          <w:sz w:val="28"/>
          <w:lang w:eastAsia="zh-CN"/>
        </w:rPr>
        <w:t>维度</w:t>
      </w:r>
      <w:r>
        <w:rPr>
          <w:rFonts w:eastAsia="宋体"/>
          <w:color w:val="000000"/>
          <w:sz w:val="28"/>
          <w:lang w:eastAsia="zh-CN" w:bidi="ar"/>
        </w:rPr>
        <w:t>I</w:t>
      </w:r>
      <w:r>
        <w:rPr>
          <w:rFonts w:hint="eastAsia" w:eastAsia="宋体"/>
          <w:color w:val="000000"/>
          <w:sz w:val="28"/>
          <w:lang w:eastAsia="zh-CN" w:bidi="ar"/>
        </w:rPr>
        <w:t>——</w:t>
      </w:r>
      <w:r>
        <w:rPr>
          <w:rFonts w:eastAsia="宋体" w:cs="宋体"/>
          <w:sz w:val="28"/>
          <w:lang w:eastAsia="zh-CN"/>
        </w:rPr>
        <w:t>破产程序法规的质量;</w:t>
      </w:r>
      <w:r>
        <w:rPr>
          <w:rFonts w:hint="eastAsia" w:eastAsia="宋体" w:cs="宋体"/>
          <w:sz w:val="28"/>
          <w:lang w:eastAsia="zh-CN"/>
        </w:rPr>
        <w:t>维度II</w:t>
      </w:r>
      <w:r>
        <w:rPr>
          <w:rFonts w:eastAsia="宋体" w:cs="宋体"/>
          <w:sz w:val="28"/>
          <w:lang w:eastAsia="zh-CN"/>
        </w:rPr>
        <w:t>——破产程序机构和业务基础设施的质量;</w:t>
      </w:r>
      <w:r>
        <w:rPr>
          <w:rFonts w:hint="eastAsia" w:eastAsia="宋体" w:cs="宋体"/>
          <w:sz w:val="28"/>
          <w:lang w:eastAsia="zh-CN"/>
        </w:rPr>
        <w:t>维度III</w:t>
      </w:r>
      <w:r>
        <w:rPr>
          <w:rFonts w:eastAsia="宋体" w:cs="宋体"/>
          <w:sz w:val="28"/>
          <w:lang w:eastAsia="zh-CN"/>
        </w:rPr>
        <w:t>——在实践中解决司法破产程序的效率。每个</w:t>
      </w:r>
      <w:r>
        <w:rPr>
          <w:rFonts w:hint="eastAsia" w:eastAsia="宋体" w:cs="宋体"/>
          <w:sz w:val="28"/>
          <w:lang w:eastAsia="zh-CN"/>
        </w:rPr>
        <w:t>维度</w:t>
      </w:r>
      <w:r>
        <w:rPr>
          <w:rFonts w:eastAsia="宋体" w:cs="宋体"/>
          <w:sz w:val="28"/>
          <w:lang w:eastAsia="zh-CN"/>
        </w:rPr>
        <w:t>的总分进一步调整为从0到100的值，随后汇总为总主题得分。每个</w:t>
      </w:r>
      <w:r>
        <w:rPr>
          <w:rFonts w:hint="eastAsia" w:eastAsia="宋体" w:cs="宋体"/>
          <w:sz w:val="28"/>
          <w:lang w:eastAsia="zh-CN"/>
        </w:rPr>
        <w:t>维度</w:t>
      </w:r>
      <w:r>
        <w:rPr>
          <w:rFonts w:hint="eastAsia" w:eastAsia="宋体" w:cs="宋体"/>
          <w:sz w:val="28"/>
          <w:lang w:val="en-US" w:eastAsia="zh-CN"/>
        </w:rPr>
        <w:t>各占</w:t>
      </w:r>
      <w:r>
        <w:rPr>
          <w:rFonts w:eastAsia="宋体" w:cs="宋体"/>
          <w:sz w:val="28"/>
          <w:lang w:eastAsia="zh-CN"/>
        </w:rPr>
        <w:t>三分之一的总主题得分。这些分数区分了对企业的利益(作为企业灵活</w:t>
      </w:r>
      <w:r>
        <w:rPr>
          <w:rFonts w:hint="eastAsia" w:eastAsia="宋体" w:cs="宋体"/>
          <w:sz w:val="28"/>
          <w:lang w:val="en-US" w:eastAsia="zh-CN"/>
        </w:rPr>
        <w:t>度得</w:t>
      </w:r>
      <w:r>
        <w:rPr>
          <w:rFonts w:eastAsia="宋体" w:cs="宋体"/>
          <w:sz w:val="28"/>
          <w:lang w:eastAsia="zh-CN"/>
        </w:rPr>
        <w:t>分)和对社会更广泛的利益(作为社会效益</w:t>
      </w:r>
      <w:r>
        <w:rPr>
          <w:rFonts w:hint="eastAsia" w:eastAsia="宋体" w:cs="宋体"/>
          <w:sz w:val="28"/>
          <w:lang w:val="en-US" w:eastAsia="zh-CN"/>
        </w:rPr>
        <w:t>得</w:t>
      </w:r>
      <w:r>
        <w:rPr>
          <w:rFonts w:eastAsia="宋体" w:cs="宋体"/>
          <w:sz w:val="28"/>
          <w:lang w:eastAsia="zh-CN"/>
        </w:rPr>
        <w:t>分)。表19显示了“企业破产”主题的得分。有关进一步的评分细节，请参见本节补充的附件A。</w:t>
      </w:r>
    </w:p>
    <w:p>
      <w:pPr>
        <w:pStyle w:val="3"/>
        <w:spacing w:before="9" w:line="400" w:lineRule="exact"/>
        <w:ind w:firstLine="560" w:firstLineChars="200"/>
        <w:jc w:val="both"/>
        <w:rPr>
          <w:rFonts w:eastAsia="宋体"/>
          <w:sz w:val="28"/>
          <w:lang w:eastAsia="zh-CN"/>
        </w:rPr>
      </w:pPr>
    </w:p>
    <w:p>
      <w:pPr>
        <w:spacing w:before="215" w:line="400" w:lineRule="exact"/>
        <w:jc w:val="center"/>
        <w:rPr>
          <w:rFonts w:eastAsia="宋体" w:cs="宋体"/>
          <w:b/>
          <w:sz w:val="28"/>
        </w:rPr>
      </w:pPr>
      <w:r>
        <w:rPr>
          <w:rFonts w:eastAsia="宋体" w:cs="宋体"/>
          <w:b/>
          <w:sz w:val="28"/>
        </w:rPr>
        <w:t>表19</w:t>
      </w:r>
      <w:r>
        <w:rPr>
          <w:rFonts w:hint="eastAsia" w:eastAsia="宋体" w:cs="宋体"/>
          <w:b/>
          <w:sz w:val="28"/>
          <w:lang w:val="en-US" w:eastAsia="zh-CN"/>
        </w:rPr>
        <w:t xml:space="preserve">. </w:t>
      </w:r>
      <w:r>
        <w:rPr>
          <w:rFonts w:eastAsia="宋体" w:cs="宋体"/>
          <w:b/>
          <w:sz w:val="28"/>
        </w:rPr>
        <w:t>总得分概述</w:t>
      </w:r>
    </w:p>
    <w:tbl>
      <w:tblPr>
        <w:tblStyle w:val="6"/>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792"/>
        <w:gridCol w:w="989"/>
        <w:gridCol w:w="905"/>
        <w:gridCol w:w="999"/>
        <w:gridCol w:w="903"/>
        <w:gridCol w:w="947"/>
        <w:gridCol w:w="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900" w:type="dxa"/>
            <w:vMerge w:val="restart"/>
            <w:shd w:val="clear" w:color="auto" w:fill="E7EBF5"/>
            <w:vAlign w:val="center"/>
          </w:tcPr>
          <w:p>
            <w:pPr>
              <w:pStyle w:val="10"/>
              <w:spacing w:line="400" w:lineRule="exact"/>
              <w:ind w:right="8"/>
              <w:jc w:val="both"/>
              <w:rPr>
                <w:rFonts w:eastAsia="宋体" w:cs="宋体"/>
                <w:b/>
                <w:spacing w:val="-5"/>
                <w:sz w:val="24"/>
                <w:szCs w:val="24"/>
                <w:lang w:eastAsia="zh-CN"/>
              </w:rPr>
            </w:pPr>
            <w:r>
              <w:rPr>
                <w:rFonts w:hint="eastAsia" w:eastAsia="宋体" w:cs="宋体"/>
                <w:b/>
                <w:spacing w:val="-5"/>
                <w:sz w:val="24"/>
                <w:szCs w:val="24"/>
                <w:lang w:eastAsia="zh-CN"/>
              </w:rPr>
              <w:t>维度</w:t>
            </w:r>
          </w:p>
          <w:p>
            <w:pPr>
              <w:pStyle w:val="10"/>
              <w:spacing w:line="400" w:lineRule="exact"/>
              <w:ind w:right="8"/>
              <w:jc w:val="both"/>
              <w:rPr>
                <w:rFonts w:eastAsia="宋体" w:cs="宋体"/>
                <w:b/>
                <w:spacing w:val="-5"/>
                <w:sz w:val="24"/>
                <w:szCs w:val="24"/>
                <w:lang w:eastAsia="zh-CN"/>
              </w:rPr>
            </w:pPr>
            <w:r>
              <w:rPr>
                <w:rFonts w:hint="eastAsia" w:eastAsia="宋体" w:cs="宋体"/>
                <w:b/>
                <w:spacing w:val="-5"/>
                <w:sz w:val="24"/>
                <w:szCs w:val="24"/>
                <w:lang w:eastAsia="zh-CN"/>
              </w:rPr>
              <w:t>数量</w:t>
            </w:r>
          </w:p>
        </w:tc>
        <w:tc>
          <w:tcPr>
            <w:tcW w:w="2792" w:type="dxa"/>
            <w:vMerge w:val="restart"/>
            <w:shd w:val="clear" w:color="auto" w:fill="E7EBF5"/>
            <w:vAlign w:val="center"/>
          </w:tcPr>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val="en-US" w:eastAsia="zh-CN"/>
              </w:rPr>
              <w:t>维度</w:t>
            </w:r>
          </w:p>
        </w:tc>
        <w:tc>
          <w:tcPr>
            <w:tcW w:w="989" w:type="dxa"/>
            <w:vMerge w:val="restart"/>
            <w:shd w:val="clear" w:color="auto" w:fill="E7EBF5"/>
            <w:vAlign w:val="center"/>
          </w:tcPr>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eastAsia="zh-CN"/>
              </w:rPr>
              <w:t>指标</w:t>
            </w:r>
          </w:p>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eastAsia="zh-CN"/>
              </w:rPr>
              <w:t>数量</w:t>
            </w:r>
          </w:p>
        </w:tc>
        <w:tc>
          <w:tcPr>
            <w:tcW w:w="2807" w:type="dxa"/>
            <w:gridSpan w:val="3"/>
            <w:shd w:val="clear" w:color="auto" w:fill="E7EBF5"/>
            <w:vAlign w:val="center"/>
          </w:tcPr>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eastAsia="zh-CN"/>
              </w:rPr>
              <w:t>分数</w:t>
            </w:r>
          </w:p>
        </w:tc>
        <w:tc>
          <w:tcPr>
            <w:tcW w:w="947" w:type="dxa"/>
            <w:vMerge w:val="restart"/>
            <w:shd w:val="clear" w:color="auto" w:fill="E7EBF5"/>
            <w:vAlign w:val="center"/>
          </w:tcPr>
          <w:p>
            <w:pPr>
              <w:pStyle w:val="10"/>
              <w:spacing w:line="400" w:lineRule="exact"/>
              <w:ind w:right="8"/>
              <w:jc w:val="center"/>
              <w:rPr>
                <w:rFonts w:hint="eastAsia" w:eastAsia="宋体" w:cs="宋体"/>
                <w:b/>
                <w:spacing w:val="-5"/>
                <w:sz w:val="24"/>
                <w:szCs w:val="24"/>
                <w:lang w:eastAsia="zh-CN"/>
              </w:rPr>
            </w:pPr>
            <w:r>
              <w:rPr>
                <w:rFonts w:hint="eastAsia" w:eastAsia="宋体" w:cs="宋体"/>
                <w:b/>
                <w:spacing w:val="-5"/>
                <w:sz w:val="24"/>
                <w:szCs w:val="24"/>
                <w:lang w:eastAsia="zh-CN"/>
              </w:rPr>
              <w:t>调整</w:t>
            </w:r>
            <w:r>
              <w:rPr>
                <w:rFonts w:hint="eastAsia" w:eastAsia="宋体" w:cs="宋体"/>
                <w:b/>
                <w:spacing w:val="-5"/>
                <w:sz w:val="24"/>
                <w:szCs w:val="24"/>
                <w:lang w:val="en-US" w:eastAsia="zh-CN"/>
              </w:rPr>
              <w:t>后得</w:t>
            </w:r>
            <w:r>
              <w:rPr>
                <w:rFonts w:hint="eastAsia" w:eastAsia="宋体" w:cs="宋体"/>
                <w:b/>
                <w:spacing w:val="-5"/>
                <w:sz w:val="24"/>
                <w:szCs w:val="24"/>
                <w:lang w:eastAsia="zh-CN"/>
              </w:rPr>
              <w:t>分</w:t>
            </w:r>
          </w:p>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eastAsia="zh-CN"/>
              </w:rPr>
              <w:t>(0-100)</w:t>
            </w:r>
          </w:p>
        </w:tc>
        <w:tc>
          <w:tcPr>
            <w:tcW w:w="949" w:type="dxa"/>
            <w:vMerge w:val="restart"/>
            <w:shd w:val="clear" w:color="auto" w:fill="E7EBF5"/>
            <w:vAlign w:val="center"/>
          </w:tcPr>
          <w:p>
            <w:pPr>
              <w:pStyle w:val="10"/>
              <w:spacing w:line="400" w:lineRule="exact"/>
              <w:ind w:left="0" w:right="8"/>
              <w:jc w:val="center"/>
              <w:rPr>
                <w:rFonts w:eastAsia="宋体" w:cs="宋体"/>
                <w:b/>
                <w:spacing w:val="-5"/>
                <w:sz w:val="24"/>
                <w:szCs w:val="24"/>
                <w:lang w:eastAsia="zh-CN"/>
              </w:rPr>
            </w:pPr>
            <w:r>
              <w:rPr>
                <w:rFonts w:hint="eastAsia" w:eastAsia="宋体" w:cs="宋体"/>
                <w:b/>
                <w:spacing w:val="-5"/>
                <w:sz w:val="24"/>
                <w:szCs w:val="24"/>
                <w:lang w:val="en-US"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900" w:type="dxa"/>
            <w:vMerge w:val="continue"/>
            <w:tcBorders>
              <w:top w:val="nil"/>
            </w:tcBorders>
            <w:shd w:val="clear" w:color="auto" w:fill="E7EBF5"/>
            <w:vAlign w:val="center"/>
          </w:tcPr>
          <w:p>
            <w:pPr>
              <w:spacing w:line="400" w:lineRule="exact"/>
              <w:ind w:firstLine="480" w:firstLineChars="200"/>
              <w:jc w:val="both"/>
              <w:rPr>
                <w:rFonts w:eastAsia="宋体"/>
                <w:sz w:val="24"/>
                <w:szCs w:val="24"/>
              </w:rPr>
            </w:pPr>
          </w:p>
        </w:tc>
        <w:tc>
          <w:tcPr>
            <w:tcW w:w="2792" w:type="dxa"/>
            <w:vMerge w:val="continue"/>
            <w:tcBorders>
              <w:top w:val="nil"/>
            </w:tcBorders>
            <w:shd w:val="clear" w:color="auto" w:fill="E7EBF5"/>
            <w:vAlign w:val="center"/>
          </w:tcPr>
          <w:p>
            <w:pPr>
              <w:spacing w:line="400" w:lineRule="exact"/>
              <w:ind w:firstLine="480" w:firstLineChars="200"/>
              <w:jc w:val="both"/>
              <w:rPr>
                <w:rFonts w:eastAsia="宋体"/>
                <w:sz w:val="24"/>
                <w:szCs w:val="24"/>
              </w:rPr>
            </w:pPr>
          </w:p>
        </w:tc>
        <w:tc>
          <w:tcPr>
            <w:tcW w:w="989" w:type="dxa"/>
            <w:vMerge w:val="continue"/>
            <w:tcBorders>
              <w:top w:val="nil"/>
            </w:tcBorders>
            <w:shd w:val="clear" w:color="auto" w:fill="E7EBF5"/>
            <w:vAlign w:val="center"/>
          </w:tcPr>
          <w:p>
            <w:pPr>
              <w:spacing w:line="400" w:lineRule="exact"/>
              <w:ind w:firstLine="480" w:firstLineChars="200"/>
              <w:jc w:val="both"/>
              <w:rPr>
                <w:rFonts w:eastAsia="宋体"/>
                <w:sz w:val="24"/>
                <w:szCs w:val="24"/>
              </w:rPr>
            </w:pPr>
          </w:p>
        </w:tc>
        <w:tc>
          <w:tcPr>
            <w:tcW w:w="905" w:type="dxa"/>
            <w:shd w:val="clear" w:color="auto" w:fill="E7EBF5"/>
            <w:vAlign w:val="center"/>
          </w:tcPr>
          <w:p>
            <w:pPr>
              <w:pStyle w:val="10"/>
              <w:spacing w:line="400" w:lineRule="exact"/>
              <w:ind w:right="8"/>
              <w:jc w:val="center"/>
              <w:rPr>
                <w:rFonts w:hint="default" w:eastAsia="宋体" w:cs="宋体"/>
                <w:b/>
                <w:spacing w:val="-5"/>
                <w:sz w:val="24"/>
                <w:szCs w:val="24"/>
                <w:lang w:val="en-US" w:eastAsia="zh-CN"/>
              </w:rPr>
            </w:pPr>
            <w:r>
              <w:rPr>
                <w:rFonts w:hint="eastAsia" w:eastAsia="宋体" w:cs="宋体"/>
                <w:b/>
                <w:spacing w:val="-5"/>
                <w:sz w:val="24"/>
                <w:szCs w:val="24"/>
                <w:lang w:eastAsia="zh-CN"/>
              </w:rPr>
              <w:t>企业灵活</w:t>
            </w:r>
            <w:r>
              <w:rPr>
                <w:rFonts w:hint="eastAsia" w:eastAsia="宋体" w:cs="宋体"/>
                <w:b/>
                <w:spacing w:val="-5"/>
                <w:sz w:val="24"/>
                <w:szCs w:val="24"/>
                <w:lang w:val="en-US" w:eastAsia="zh-CN"/>
              </w:rPr>
              <w:t>度得分</w:t>
            </w:r>
          </w:p>
        </w:tc>
        <w:tc>
          <w:tcPr>
            <w:tcW w:w="999" w:type="dxa"/>
            <w:shd w:val="clear" w:color="auto" w:fill="E7EBF5"/>
            <w:vAlign w:val="center"/>
          </w:tcPr>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eastAsia="zh-CN"/>
              </w:rPr>
              <w:t>社会效益</w:t>
            </w:r>
            <w:r>
              <w:rPr>
                <w:rFonts w:hint="eastAsia" w:eastAsia="宋体" w:cs="宋体"/>
                <w:b/>
                <w:spacing w:val="-5"/>
                <w:sz w:val="24"/>
                <w:szCs w:val="24"/>
                <w:lang w:val="en-US" w:eastAsia="zh-CN"/>
              </w:rPr>
              <w:t>得分</w:t>
            </w:r>
          </w:p>
        </w:tc>
        <w:tc>
          <w:tcPr>
            <w:tcW w:w="903" w:type="dxa"/>
            <w:shd w:val="clear" w:color="auto" w:fill="E7EBF5"/>
            <w:vAlign w:val="center"/>
          </w:tcPr>
          <w:p>
            <w:pPr>
              <w:pStyle w:val="10"/>
              <w:spacing w:line="400" w:lineRule="exact"/>
              <w:ind w:right="8"/>
              <w:jc w:val="center"/>
              <w:rPr>
                <w:rFonts w:eastAsia="宋体" w:cs="宋体"/>
                <w:b/>
                <w:spacing w:val="-5"/>
                <w:sz w:val="24"/>
                <w:szCs w:val="24"/>
                <w:lang w:eastAsia="zh-CN"/>
              </w:rPr>
            </w:pPr>
            <w:r>
              <w:rPr>
                <w:rFonts w:hint="eastAsia" w:eastAsia="宋体" w:cs="宋体"/>
                <w:b/>
                <w:spacing w:val="-5"/>
                <w:sz w:val="24"/>
                <w:szCs w:val="24"/>
                <w:lang w:eastAsia="zh-CN"/>
              </w:rPr>
              <w:t>总分</w:t>
            </w:r>
          </w:p>
        </w:tc>
        <w:tc>
          <w:tcPr>
            <w:tcW w:w="947" w:type="dxa"/>
            <w:vMerge w:val="continue"/>
            <w:tcBorders>
              <w:top w:val="nil"/>
            </w:tcBorders>
            <w:shd w:val="clear" w:color="auto" w:fill="E7EBF5"/>
            <w:vAlign w:val="center"/>
          </w:tcPr>
          <w:p>
            <w:pPr>
              <w:spacing w:line="400" w:lineRule="exact"/>
              <w:ind w:firstLine="480" w:firstLineChars="200"/>
              <w:jc w:val="both"/>
              <w:rPr>
                <w:rFonts w:eastAsia="宋体"/>
                <w:sz w:val="24"/>
                <w:szCs w:val="24"/>
              </w:rPr>
            </w:pPr>
          </w:p>
        </w:tc>
        <w:tc>
          <w:tcPr>
            <w:tcW w:w="949" w:type="dxa"/>
            <w:vMerge w:val="continue"/>
            <w:tcBorders>
              <w:top w:val="nil"/>
            </w:tcBorders>
            <w:shd w:val="clear" w:color="auto" w:fill="E7EBF5"/>
            <w:vAlign w:val="center"/>
          </w:tcPr>
          <w:p>
            <w:pPr>
              <w:spacing w:line="400" w:lineRule="exact"/>
              <w:ind w:firstLine="480" w:firstLineChars="200"/>
              <w:jc w:val="both"/>
              <w:rPr>
                <w:rFonts w:eastAsia="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900" w:type="dxa"/>
            <w:vAlign w:val="center"/>
          </w:tcPr>
          <w:p>
            <w:pPr>
              <w:pStyle w:val="10"/>
              <w:spacing w:line="400" w:lineRule="exact"/>
              <w:jc w:val="both"/>
              <w:rPr>
                <w:rFonts w:eastAsia="宋体"/>
                <w:sz w:val="24"/>
                <w:szCs w:val="24"/>
              </w:rPr>
            </w:pPr>
            <w:r>
              <w:rPr>
                <w:rFonts w:eastAsia="宋体"/>
                <w:color w:val="000000"/>
                <w:sz w:val="24"/>
                <w:szCs w:val="24"/>
                <w:lang w:eastAsia="zh-CN" w:bidi="ar"/>
              </w:rPr>
              <w:t>I</w:t>
            </w:r>
          </w:p>
        </w:tc>
        <w:tc>
          <w:tcPr>
            <w:tcW w:w="2792" w:type="dxa"/>
            <w:vAlign w:val="center"/>
          </w:tcPr>
          <w:p>
            <w:pPr>
              <w:pStyle w:val="10"/>
              <w:tabs>
                <w:tab w:val="left" w:pos="920"/>
                <w:tab w:val="left" w:pos="1343"/>
                <w:tab w:val="left" w:pos="2473"/>
              </w:tabs>
              <w:spacing w:line="400" w:lineRule="exact"/>
              <w:ind w:right="97"/>
              <w:jc w:val="both"/>
              <w:rPr>
                <w:rFonts w:eastAsia="宋体"/>
                <w:sz w:val="24"/>
                <w:szCs w:val="24"/>
              </w:rPr>
            </w:pPr>
            <w:r>
              <w:rPr>
                <w:rFonts w:eastAsia="宋体" w:cs="宋体"/>
                <w:sz w:val="24"/>
                <w:szCs w:val="24"/>
              </w:rPr>
              <w:t>破产程序法规质量</w:t>
            </w:r>
          </w:p>
        </w:tc>
        <w:tc>
          <w:tcPr>
            <w:tcW w:w="989" w:type="dxa"/>
            <w:vAlign w:val="center"/>
          </w:tcPr>
          <w:p>
            <w:pPr>
              <w:pStyle w:val="10"/>
              <w:spacing w:before="103" w:line="400" w:lineRule="exact"/>
              <w:jc w:val="center"/>
              <w:rPr>
                <w:rFonts w:eastAsia="宋体"/>
                <w:sz w:val="24"/>
                <w:szCs w:val="24"/>
              </w:rPr>
            </w:pPr>
            <w:r>
              <w:rPr>
                <w:rFonts w:eastAsia="宋体" w:cs="宋体"/>
                <w:spacing w:val="-5"/>
                <w:sz w:val="24"/>
                <w:szCs w:val="24"/>
              </w:rPr>
              <w:t>29</w:t>
            </w:r>
          </w:p>
        </w:tc>
        <w:tc>
          <w:tcPr>
            <w:tcW w:w="905" w:type="dxa"/>
            <w:vAlign w:val="center"/>
          </w:tcPr>
          <w:p>
            <w:pPr>
              <w:pStyle w:val="10"/>
              <w:spacing w:before="103" w:line="400" w:lineRule="exact"/>
              <w:ind w:right="128"/>
              <w:jc w:val="center"/>
              <w:rPr>
                <w:rFonts w:eastAsia="宋体"/>
                <w:sz w:val="24"/>
                <w:szCs w:val="24"/>
              </w:rPr>
            </w:pPr>
            <w:r>
              <w:rPr>
                <w:rFonts w:eastAsia="宋体" w:cs="宋体"/>
                <w:spacing w:val="-5"/>
                <w:sz w:val="24"/>
                <w:szCs w:val="24"/>
              </w:rPr>
              <w:t>28</w:t>
            </w:r>
          </w:p>
        </w:tc>
        <w:tc>
          <w:tcPr>
            <w:tcW w:w="999" w:type="dxa"/>
            <w:vAlign w:val="center"/>
          </w:tcPr>
          <w:p>
            <w:pPr>
              <w:pStyle w:val="10"/>
              <w:spacing w:before="103" w:line="400" w:lineRule="exact"/>
              <w:ind w:right="295"/>
              <w:jc w:val="center"/>
              <w:rPr>
                <w:rFonts w:eastAsia="宋体"/>
                <w:sz w:val="24"/>
                <w:szCs w:val="24"/>
              </w:rPr>
            </w:pPr>
            <w:r>
              <w:rPr>
                <w:rFonts w:eastAsia="宋体" w:cs="宋体"/>
                <w:spacing w:val="-5"/>
                <w:sz w:val="24"/>
                <w:szCs w:val="24"/>
              </w:rPr>
              <w:t>25</w:t>
            </w:r>
          </w:p>
        </w:tc>
        <w:tc>
          <w:tcPr>
            <w:tcW w:w="903" w:type="dxa"/>
            <w:vAlign w:val="center"/>
          </w:tcPr>
          <w:p>
            <w:pPr>
              <w:pStyle w:val="10"/>
              <w:spacing w:before="103" w:line="400" w:lineRule="exact"/>
              <w:jc w:val="center"/>
              <w:rPr>
                <w:rFonts w:eastAsia="宋体"/>
                <w:sz w:val="24"/>
                <w:szCs w:val="24"/>
              </w:rPr>
            </w:pPr>
            <w:r>
              <w:rPr>
                <w:rFonts w:eastAsia="宋体" w:cs="宋体"/>
                <w:spacing w:val="-5"/>
                <w:sz w:val="24"/>
                <w:szCs w:val="24"/>
              </w:rPr>
              <w:t>53</w:t>
            </w:r>
          </w:p>
        </w:tc>
        <w:tc>
          <w:tcPr>
            <w:tcW w:w="947" w:type="dxa"/>
            <w:vAlign w:val="center"/>
          </w:tcPr>
          <w:p>
            <w:pPr>
              <w:pStyle w:val="10"/>
              <w:spacing w:before="103" w:line="400" w:lineRule="exact"/>
              <w:ind w:right="122"/>
              <w:jc w:val="center"/>
              <w:rPr>
                <w:rFonts w:eastAsia="宋体"/>
                <w:sz w:val="24"/>
                <w:szCs w:val="24"/>
                <w:lang w:eastAsia="zh-CN"/>
              </w:rPr>
            </w:pPr>
            <w:r>
              <w:rPr>
                <w:rFonts w:hint="eastAsia" w:eastAsia="宋体" w:cs="宋体"/>
                <w:spacing w:val="-5"/>
                <w:sz w:val="24"/>
                <w:szCs w:val="24"/>
                <w:lang w:eastAsia="zh-CN"/>
              </w:rPr>
              <w:t>100</w:t>
            </w:r>
          </w:p>
        </w:tc>
        <w:tc>
          <w:tcPr>
            <w:tcW w:w="949" w:type="dxa"/>
            <w:vAlign w:val="center"/>
          </w:tcPr>
          <w:p>
            <w:pPr>
              <w:pStyle w:val="10"/>
              <w:spacing w:before="103" w:line="400" w:lineRule="exact"/>
              <w:ind w:right="298"/>
              <w:jc w:val="center"/>
              <w:rPr>
                <w:rFonts w:eastAsia="宋体"/>
                <w:sz w:val="24"/>
                <w:szCs w:val="24"/>
              </w:rPr>
            </w:pPr>
            <w:r>
              <w:rPr>
                <w:rFonts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900" w:type="dxa"/>
            <w:vAlign w:val="center"/>
          </w:tcPr>
          <w:p>
            <w:pPr>
              <w:pStyle w:val="10"/>
              <w:spacing w:line="400" w:lineRule="exact"/>
              <w:jc w:val="both"/>
              <w:rPr>
                <w:rFonts w:eastAsia="宋体"/>
                <w:sz w:val="24"/>
                <w:szCs w:val="24"/>
              </w:rPr>
            </w:pPr>
            <w:r>
              <w:rPr>
                <w:rFonts w:hint="eastAsia" w:eastAsia="宋体" w:cs="宋体"/>
                <w:sz w:val="24"/>
                <w:szCs w:val="24"/>
                <w:lang w:eastAsia="zh-CN"/>
              </w:rPr>
              <w:t>II</w:t>
            </w:r>
          </w:p>
        </w:tc>
        <w:tc>
          <w:tcPr>
            <w:tcW w:w="2792" w:type="dxa"/>
            <w:vAlign w:val="center"/>
          </w:tcPr>
          <w:p>
            <w:pPr>
              <w:pStyle w:val="10"/>
              <w:tabs>
                <w:tab w:val="left" w:pos="1225"/>
                <w:tab w:val="left" w:pos="2472"/>
              </w:tabs>
              <w:spacing w:line="400" w:lineRule="exact"/>
              <w:ind w:right="98"/>
              <w:jc w:val="both"/>
              <w:rPr>
                <w:rFonts w:eastAsia="宋体"/>
                <w:sz w:val="24"/>
                <w:szCs w:val="24"/>
                <w:lang w:eastAsia="zh-CN"/>
              </w:rPr>
            </w:pPr>
            <w:r>
              <w:rPr>
                <w:rFonts w:eastAsia="宋体" w:cs="宋体"/>
                <w:sz w:val="24"/>
                <w:szCs w:val="24"/>
                <w:lang w:eastAsia="zh-CN"/>
              </w:rPr>
              <w:t>破产程序机构和业务基础设施的质量</w:t>
            </w:r>
          </w:p>
        </w:tc>
        <w:tc>
          <w:tcPr>
            <w:tcW w:w="989" w:type="dxa"/>
            <w:vAlign w:val="center"/>
          </w:tcPr>
          <w:p>
            <w:pPr>
              <w:pStyle w:val="10"/>
              <w:spacing w:line="400" w:lineRule="exact"/>
              <w:jc w:val="center"/>
              <w:rPr>
                <w:rFonts w:eastAsia="宋体"/>
                <w:sz w:val="24"/>
                <w:szCs w:val="24"/>
              </w:rPr>
            </w:pPr>
            <w:r>
              <w:rPr>
                <w:rFonts w:eastAsia="宋体" w:cs="宋体"/>
                <w:spacing w:val="-5"/>
                <w:sz w:val="24"/>
                <w:szCs w:val="24"/>
              </w:rPr>
              <w:t>12</w:t>
            </w:r>
          </w:p>
        </w:tc>
        <w:tc>
          <w:tcPr>
            <w:tcW w:w="905" w:type="dxa"/>
            <w:vAlign w:val="center"/>
          </w:tcPr>
          <w:p>
            <w:pPr>
              <w:pStyle w:val="10"/>
              <w:spacing w:line="400" w:lineRule="exact"/>
              <w:ind w:right="128"/>
              <w:jc w:val="center"/>
              <w:rPr>
                <w:rFonts w:eastAsia="宋体"/>
                <w:sz w:val="24"/>
                <w:szCs w:val="24"/>
              </w:rPr>
            </w:pPr>
            <w:r>
              <w:rPr>
                <w:rFonts w:eastAsia="宋体" w:cs="宋体"/>
                <w:spacing w:val="-5"/>
                <w:sz w:val="24"/>
                <w:szCs w:val="24"/>
              </w:rPr>
              <w:t>12</w:t>
            </w:r>
          </w:p>
        </w:tc>
        <w:tc>
          <w:tcPr>
            <w:tcW w:w="999" w:type="dxa"/>
            <w:vAlign w:val="center"/>
          </w:tcPr>
          <w:p>
            <w:pPr>
              <w:pStyle w:val="10"/>
              <w:spacing w:line="400" w:lineRule="exact"/>
              <w:ind w:right="295"/>
              <w:jc w:val="center"/>
              <w:rPr>
                <w:rFonts w:eastAsia="宋体"/>
                <w:sz w:val="24"/>
                <w:szCs w:val="24"/>
              </w:rPr>
            </w:pPr>
            <w:r>
              <w:rPr>
                <w:rFonts w:eastAsia="宋体" w:cs="宋体"/>
                <w:spacing w:val="-5"/>
                <w:sz w:val="24"/>
                <w:szCs w:val="24"/>
              </w:rPr>
              <w:t>12</w:t>
            </w:r>
          </w:p>
        </w:tc>
        <w:tc>
          <w:tcPr>
            <w:tcW w:w="903" w:type="dxa"/>
            <w:vAlign w:val="center"/>
          </w:tcPr>
          <w:p>
            <w:pPr>
              <w:pStyle w:val="10"/>
              <w:spacing w:line="400" w:lineRule="exact"/>
              <w:jc w:val="center"/>
              <w:rPr>
                <w:rFonts w:eastAsia="宋体"/>
                <w:sz w:val="24"/>
                <w:szCs w:val="24"/>
              </w:rPr>
            </w:pPr>
            <w:r>
              <w:rPr>
                <w:rFonts w:eastAsia="宋体" w:cs="宋体"/>
                <w:spacing w:val="-5"/>
                <w:sz w:val="24"/>
                <w:szCs w:val="24"/>
              </w:rPr>
              <w:t>24</w:t>
            </w:r>
          </w:p>
        </w:tc>
        <w:tc>
          <w:tcPr>
            <w:tcW w:w="947" w:type="dxa"/>
            <w:vAlign w:val="center"/>
          </w:tcPr>
          <w:p>
            <w:pPr>
              <w:pStyle w:val="10"/>
              <w:spacing w:line="400" w:lineRule="exact"/>
              <w:ind w:right="122"/>
              <w:jc w:val="center"/>
              <w:rPr>
                <w:rFonts w:eastAsia="宋体"/>
                <w:sz w:val="24"/>
                <w:szCs w:val="24"/>
                <w:lang w:eastAsia="zh-CN"/>
              </w:rPr>
            </w:pPr>
            <w:r>
              <w:rPr>
                <w:rFonts w:hint="eastAsia" w:eastAsia="宋体" w:cs="宋体"/>
                <w:spacing w:val="-5"/>
                <w:sz w:val="24"/>
                <w:szCs w:val="24"/>
                <w:lang w:eastAsia="zh-CN"/>
              </w:rPr>
              <w:t>100</w:t>
            </w:r>
          </w:p>
        </w:tc>
        <w:tc>
          <w:tcPr>
            <w:tcW w:w="949" w:type="dxa"/>
            <w:vAlign w:val="center"/>
          </w:tcPr>
          <w:p>
            <w:pPr>
              <w:pStyle w:val="10"/>
              <w:spacing w:line="400" w:lineRule="exact"/>
              <w:ind w:right="298"/>
              <w:jc w:val="center"/>
              <w:rPr>
                <w:rFonts w:eastAsia="宋体"/>
                <w:sz w:val="24"/>
                <w:szCs w:val="24"/>
              </w:rPr>
            </w:pPr>
            <w:r>
              <w:rPr>
                <w:rFonts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00" w:type="dxa"/>
            <w:vAlign w:val="center"/>
          </w:tcPr>
          <w:p>
            <w:pPr>
              <w:pStyle w:val="10"/>
              <w:spacing w:line="400" w:lineRule="exact"/>
              <w:jc w:val="both"/>
              <w:rPr>
                <w:rFonts w:eastAsia="宋体"/>
                <w:sz w:val="24"/>
                <w:szCs w:val="24"/>
              </w:rPr>
            </w:pPr>
            <w:r>
              <w:rPr>
                <w:rFonts w:hint="eastAsia" w:eastAsia="宋体" w:cs="宋体"/>
                <w:sz w:val="24"/>
                <w:szCs w:val="24"/>
                <w:lang w:eastAsia="zh-CN"/>
              </w:rPr>
              <w:t>III</w:t>
            </w:r>
          </w:p>
        </w:tc>
        <w:tc>
          <w:tcPr>
            <w:tcW w:w="2792" w:type="dxa"/>
            <w:vAlign w:val="center"/>
          </w:tcPr>
          <w:p>
            <w:pPr>
              <w:pStyle w:val="10"/>
              <w:spacing w:line="400" w:lineRule="exact"/>
              <w:ind w:right="97"/>
              <w:jc w:val="both"/>
              <w:rPr>
                <w:rFonts w:eastAsia="宋体"/>
                <w:sz w:val="24"/>
                <w:szCs w:val="24"/>
                <w:lang w:eastAsia="zh-CN"/>
              </w:rPr>
            </w:pPr>
            <w:r>
              <w:rPr>
                <w:rFonts w:eastAsia="宋体" w:cs="宋体"/>
                <w:sz w:val="24"/>
                <w:szCs w:val="24"/>
                <w:lang w:eastAsia="zh-CN"/>
              </w:rPr>
              <w:t>在实践中解决司法破产程序的效率</w:t>
            </w:r>
          </w:p>
        </w:tc>
        <w:tc>
          <w:tcPr>
            <w:tcW w:w="989" w:type="dxa"/>
            <w:vAlign w:val="center"/>
          </w:tcPr>
          <w:p>
            <w:pPr>
              <w:pStyle w:val="10"/>
              <w:spacing w:before="103" w:line="400" w:lineRule="exact"/>
              <w:jc w:val="center"/>
              <w:rPr>
                <w:rFonts w:eastAsia="宋体"/>
                <w:sz w:val="24"/>
                <w:szCs w:val="24"/>
              </w:rPr>
            </w:pPr>
            <w:r>
              <w:rPr>
                <w:rFonts w:eastAsia="宋体" w:cs="宋体"/>
                <w:sz w:val="24"/>
                <w:szCs w:val="24"/>
              </w:rPr>
              <w:t>4</w:t>
            </w:r>
          </w:p>
        </w:tc>
        <w:tc>
          <w:tcPr>
            <w:tcW w:w="905" w:type="dxa"/>
            <w:vAlign w:val="center"/>
          </w:tcPr>
          <w:p>
            <w:pPr>
              <w:pStyle w:val="10"/>
              <w:spacing w:before="103" w:line="400" w:lineRule="exact"/>
              <w:ind w:right="128"/>
              <w:jc w:val="center"/>
              <w:rPr>
                <w:rFonts w:eastAsia="宋体"/>
                <w:sz w:val="24"/>
                <w:szCs w:val="24"/>
                <w:lang w:eastAsia="zh-CN"/>
              </w:rPr>
            </w:pPr>
            <w:r>
              <w:rPr>
                <w:rFonts w:hint="eastAsia" w:eastAsia="宋体" w:cs="宋体"/>
                <w:spacing w:val="-5"/>
                <w:sz w:val="24"/>
                <w:szCs w:val="24"/>
                <w:lang w:eastAsia="zh-CN"/>
              </w:rPr>
              <w:t>100</w:t>
            </w:r>
          </w:p>
        </w:tc>
        <w:tc>
          <w:tcPr>
            <w:tcW w:w="999" w:type="dxa"/>
            <w:vAlign w:val="center"/>
          </w:tcPr>
          <w:p>
            <w:pPr>
              <w:pStyle w:val="10"/>
              <w:spacing w:before="103" w:line="400" w:lineRule="exact"/>
              <w:ind w:right="295"/>
              <w:jc w:val="center"/>
              <w:rPr>
                <w:rFonts w:eastAsia="宋体"/>
                <w:sz w:val="24"/>
                <w:szCs w:val="24"/>
                <w:lang w:eastAsia="zh-CN"/>
              </w:rPr>
            </w:pPr>
            <w:r>
              <w:rPr>
                <w:rFonts w:hint="eastAsia" w:eastAsia="宋体" w:cs="宋体"/>
                <w:spacing w:val="-4"/>
                <w:sz w:val="24"/>
                <w:szCs w:val="24"/>
                <w:lang w:val="en-US" w:eastAsia="zh-CN"/>
              </w:rPr>
              <w:t>不适</w:t>
            </w:r>
            <w:r>
              <w:rPr>
                <w:rFonts w:hint="eastAsia" w:eastAsia="宋体" w:cs="宋体"/>
                <w:spacing w:val="-4"/>
                <w:sz w:val="24"/>
                <w:szCs w:val="24"/>
                <w:lang w:eastAsia="zh-CN"/>
              </w:rPr>
              <w:t>用</w:t>
            </w:r>
          </w:p>
        </w:tc>
        <w:tc>
          <w:tcPr>
            <w:tcW w:w="903" w:type="dxa"/>
            <w:vAlign w:val="center"/>
          </w:tcPr>
          <w:p>
            <w:pPr>
              <w:pStyle w:val="10"/>
              <w:spacing w:before="103" w:line="400" w:lineRule="exact"/>
              <w:jc w:val="center"/>
              <w:rPr>
                <w:rFonts w:eastAsia="宋体"/>
                <w:sz w:val="24"/>
                <w:szCs w:val="24"/>
              </w:rPr>
            </w:pPr>
            <w:r>
              <w:rPr>
                <w:rFonts w:hint="eastAsia" w:eastAsia="宋体" w:cs="宋体"/>
                <w:spacing w:val="-5"/>
                <w:sz w:val="24"/>
                <w:szCs w:val="24"/>
                <w:lang w:eastAsia="zh-CN"/>
              </w:rPr>
              <w:t>100</w:t>
            </w:r>
            <w:r>
              <w:rPr>
                <w:rFonts w:eastAsia="宋体" w:cs="宋体"/>
                <w:spacing w:val="-5"/>
                <w:sz w:val="24"/>
                <w:szCs w:val="24"/>
              </w:rPr>
              <w:t>.</w:t>
            </w:r>
          </w:p>
        </w:tc>
        <w:tc>
          <w:tcPr>
            <w:tcW w:w="947" w:type="dxa"/>
            <w:vAlign w:val="center"/>
          </w:tcPr>
          <w:p>
            <w:pPr>
              <w:pStyle w:val="10"/>
              <w:spacing w:before="103" w:line="400" w:lineRule="exact"/>
              <w:ind w:right="122"/>
              <w:jc w:val="center"/>
              <w:rPr>
                <w:rFonts w:eastAsia="宋体"/>
                <w:sz w:val="24"/>
                <w:szCs w:val="24"/>
                <w:lang w:eastAsia="zh-CN"/>
              </w:rPr>
            </w:pPr>
            <w:r>
              <w:rPr>
                <w:rFonts w:hint="eastAsia" w:eastAsia="宋体" w:cs="宋体"/>
                <w:spacing w:val="-5"/>
                <w:sz w:val="24"/>
                <w:szCs w:val="24"/>
                <w:lang w:eastAsia="zh-CN"/>
              </w:rPr>
              <w:t>100</w:t>
            </w:r>
          </w:p>
        </w:tc>
        <w:tc>
          <w:tcPr>
            <w:tcW w:w="949" w:type="dxa"/>
            <w:vAlign w:val="center"/>
          </w:tcPr>
          <w:p>
            <w:pPr>
              <w:pStyle w:val="10"/>
              <w:spacing w:before="103" w:line="400" w:lineRule="exact"/>
              <w:ind w:right="298"/>
              <w:jc w:val="center"/>
              <w:rPr>
                <w:rFonts w:eastAsia="宋体"/>
                <w:sz w:val="24"/>
                <w:szCs w:val="24"/>
              </w:rPr>
            </w:pPr>
            <w:r>
              <w:rPr>
                <w:rFonts w:eastAsia="宋体" w:cs="宋体"/>
                <w:spacing w:val="-4"/>
                <w:sz w:val="24"/>
                <w:szCs w:val="24"/>
              </w:rPr>
              <w:t>0.33</w:t>
            </w:r>
          </w:p>
        </w:tc>
      </w:tr>
    </w:tbl>
    <w:p>
      <w:pPr>
        <w:spacing w:line="400" w:lineRule="exact"/>
        <w:ind w:firstLine="560" w:firstLineChars="200"/>
        <w:jc w:val="both"/>
        <w:rPr>
          <w:rFonts w:eastAsia="宋体"/>
          <w:sz w:val="28"/>
        </w:rPr>
        <w:sectPr>
          <w:pgSz w:w="12240" w:h="15840"/>
          <w:pgMar w:top="1360" w:right="1240" w:bottom="280" w:left="1320" w:header="720" w:footer="720" w:gutter="0"/>
          <w:cols w:space="720" w:num="1"/>
        </w:sect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6.1维度</w:t>
      </w:r>
      <w:r>
        <w:rPr>
          <w:rFonts w:eastAsia="宋体"/>
          <w:b/>
          <w:sz w:val="28"/>
          <w:lang w:eastAsia="zh-CN"/>
        </w:rPr>
        <w:t>I</w:t>
      </w:r>
      <w:r>
        <w:rPr>
          <w:rFonts w:hint="eastAsia" w:eastAsia="宋体"/>
          <w:b/>
          <w:sz w:val="28"/>
          <w:lang w:eastAsia="zh-CN"/>
        </w:rPr>
        <w:t xml:space="preserve"> :破产程序规则的质量</w:t>
      </w:r>
    </w:p>
    <w:p>
      <w:pPr>
        <w:pStyle w:val="3"/>
        <w:spacing w:line="400" w:lineRule="exact"/>
        <w:ind w:left="398" w:leftChars="181" w:firstLine="560" w:firstLineChars="200"/>
        <w:jc w:val="both"/>
        <w:rPr>
          <w:rFonts w:eastAsia="宋体" w:cs="宋体"/>
          <w:sz w:val="28"/>
          <w:lang w:eastAsia="zh-CN"/>
        </w:rPr>
      </w:pPr>
      <w:r>
        <w:rPr>
          <w:rFonts w:hint="eastAsia" w:eastAsia="宋体" w:cs="宋体"/>
          <w:sz w:val="28"/>
          <w:lang w:eastAsia="zh-CN"/>
        </w:rPr>
        <w:t>维度</w:t>
      </w:r>
      <w:r>
        <w:rPr>
          <w:rFonts w:eastAsia="宋体"/>
          <w:color w:val="000000"/>
          <w:sz w:val="28"/>
          <w:lang w:eastAsia="zh-CN" w:bidi="ar"/>
        </w:rPr>
        <w:t>I</w:t>
      </w:r>
      <w:r>
        <w:rPr>
          <w:rFonts w:eastAsia="宋体" w:cs="宋体"/>
          <w:sz w:val="28"/>
          <w:lang w:eastAsia="zh-CN"/>
        </w:rPr>
        <w:t>涵盖29项指标，总分53分(</w:t>
      </w:r>
      <w:r>
        <w:rPr>
          <w:rFonts w:hint="eastAsia" w:eastAsia="宋体" w:cs="宋体"/>
          <w:sz w:val="28"/>
          <w:lang w:eastAsia="zh-CN"/>
        </w:rPr>
        <w:t>企业灵活度</w:t>
      </w:r>
      <w:r>
        <w:rPr>
          <w:rFonts w:eastAsia="宋体" w:cs="宋体"/>
          <w:sz w:val="28"/>
          <w:lang w:eastAsia="zh-CN"/>
        </w:rPr>
        <w:t>28分，社会</w:t>
      </w:r>
      <w:r>
        <w:rPr>
          <w:rFonts w:hint="eastAsia" w:eastAsia="宋体" w:cs="宋体"/>
          <w:sz w:val="28"/>
          <w:lang w:eastAsia="zh-CN"/>
        </w:rPr>
        <w:t>效益</w:t>
      </w:r>
      <w:r>
        <w:rPr>
          <w:rFonts w:eastAsia="宋体" w:cs="宋体"/>
          <w:sz w:val="28"/>
          <w:lang w:eastAsia="zh-CN"/>
        </w:rPr>
        <w:t>25分)。这一支柱下各类别的得分如下:</w:t>
      </w:r>
    </w:p>
    <w:p>
      <w:pPr>
        <w:pStyle w:val="3"/>
        <w:spacing w:line="400" w:lineRule="exact"/>
        <w:ind w:left="398" w:leftChars="181" w:firstLine="280" w:firstLineChars="100"/>
        <w:jc w:val="both"/>
        <w:rPr>
          <w:rFonts w:eastAsia="宋体" w:cs="宋体"/>
          <w:sz w:val="28"/>
          <w:lang w:eastAsia="zh-CN"/>
        </w:rPr>
      </w:pPr>
    </w:p>
    <w:p>
      <w:pPr>
        <w:pStyle w:val="9"/>
        <w:tabs>
          <w:tab w:val="left" w:pos="841"/>
        </w:tabs>
        <w:spacing w:line="400" w:lineRule="exact"/>
        <w:ind w:left="440" w:leftChars="200" w:right="194" w:firstLine="0"/>
        <w:jc w:val="both"/>
        <w:rPr>
          <w:rFonts w:eastAsia="宋体"/>
          <w:iCs/>
          <w:sz w:val="28"/>
          <w:lang w:eastAsia="zh-CN"/>
        </w:rPr>
      </w:pPr>
      <w:r>
        <w:rPr>
          <w:rFonts w:hint="eastAsia" w:eastAsia="宋体" w:cs="宋体"/>
          <w:iCs/>
          <w:sz w:val="28"/>
          <w:lang w:eastAsia="zh-CN"/>
        </w:rPr>
        <w:t>6.1.1</w:t>
      </w:r>
      <w:r>
        <w:rPr>
          <w:rFonts w:eastAsia="宋体" w:cs="宋体"/>
          <w:iCs/>
          <w:sz w:val="28"/>
          <w:u w:val="single"/>
          <w:lang w:eastAsia="zh-CN"/>
        </w:rPr>
        <w:t>法律</w:t>
      </w:r>
      <w:r>
        <w:rPr>
          <w:rFonts w:eastAsia="宋体" w:cs="宋体"/>
          <w:iCs/>
          <w:spacing w:val="-6"/>
          <w:sz w:val="28"/>
          <w:u w:val="single"/>
          <w:lang w:eastAsia="zh-CN"/>
        </w:rPr>
        <w:t>与</w:t>
      </w:r>
      <w:r>
        <w:rPr>
          <w:rFonts w:eastAsia="宋体" w:cs="宋体"/>
          <w:iCs/>
          <w:sz w:val="28"/>
          <w:u w:val="single"/>
          <w:lang w:eastAsia="zh-CN"/>
        </w:rPr>
        <w:t>程序</w:t>
      </w:r>
      <w:r>
        <w:rPr>
          <w:rFonts w:eastAsia="宋体" w:cs="宋体"/>
          <w:iCs/>
          <w:spacing w:val="-4"/>
          <w:sz w:val="28"/>
          <w:u w:val="single"/>
          <w:lang w:eastAsia="zh-CN"/>
        </w:rPr>
        <w:t>标准</w:t>
      </w:r>
      <w:r>
        <w:rPr>
          <w:rFonts w:eastAsia="宋体" w:cs="宋体"/>
          <w:iCs/>
          <w:spacing w:val="-6"/>
          <w:sz w:val="28"/>
          <w:lang w:eastAsia="zh-CN"/>
        </w:rPr>
        <w:t>涵盖13项指标，总分最高26分(</w:t>
      </w:r>
      <w:r>
        <w:rPr>
          <w:rFonts w:hint="eastAsia" w:eastAsia="宋体" w:cs="宋体"/>
          <w:iCs/>
          <w:spacing w:val="-6"/>
          <w:sz w:val="28"/>
          <w:lang w:eastAsia="zh-CN"/>
        </w:rPr>
        <w:t>企业灵活度</w:t>
      </w:r>
      <w:r>
        <w:rPr>
          <w:rFonts w:eastAsia="宋体" w:cs="宋体"/>
          <w:iCs/>
          <w:spacing w:val="-6"/>
          <w:sz w:val="28"/>
          <w:lang w:eastAsia="zh-CN"/>
        </w:rPr>
        <w:t>13分，社会</w:t>
      </w:r>
      <w:r>
        <w:rPr>
          <w:rFonts w:hint="eastAsia" w:eastAsia="宋体" w:cs="宋体"/>
          <w:iCs/>
          <w:spacing w:val="-6"/>
          <w:sz w:val="28"/>
          <w:lang w:eastAsia="zh-CN"/>
        </w:rPr>
        <w:t>效益</w:t>
      </w:r>
      <w:r>
        <w:rPr>
          <w:rFonts w:eastAsia="宋体" w:cs="宋体"/>
          <w:iCs/>
          <w:spacing w:val="-6"/>
          <w:sz w:val="28"/>
          <w:lang w:eastAsia="zh-CN"/>
        </w:rPr>
        <w:t>13分)。</w:t>
      </w:r>
      <w:r>
        <w:rPr>
          <w:rFonts w:eastAsia="宋体" w:cs="宋体"/>
          <w:iCs/>
          <w:sz w:val="28"/>
          <w:lang w:eastAsia="zh-CN"/>
        </w:rPr>
        <w:t>具体而言，破产程序启动前和启动有5个指标:清算和重组程序</w:t>
      </w:r>
      <w:r>
        <w:rPr>
          <w:rFonts w:eastAsia="宋体" w:cs="宋体"/>
          <w:iCs/>
          <w:spacing w:val="-3"/>
          <w:sz w:val="28"/>
          <w:lang w:eastAsia="zh-CN"/>
        </w:rPr>
        <w:t>有5个指标;</w:t>
      </w:r>
      <w:r>
        <w:rPr>
          <w:rFonts w:eastAsia="宋体" w:cs="宋体"/>
          <w:iCs/>
          <w:sz w:val="28"/>
          <w:lang w:eastAsia="zh-CN"/>
        </w:rPr>
        <w:t>破产</w:t>
      </w:r>
      <w:r>
        <w:rPr>
          <w:rFonts w:eastAsia="宋体" w:cs="宋体"/>
          <w:iCs/>
          <w:spacing w:val="-3"/>
          <w:sz w:val="28"/>
          <w:lang w:eastAsia="zh-CN"/>
        </w:rPr>
        <w:t>管理人</w:t>
      </w:r>
      <w:r>
        <w:rPr>
          <w:rFonts w:hint="eastAsia" w:eastAsia="宋体" w:cs="宋体"/>
          <w:iCs/>
          <w:spacing w:val="-3"/>
          <w:sz w:val="28"/>
          <w:lang w:eastAsia="zh-CN"/>
        </w:rPr>
        <w:t>的</w:t>
      </w:r>
      <w:r>
        <w:rPr>
          <w:rFonts w:eastAsia="宋体" w:cs="宋体"/>
          <w:iCs/>
          <w:sz w:val="28"/>
          <w:lang w:eastAsia="zh-CN"/>
        </w:rPr>
        <w:t>专业知识</w:t>
      </w:r>
      <w:r>
        <w:rPr>
          <w:rFonts w:hint="eastAsia" w:eastAsia="宋体" w:cs="宋体"/>
          <w:iCs/>
          <w:sz w:val="28"/>
          <w:lang w:eastAsia="zh-CN"/>
        </w:rPr>
        <w:t>包括3个指标。</w:t>
      </w:r>
      <w:r>
        <w:rPr>
          <w:rFonts w:eastAsia="宋体" w:cs="宋体"/>
          <w:iCs/>
          <w:sz w:val="28"/>
          <w:lang w:eastAsia="zh-CN"/>
        </w:rPr>
        <w:t>一个全面的破产监管框架，在提交正式程序之前解决关键问题，为启动正式破产程序定义明确的标准，并确保在清算和重组程序之间取得适当的平衡，所有程序都有明确的定义，并使任命破产代表时的知识和经验至关重要，这对公司(公司灵活性)和社会(社会效益)都有利。</w:t>
      </w:r>
    </w:p>
    <w:p>
      <w:pPr>
        <w:pStyle w:val="3"/>
        <w:spacing w:before="11" w:line="400" w:lineRule="exact"/>
        <w:ind w:firstLine="560" w:firstLineChars="200"/>
        <w:jc w:val="both"/>
        <w:rPr>
          <w:rFonts w:eastAsia="宋体"/>
          <w:sz w:val="28"/>
          <w:lang w:eastAsia="zh-CN"/>
        </w:rPr>
      </w:pPr>
    </w:p>
    <w:p>
      <w:pPr>
        <w:pStyle w:val="9"/>
        <w:tabs>
          <w:tab w:val="left" w:pos="841"/>
        </w:tabs>
        <w:spacing w:line="400" w:lineRule="exact"/>
        <w:ind w:left="440" w:leftChars="200" w:right="194" w:firstLine="0"/>
        <w:jc w:val="both"/>
        <w:rPr>
          <w:rFonts w:eastAsia="宋体" w:cs="宋体"/>
          <w:iCs/>
          <w:sz w:val="28"/>
          <w:lang w:eastAsia="zh-CN"/>
        </w:rPr>
      </w:pPr>
      <w:r>
        <w:rPr>
          <w:rFonts w:hint="eastAsia" w:eastAsia="宋体" w:cs="宋体"/>
          <w:iCs/>
          <w:sz w:val="28"/>
          <w:lang w:eastAsia="zh-CN"/>
        </w:rPr>
        <w:t>6.1.2</w:t>
      </w:r>
      <w:r>
        <w:rPr>
          <w:rFonts w:hint="eastAsia" w:eastAsia="宋体" w:cs="宋体"/>
          <w:iCs/>
          <w:sz w:val="28"/>
          <w:u w:val="single"/>
          <w:lang w:eastAsia="zh-CN"/>
        </w:rPr>
        <w:t>资产和利益相关者类别</w:t>
      </w:r>
      <w:r>
        <w:rPr>
          <w:rFonts w:hint="eastAsia" w:eastAsia="宋体" w:cs="宋体"/>
          <w:iCs/>
          <w:sz w:val="28"/>
          <w:lang w:eastAsia="zh-CN"/>
        </w:rPr>
        <w:t>涵盖11项指标，总分最高为19分(企业灵活度10分，社会效益9分)。具体而言，债务人资产管理子类别有6个指标，债权人参与子类别有5个指标。在这一类别下，得分大部分在企业灵活度和社会效益之间平均分配，除了自动中止诉讼和拒绝现有的繁重合同和资产指标，这些指标没有延伸到社会效益的结果，因此仅根据企业灵活度进行评分。此外，劳工索赔特别制度指标仅对社会效益进行评分。破产监管框架促进破产程序期间债务人财产的最大化，同时为在破产程序中具有不同利益的所有利益相关者提供保障，对企业和整个社会都有好处。</w:t>
      </w:r>
    </w:p>
    <w:p>
      <w:pPr>
        <w:pStyle w:val="3"/>
        <w:spacing w:before="8" w:line="400" w:lineRule="exact"/>
        <w:ind w:firstLine="560" w:firstLineChars="200"/>
        <w:jc w:val="both"/>
        <w:rPr>
          <w:rFonts w:eastAsia="宋体"/>
          <w:sz w:val="28"/>
          <w:lang w:eastAsia="zh-CN"/>
        </w:rPr>
      </w:pPr>
    </w:p>
    <w:p>
      <w:pPr>
        <w:pStyle w:val="9"/>
        <w:tabs>
          <w:tab w:val="left" w:pos="841"/>
        </w:tabs>
        <w:spacing w:line="400" w:lineRule="exact"/>
        <w:ind w:left="440" w:leftChars="200" w:right="194" w:firstLine="0"/>
        <w:jc w:val="both"/>
        <w:rPr>
          <w:rFonts w:eastAsia="宋体" w:cs="宋体"/>
          <w:iCs/>
          <w:sz w:val="28"/>
          <w:lang w:eastAsia="zh-CN"/>
        </w:rPr>
      </w:pPr>
      <w:r>
        <w:rPr>
          <w:rFonts w:hint="eastAsia" w:eastAsia="宋体" w:cs="宋体"/>
          <w:iCs/>
          <w:sz w:val="28"/>
          <w:lang w:eastAsia="zh-CN"/>
        </w:rPr>
        <w:t>6.1.3</w:t>
      </w:r>
      <w:r>
        <w:rPr>
          <w:rFonts w:hint="eastAsia" w:eastAsia="宋体" w:cs="宋体"/>
          <w:iCs/>
          <w:sz w:val="28"/>
          <w:u w:val="single"/>
          <w:lang w:eastAsia="zh-CN"/>
        </w:rPr>
        <w:t>专门程序</w:t>
      </w:r>
      <w:r>
        <w:rPr>
          <w:rFonts w:hint="eastAsia" w:eastAsia="宋体" w:cs="宋体"/>
          <w:iCs/>
          <w:sz w:val="28"/>
          <w:lang w:eastAsia="zh-CN"/>
        </w:rPr>
        <w:t>涵盖5项指标，总分最高为8分(企业灵活度5分，社会效益3分)。具体而言，微型和小型企业子类有3个指标，跨境破产子类有2个指标。在这一类别下，微型企业和小型企业的分数平均分配在企业灵活度和社会福利之间，因为这样一个专门的制度将确保企业高效和低成本的破产程序(企业灵活度)，并通过为微型企业(社会效益)提供另一种法律途径，提高案件量方面的司法效率。跨境破产子类别是根据企业灵活度打分的，因为跨境破产框架只会使在国际上经营的企业受益或受到影响，因此不会扩大到特定经济体的社会期望结果。</w:t>
      </w:r>
    </w:p>
    <w:p>
      <w:pPr>
        <w:pStyle w:val="3"/>
        <w:spacing w:before="4" w:line="400" w:lineRule="exact"/>
        <w:ind w:firstLine="560" w:firstLineChars="200"/>
        <w:jc w:val="both"/>
        <w:rPr>
          <w:rFonts w:eastAsia="宋体"/>
          <w:sz w:val="28"/>
          <w:lang w:eastAsia="zh-CN"/>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3651"/>
        <w:gridCol w:w="1020"/>
        <w:gridCol w:w="1020"/>
        <w:gridCol w:w="1020"/>
        <w:gridCol w:w="1021"/>
        <w:gridCol w:w="1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trPr>
        <w:tc>
          <w:tcPr>
            <w:tcW w:w="4251" w:type="dxa"/>
            <w:gridSpan w:val="2"/>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维度</w:t>
            </w:r>
            <w:r>
              <w:rPr>
                <w:rFonts w:eastAsia="宋体" w:cs="宋体"/>
                <w:b/>
                <w:bCs/>
                <w:sz w:val="24"/>
                <w:szCs w:val="24"/>
                <w:lang w:eastAsia="zh-CN"/>
              </w:rPr>
              <w:t>I</w:t>
            </w:r>
            <w:r>
              <w:rPr>
                <w:rFonts w:hint="eastAsia" w:eastAsia="宋体" w:cs="宋体"/>
                <w:b/>
                <w:bCs/>
                <w:sz w:val="24"/>
                <w:szCs w:val="24"/>
                <w:lang w:eastAsia="zh-CN"/>
              </w:rPr>
              <w:t xml:space="preserve"> :破产程序法规的质量</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指标</w:t>
            </w:r>
          </w:p>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数量</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企业</w:t>
            </w:r>
          </w:p>
          <w:p>
            <w:pPr>
              <w:pStyle w:val="10"/>
              <w:spacing w:line="400" w:lineRule="exact"/>
              <w:jc w:val="center"/>
              <w:rPr>
                <w:rFonts w:hint="default" w:eastAsia="宋体" w:cs="宋体"/>
                <w:b/>
                <w:bCs/>
                <w:sz w:val="24"/>
                <w:szCs w:val="24"/>
                <w:lang w:val="en-US" w:eastAsia="zh-CN"/>
              </w:rPr>
            </w:pPr>
            <w:r>
              <w:rPr>
                <w:rFonts w:hint="eastAsia" w:eastAsia="宋体" w:cs="宋体"/>
                <w:b/>
                <w:bCs/>
                <w:sz w:val="24"/>
                <w:szCs w:val="24"/>
                <w:lang w:eastAsia="zh-CN"/>
              </w:rPr>
              <w:t>灵活</w:t>
            </w:r>
            <w:r>
              <w:rPr>
                <w:rFonts w:hint="eastAsia" w:eastAsia="宋体" w:cs="宋体"/>
                <w:b/>
                <w:bCs/>
                <w:sz w:val="24"/>
                <w:szCs w:val="24"/>
                <w:lang w:val="en-US" w:eastAsia="zh-CN"/>
              </w:rPr>
              <w:t>度得分</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社会</w:t>
            </w:r>
          </w:p>
          <w:p>
            <w:pPr>
              <w:pStyle w:val="10"/>
              <w:spacing w:line="400" w:lineRule="exact"/>
              <w:jc w:val="center"/>
              <w:rPr>
                <w:rFonts w:hint="default" w:eastAsia="宋体" w:cs="宋体"/>
                <w:b/>
                <w:bCs/>
                <w:sz w:val="24"/>
                <w:szCs w:val="24"/>
                <w:lang w:val="en-US" w:eastAsia="zh-CN"/>
              </w:rPr>
            </w:pPr>
            <w:r>
              <w:rPr>
                <w:rFonts w:hint="eastAsia" w:eastAsia="宋体" w:cs="宋体"/>
                <w:b/>
                <w:bCs/>
                <w:sz w:val="24"/>
                <w:szCs w:val="24"/>
                <w:lang w:eastAsia="zh-CN"/>
              </w:rPr>
              <w:t>效益</w:t>
            </w:r>
            <w:r>
              <w:rPr>
                <w:rFonts w:hint="eastAsia" w:eastAsia="宋体" w:cs="宋体"/>
                <w:b/>
                <w:bCs/>
                <w:sz w:val="24"/>
                <w:szCs w:val="24"/>
                <w:lang w:val="en-US" w:eastAsia="zh-CN"/>
              </w:rPr>
              <w:t>得分</w:t>
            </w:r>
          </w:p>
        </w:tc>
        <w:tc>
          <w:tcPr>
            <w:tcW w:w="102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总分</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600" w:type="dxa"/>
            <w:shd w:val="clear" w:color="auto" w:fill="D9E1F3"/>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w:t>
            </w:r>
          </w:p>
        </w:tc>
        <w:tc>
          <w:tcPr>
            <w:tcW w:w="3651" w:type="dxa"/>
            <w:shd w:val="clear" w:color="auto" w:fill="D9E1F3"/>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破产程序的启动前和启动</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13</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13</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13</w:t>
            </w:r>
          </w:p>
        </w:tc>
        <w:tc>
          <w:tcPr>
            <w:tcW w:w="102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26</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49.01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1.1.1</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预开工和开工</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10</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18.85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1.1.2</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清算重组</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10</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18.85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1.1.3</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破产管理人的专业知识</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11.31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00" w:type="dxa"/>
            <w:shd w:val="clear" w:color="auto" w:fill="D9E1F3"/>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w:t>
            </w:r>
          </w:p>
        </w:tc>
        <w:tc>
          <w:tcPr>
            <w:tcW w:w="3651" w:type="dxa"/>
            <w:shd w:val="clear" w:color="auto" w:fill="D9E1F3"/>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资产和利益相关者</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11</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9</w:t>
            </w:r>
          </w:p>
        </w:tc>
        <w:tc>
          <w:tcPr>
            <w:tcW w:w="102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19</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35.83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 xml:space="preserve">1.2.1 </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债务人资产的管理</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4</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10</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18.86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1.2.2</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债权人参与</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4</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5</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9</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16.97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00" w:type="dxa"/>
            <w:shd w:val="clear" w:color="auto" w:fill="D9E1F3"/>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w:t>
            </w:r>
          </w:p>
        </w:tc>
        <w:tc>
          <w:tcPr>
            <w:tcW w:w="3651" w:type="dxa"/>
            <w:shd w:val="clear" w:color="auto" w:fill="D9E1F3"/>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专门的程序</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5</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5</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3.</w:t>
            </w:r>
          </w:p>
        </w:tc>
        <w:tc>
          <w:tcPr>
            <w:tcW w:w="102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8</w:t>
            </w:r>
          </w:p>
        </w:tc>
        <w:tc>
          <w:tcPr>
            <w:tcW w:w="102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15.09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1.3.1</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微型和小型企业(MSEs)</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11.31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00"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1.3.2</w:t>
            </w:r>
          </w:p>
        </w:tc>
        <w:tc>
          <w:tcPr>
            <w:tcW w:w="3651"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跨境破产</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不适用</w:t>
            </w:r>
          </w:p>
        </w:tc>
        <w:tc>
          <w:tcPr>
            <w:tcW w:w="102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102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00" w:type="dxa"/>
            <w:shd w:val="clear" w:color="auto" w:fill="FFC000"/>
          </w:tcPr>
          <w:p>
            <w:pPr>
              <w:pStyle w:val="10"/>
              <w:spacing w:line="400" w:lineRule="exact"/>
              <w:jc w:val="both"/>
              <w:rPr>
                <w:rFonts w:eastAsia="宋体" w:cs="宋体"/>
                <w:sz w:val="24"/>
                <w:szCs w:val="24"/>
                <w:lang w:eastAsia="zh-CN"/>
              </w:rPr>
            </w:pPr>
          </w:p>
        </w:tc>
        <w:tc>
          <w:tcPr>
            <w:tcW w:w="3651"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总计</w:t>
            </w:r>
          </w:p>
        </w:tc>
        <w:tc>
          <w:tcPr>
            <w:tcW w:w="1020"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28</w:t>
            </w:r>
          </w:p>
        </w:tc>
        <w:tc>
          <w:tcPr>
            <w:tcW w:w="1020"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28</w:t>
            </w:r>
          </w:p>
        </w:tc>
        <w:tc>
          <w:tcPr>
            <w:tcW w:w="1020"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25</w:t>
            </w:r>
          </w:p>
        </w:tc>
        <w:tc>
          <w:tcPr>
            <w:tcW w:w="1021"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53</w:t>
            </w:r>
          </w:p>
        </w:tc>
        <w:tc>
          <w:tcPr>
            <w:tcW w:w="1020"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100</w:t>
            </w:r>
          </w:p>
        </w:tc>
      </w:tr>
    </w:tbl>
    <w:p>
      <w:pPr>
        <w:spacing w:line="400" w:lineRule="exact"/>
        <w:ind w:firstLine="562" w:firstLineChars="200"/>
        <w:jc w:val="both"/>
        <w:rPr>
          <w:rFonts w:eastAsia="宋体"/>
          <w:b/>
          <w:bCs/>
          <w:sz w:val="28"/>
        </w:rPr>
        <w:sectPr>
          <w:pgSz w:w="12240" w:h="15840"/>
          <w:pgMar w:top="1360" w:right="1240" w:bottom="280" w:left="1320" w:header="720" w:footer="720" w:gutter="0"/>
          <w:cols w:space="720" w:num="1"/>
        </w:sect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6.2维度II:破产程序机构和业务基础设施的质量</w:t>
      </w:r>
    </w:p>
    <w:p>
      <w:pPr>
        <w:pStyle w:val="3"/>
        <w:spacing w:line="400" w:lineRule="exact"/>
        <w:ind w:firstLine="562" w:firstLineChars="200"/>
        <w:jc w:val="both"/>
        <w:rPr>
          <w:rFonts w:eastAsia="宋体"/>
          <w:b/>
          <w:sz w:val="28"/>
          <w:lang w:eastAsia="zh-CN"/>
        </w:rPr>
      </w:pPr>
    </w:p>
    <w:p>
      <w:pPr>
        <w:pStyle w:val="3"/>
        <w:spacing w:line="400" w:lineRule="exact"/>
        <w:ind w:left="120" w:right="199" w:firstLine="560" w:firstLineChars="200"/>
        <w:jc w:val="both"/>
        <w:rPr>
          <w:rFonts w:eastAsia="宋体"/>
          <w:sz w:val="28"/>
          <w:lang w:eastAsia="zh-CN"/>
        </w:rPr>
      </w:pPr>
      <w:r>
        <w:rPr>
          <w:rFonts w:hint="eastAsia" w:eastAsia="宋体" w:cs="宋体"/>
          <w:sz w:val="28"/>
          <w:lang w:eastAsia="zh-CN"/>
        </w:rPr>
        <w:t>维度II</w:t>
      </w:r>
      <w:r>
        <w:rPr>
          <w:rFonts w:eastAsia="宋体" w:cs="宋体"/>
          <w:sz w:val="28"/>
          <w:lang w:eastAsia="zh-CN"/>
        </w:rPr>
        <w:t>包括12项指标，总分为24分(企业灵活</w:t>
      </w:r>
      <w:r>
        <w:rPr>
          <w:rFonts w:hint="eastAsia" w:eastAsia="宋体" w:cs="宋体"/>
          <w:sz w:val="28"/>
          <w:lang w:val="en-US" w:eastAsia="zh-CN"/>
        </w:rPr>
        <w:t>度得</w:t>
      </w:r>
      <w:r>
        <w:rPr>
          <w:rFonts w:eastAsia="宋体" w:cs="宋体"/>
          <w:sz w:val="28"/>
          <w:lang w:eastAsia="zh-CN"/>
        </w:rPr>
        <w:t>12分，社会</w:t>
      </w:r>
      <w:r>
        <w:rPr>
          <w:rFonts w:hint="eastAsia" w:eastAsia="宋体" w:cs="宋体"/>
          <w:sz w:val="28"/>
          <w:lang w:val="en-US" w:eastAsia="zh-CN"/>
        </w:rPr>
        <w:t>效益得</w:t>
      </w:r>
      <w:r>
        <w:rPr>
          <w:rFonts w:eastAsia="宋体" w:cs="宋体"/>
          <w:sz w:val="28"/>
          <w:lang w:eastAsia="zh-CN"/>
        </w:rPr>
        <w:t>12分)。支柱下各类别的得分情况如下:</w:t>
      </w:r>
    </w:p>
    <w:p>
      <w:pPr>
        <w:pStyle w:val="3"/>
        <w:spacing w:before="11" w:line="400" w:lineRule="exact"/>
        <w:ind w:firstLine="560" w:firstLineChars="200"/>
        <w:jc w:val="both"/>
        <w:rPr>
          <w:rFonts w:eastAsia="宋体"/>
          <w:sz w:val="28"/>
          <w:lang w:eastAsia="zh-CN"/>
        </w:rPr>
      </w:pPr>
    </w:p>
    <w:p>
      <w:pPr>
        <w:pStyle w:val="9"/>
        <w:tabs>
          <w:tab w:val="left" w:pos="841"/>
        </w:tabs>
        <w:spacing w:line="400" w:lineRule="exact"/>
        <w:ind w:left="440" w:leftChars="200" w:right="194" w:firstLine="0"/>
        <w:jc w:val="both"/>
        <w:rPr>
          <w:rFonts w:eastAsia="宋体" w:cs="宋体"/>
          <w:iCs/>
          <w:sz w:val="28"/>
          <w:lang w:eastAsia="zh-CN"/>
        </w:rPr>
      </w:pPr>
      <w:r>
        <w:rPr>
          <w:rFonts w:hint="eastAsia" w:eastAsia="宋体" w:cs="宋体"/>
          <w:iCs/>
          <w:sz w:val="28"/>
          <w:lang w:eastAsia="zh-CN"/>
        </w:rPr>
        <w:t>6.2.1</w:t>
      </w:r>
      <w:r>
        <w:rPr>
          <w:rFonts w:hint="eastAsia" w:eastAsia="宋体" w:cs="宋体"/>
          <w:iCs/>
          <w:sz w:val="28"/>
          <w:u w:val="single"/>
          <w:lang w:eastAsia="zh-CN"/>
        </w:rPr>
        <w:t>数字化和在线服务</w:t>
      </w:r>
      <w:r>
        <w:rPr>
          <w:rFonts w:hint="eastAsia" w:eastAsia="宋体" w:cs="宋体"/>
          <w:iCs/>
          <w:sz w:val="28"/>
          <w:lang w:eastAsia="zh-CN"/>
        </w:rPr>
        <w:t>涵盖10个指标，总分最高为20分(企业灵活度10分，社会效益10分)。具体而言，电子法庭子类别有6个指标，破产程序服务和破产程序服务(电子服务)的互操作性和信息的公开可用性子类别有4个指标。在这一类别下，得分在企业灵活度和社会效益之间平均分配。</w:t>
      </w:r>
    </w:p>
    <w:p>
      <w:pPr>
        <w:pStyle w:val="3"/>
        <w:spacing w:before="10" w:line="400" w:lineRule="exact"/>
        <w:ind w:firstLine="560" w:firstLineChars="200"/>
        <w:jc w:val="both"/>
        <w:rPr>
          <w:rFonts w:eastAsia="宋体"/>
          <w:sz w:val="28"/>
          <w:lang w:eastAsia="zh-CN"/>
        </w:rPr>
      </w:pPr>
    </w:p>
    <w:p>
      <w:pPr>
        <w:pStyle w:val="9"/>
        <w:tabs>
          <w:tab w:val="left" w:pos="841"/>
        </w:tabs>
        <w:spacing w:line="400" w:lineRule="exact"/>
        <w:ind w:left="440" w:leftChars="200" w:right="194" w:firstLine="0"/>
        <w:jc w:val="both"/>
        <w:rPr>
          <w:rFonts w:eastAsia="宋体" w:cs="宋体"/>
          <w:iCs/>
          <w:sz w:val="28"/>
          <w:lang w:eastAsia="zh-CN"/>
        </w:rPr>
      </w:pPr>
      <w:r>
        <w:rPr>
          <w:rFonts w:hint="eastAsia" w:eastAsia="宋体" w:cs="宋体"/>
          <w:iCs/>
          <w:sz w:val="28"/>
          <w:lang w:eastAsia="zh-CN"/>
        </w:rPr>
        <w:t>6.2.2</w:t>
      </w:r>
      <w:r>
        <w:rPr>
          <w:rFonts w:hint="eastAsia" w:eastAsia="宋体" w:cs="宋体"/>
          <w:iCs/>
          <w:sz w:val="28"/>
          <w:u w:val="single"/>
          <w:lang w:eastAsia="zh-CN"/>
        </w:rPr>
        <w:t>公职人员和破产管理人</w:t>
      </w:r>
      <w:r>
        <w:rPr>
          <w:rFonts w:hint="eastAsia" w:eastAsia="宋体" w:cs="宋体"/>
          <w:iCs/>
          <w:sz w:val="28"/>
          <w:lang w:eastAsia="zh-CN"/>
        </w:rPr>
        <w:t>涵盖2个指标，总分最高为4分(企业灵活度2分，社会效益2分)。具体而言，“破产法院或破产法官的专业化”子类别和“破产管理人在实践中的专业知识”子类别各包括1个指标。一个专门的破产法院和对破产管理人资格要求的遵守在实践中既有利于公司(公司灵活性)，也促进了更广泛的公共利益(社会利益)。因此，这两个子类别的得分是相等的。</w:t>
      </w:r>
    </w:p>
    <w:p>
      <w:pPr>
        <w:pStyle w:val="3"/>
        <w:spacing w:before="4" w:line="400" w:lineRule="exact"/>
        <w:ind w:firstLine="560" w:firstLineChars="200"/>
        <w:jc w:val="both"/>
        <w:rPr>
          <w:rFonts w:eastAsia="宋体"/>
          <w:sz w:val="28"/>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054"/>
        <w:gridCol w:w="987"/>
        <w:gridCol w:w="1001"/>
        <w:gridCol w:w="900"/>
        <w:gridCol w:w="802"/>
        <w:gridCol w:w="9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4680" w:type="dxa"/>
            <w:gridSpan w:val="2"/>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维度II——破产程序的制度和业务基础设施质量</w:t>
            </w:r>
          </w:p>
        </w:tc>
        <w:tc>
          <w:tcPr>
            <w:tcW w:w="987"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指标</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数量</w:t>
            </w:r>
          </w:p>
        </w:tc>
        <w:tc>
          <w:tcPr>
            <w:tcW w:w="100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企业</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灵活</w:t>
            </w:r>
            <w:r>
              <w:rPr>
                <w:rFonts w:hint="eastAsia" w:eastAsia="宋体" w:cs="宋体"/>
                <w:b/>
                <w:bCs/>
                <w:sz w:val="24"/>
                <w:szCs w:val="24"/>
                <w:lang w:val="en-US" w:eastAsia="zh-CN"/>
              </w:rPr>
              <w:t>度得分</w:t>
            </w:r>
          </w:p>
        </w:tc>
        <w:tc>
          <w:tcPr>
            <w:tcW w:w="90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社会</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效益</w:t>
            </w:r>
            <w:r>
              <w:rPr>
                <w:rFonts w:hint="eastAsia" w:eastAsia="宋体" w:cs="宋体"/>
                <w:b/>
                <w:bCs/>
                <w:sz w:val="24"/>
                <w:szCs w:val="24"/>
                <w:lang w:val="en-US" w:eastAsia="zh-CN"/>
              </w:rPr>
              <w:t>得分</w:t>
            </w:r>
          </w:p>
        </w:tc>
        <w:tc>
          <w:tcPr>
            <w:tcW w:w="802" w:type="dxa"/>
            <w:shd w:val="clear" w:color="auto" w:fill="D9E1F3"/>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c>
          <w:tcPr>
            <w:tcW w:w="981" w:type="dxa"/>
            <w:shd w:val="clear" w:color="auto" w:fill="D9E1F3"/>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26" w:type="dxa"/>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3.1</w:t>
            </w:r>
          </w:p>
        </w:tc>
        <w:tc>
          <w:tcPr>
            <w:tcW w:w="4054" w:type="dxa"/>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数字化和在线服务</w:t>
            </w:r>
          </w:p>
        </w:tc>
        <w:tc>
          <w:tcPr>
            <w:tcW w:w="987"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w:t>
            </w:r>
          </w:p>
        </w:tc>
        <w:tc>
          <w:tcPr>
            <w:tcW w:w="100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w:t>
            </w:r>
          </w:p>
        </w:tc>
        <w:tc>
          <w:tcPr>
            <w:tcW w:w="90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w:t>
            </w:r>
          </w:p>
        </w:tc>
        <w:tc>
          <w:tcPr>
            <w:tcW w:w="802"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20</w:t>
            </w:r>
          </w:p>
        </w:tc>
        <w:tc>
          <w:tcPr>
            <w:tcW w:w="98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83.30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62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3.1.1</w:t>
            </w:r>
          </w:p>
        </w:tc>
        <w:tc>
          <w:tcPr>
            <w:tcW w:w="40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电子法庭</w:t>
            </w:r>
          </w:p>
        </w:tc>
        <w:tc>
          <w:tcPr>
            <w:tcW w:w="987"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100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90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6</w:t>
            </w:r>
          </w:p>
        </w:tc>
        <w:tc>
          <w:tcPr>
            <w:tcW w:w="802"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12</w:t>
            </w:r>
          </w:p>
        </w:tc>
        <w:tc>
          <w:tcPr>
            <w:tcW w:w="98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49.98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62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3.1.2</w:t>
            </w:r>
          </w:p>
        </w:tc>
        <w:tc>
          <w:tcPr>
            <w:tcW w:w="40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破产程序服务(电子服务)的互操作性和信息的公开可用性</w:t>
            </w:r>
          </w:p>
        </w:tc>
        <w:tc>
          <w:tcPr>
            <w:tcW w:w="987"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4</w:t>
            </w:r>
          </w:p>
        </w:tc>
        <w:tc>
          <w:tcPr>
            <w:tcW w:w="100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4</w:t>
            </w:r>
          </w:p>
        </w:tc>
        <w:tc>
          <w:tcPr>
            <w:tcW w:w="90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4</w:t>
            </w:r>
          </w:p>
        </w:tc>
        <w:tc>
          <w:tcPr>
            <w:tcW w:w="802"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8</w:t>
            </w:r>
          </w:p>
        </w:tc>
        <w:tc>
          <w:tcPr>
            <w:tcW w:w="98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33.32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626" w:type="dxa"/>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3.2</w:t>
            </w:r>
          </w:p>
        </w:tc>
        <w:tc>
          <w:tcPr>
            <w:tcW w:w="4054" w:type="dxa"/>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公职人员和破产管理人</w:t>
            </w:r>
          </w:p>
        </w:tc>
        <w:tc>
          <w:tcPr>
            <w:tcW w:w="987"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w:t>
            </w:r>
          </w:p>
        </w:tc>
        <w:tc>
          <w:tcPr>
            <w:tcW w:w="100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w:t>
            </w:r>
          </w:p>
        </w:tc>
        <w:tc>
          <w:tcPr>
            <w:tcW w:w="900"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w:t>
            </w:r>
          </w:p>
        </w:tc>
        <w:tc>
          <w:tcPr>
            <w:tcW w:w="802"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4</w:t>
            </w:r>
          </w:p>
        </w:tc>
        <w:tc>
          <w:tcPr>
            <w:tcW w:w="981"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62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3.2.1</w:t>
            </w:r>
          </w:p>
        </w:tc>
        <w:tc>
          <w:tcPr>
            <w:tcW w:w="40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破产法院或破产法官的专业化</w:t>
            </w:r>
          </w:p>
        </w:tc>
        <w:tc>
          <w:tcPr>
            <w:tcW w:w="987"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100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90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802"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98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2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3.2.2</w:t>
            </w:r>
          </w:p>
        </w:tc>
        <w:tc>
          <w:tcPr>
            <w:tcW w:w="40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破产管理人的实践专长</w:t>
            </w:r>
          </w:p>
        </w:tc>
        <w:tc>
          <w:tcPr>
            <w:tcW w:w="987"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100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900"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802"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981" w:type="dxa"/>
            <w:vAlign w:val="center"/>
          </w:tcPr>
          <w:p>
            <w:pPr>
              <w:pStyle w:val="10"/>
              <w:spacing w:line="400" w:lineRule="exact"/>
              <w:jc w:val="center"/>
              <w:rPr>
                <w:rFonts w:eastAsia="宋体" w:cs="宋体"/>
                <w:sz w:val="24"/>
                <w:szCs w:val="24"/>
                <w:lang w:eastAsia="zh-CN"/>
              </w:rPr>
            </w:pPr>
            <w:r>
              <w:rPr>
                <w:rFonts w:hint="eastAsia" w:eastAsia="宋体" w:cs="宋体"/>
                <w:sz w:val="24"/>
                <w:szCs w:val="24"/>
                <w:lang w:eastAsia="zh-CN"/>
              </w:rPr>
              <w:t>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626" w:type="dxa"/>
            <w:shd w:val="clear" w:color="auto" w:fill="FFC000"/>
          </w:tcPr>
          <w:p>
            <w:pPr>
              <w:pStyle w:val="10"/>
              <w:spacing w:line="400" w:lineRule="exact"/>
              <w:jc w:val="center"/>
              <w:rPr>
                <w:rFonts w:eastAsia="宋体" w:cs="宋体"/>
                <w:sz w:val="24"/>
                <w:szCs w:val="24"/>
                <w:lang w:eastAsia="zh-CN"/>
              </w:rPr>
            </w:pPr>
          </w:p>
        </w:tc>
        <w:tc>
          <w:tcPr>
            <w:tcW w:w="4054"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总计</w:t>
            </w:r>
          </w:p>
        </w:tc>
        <w:tc>
          <w:tcPr>
            <w:tcW w:w="987"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12</w:t>
            </w:r>
          </w:p>
        </w:tc>
        <w:tc>
          <w:tcPr>
            <w:tcW w:w="1001"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12</w:t>
            </w:r>
          </w:p>
        </w:tc>
        <w:tc>
          <w:tcPr>
            <w:tcW w:w="900"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12</w:t>
            </w:r>
          </w:p>
        </w:tc>
        <w:tc>
          <w:tcPr>
            <w:tcW w:w="802"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24</w:t>
            </w:r>
          </w:p>
        </w:tc>
        <w:tc>
          <w:tcPr>
            <w:tcW w:w="981"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100</w:t>
            </w:r>
          </w:p>
        </w:tc>
      </w:tr>
    </w:tbl>
    <w:p>
      <w:pPr>
        <w:pStyle w:val="3"/>
        <w:spacing w:before="1" w:line="400" w:lineRule="exact"/>
        <w:ind w:firstLine="560" w:firstLineChars="200"/>
        <w:jc w:val="both"/>
        <w:rPr>
          <w:rFonts w:eastAsia="宋体"/>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6.3维度III:在实践中解决司法破产程序的效率</w:t>
      </w:r>
    </w:p>
    <w:p>
      <w:pPr>
        <w:pStyle w:val="3"/>
        <w:spacing w:line="400" w:lineRule="exact"/>
        <w:ind w:left="120" w:right="194" w:firstLine="560" w:firstLineChars="200"/>
        <w:jc w:val="both"/>
        <w:rPr>
          <w:rFonts w:eastAsia="宋体"/>
          <w:sz w:val="28"/>
          <w:lang w:eastAsia="zh-CN"/>
        </w:rPr>
      </w:pPr>
      <w:r>
        <w:rPr>
          <w:rFonts w:hint="eastAsia" w:eastAsia="宋体" w:cs="宋体"/>
          <w:sz w:val="28"/>
          <w:lang w:eastAsia="zh-CN"/>
        </w:rPr>
        <w:t>维度III</w:t>
      </w:r>
      <w:r>
        <w:rPr>
          <w:rFonts w:eastAsia="宋体" w:cs="宋体"/>
          <w:sz w:val="28"/>
          <w:lang w:eastAsia="zh-CN"/>
        </w:rPr>
        <w:t>包括4个指标，得分范围从0到100。这一</w:t>
      </w:r>
      <w:r>
        <w:rPr>
          <w:rFonts w:hint="eastAsia" w:eastAsia="宋体" w:cs="宋体"/>
          <w:sz w:val="28"/>
          <w:lang w:eastAsia="zh-CN"/>
        </w:rPr>
        <w:t>维度</w:t>
      </w:r>
      <w:r>
        <w:rPr>
          <w:rFonts w:eastAsia="宋体" w:cs="宋体"/>
          <w:sz w:val="28"/>
          <w:lang w:eastAsia="zh-CN"/>
        </w:rPr>
        <w:t>下指标的得分只分配给</w:t>
      </w:r>
      <w:r>
        <w:rPr>
          <w:rFonts w:hint="eastAsia" w:eastAsia="宋体" w:cs="宋体"/>
          <w:sz w:val="28"/>
          <w:lang w:eastAsia="zh-CN"/>
        </w:rPr>
        <w:t>企业灵活度</w:t>
      </w:r>
      <w:r>
        <w:rPr>
          <w:rFonts w:eastAsia="宋体" w:cs="宋体"/>
          <w:sz w:val="28"/>
          <w:lang w:eastAsia="zh-CN"/>
        </w:rPr>
        <w:t>，因为这些指标衡量的是企业解决在法清算和重组程序的时间和成本。例如，解决清算程序的高</w:t>
      </w:r>
      <w:r>
        <w:rPr>
          <w:rFonts w:hint="eastAsia" w:eastAsia="宋体" w:cs="宋体"/>
          <w:sz w:val="28"/>
          <w:lang w:eastAsia="zh-CN"/>
        </w:rPr>
        <w:t>成本</w:t>
      </w:r>
      <w:r>
        <w:rPr>
          <w:rFonts w:eastAsia="宋体" w:cs="宋体"/>
          <w:sz w:val="28"/>
          <w:lang w:eastAsia="zh-CN"/>
        </w:rPr>
        <w:t>和长时间对公司产生不利影响，从而阻碍了公司的灵活性。</w:t>
      </w:r>
    </w:p>
    <w:p>
      <w:pPr>
        <w:pStyle w:val="3"/>
        <w:spacing w:before="2" w:line="400" w:lineRule="exact"/>
        <w:ind w:firstLine="560" w:firstLineChars="200"/>
        <w:jc w:val="both"/>
        <w:rPr>
          <w:rFonts w:eastAsia="宋体"/>
          <w:sz w:val="28"/>
          <w:lang w:eastAsia="zh-CN"/>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8"/>
        <w:gridCol w:w="5953"/>
        <w:gridCol w:w="1092"/>
        <w:gridCol w:w="14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6851" w:type="dxa"/>
            <w:gridSpan w:val="2"/>
            <w:shd w:val="clear" w:color="auto" w:fill="D9E1F3"/>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维度III——解决司法破产程序在实践中的效率</w:t>
            </w:r>
          </w:p>
        </w:tc>
        <w:tc>
          <w:tcPr>
            <w:tcW w:w="1092"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指标数量</w:t>
            </w:r>
          </w:p>
        </w:tc>
        <w:tc>
          <w:tcPr>
            <w:tcW w:w="1409" w:type="dxa"/>
            <w:shd w:val="clear" w:color="auto" w:fill="D9E1F3"/>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898" w:type="dxa"/>
            <w:shd w:val="clear" w:color="auto" w:fill="D9E1F3"/>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3.1</w:t>
            </w:r>
          </w:p>
        </w:tc>
        <w:tc>
          <w:tcPr>
            <w:tcW w:w="5953" w:type="dxa"/>
            <w:shd w:val="clear" w:color="auto" w:fill="D9E1F3"/>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实践中的清算程序</w:t>
            </w:r>
          </w:p>
        </w:tc>
        <w:tc>
          <w:tcPr>
            <w:tcW w:w="1092" w:type="dxa"/>
            <w:shd w:val="clear" w:color="auto" w:fill="D9E1F3"/>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1409" w:type="dxa"/>
            <w:shd w:val="clear" w:color="auto" w:fill="D9E1F3"/>
          </w:tcPr>
          <w:p>
            <w:pPr>
              <w:pStyle w:val="10"/>
              <w:spacing w:line="400" w:lineRule="exact"/>
              <w:jc w:val="center"/>
              <w:rPr>
                <w:rFonts w:eastAsia="宋体" w:cs="宋体"/>
                <w:sz w:val="24"/>
                <w:szCs w:val="24"/>
                <w:lang w:eastAsia="zh-CN"/>
              </w:rPr>
            </w:pPr>
            <w:r>
              <w:rPr>
                <w:rFonts w:hint="eastAsia" w:eastAsia="宋体" w:cs="宋体"/>
                <w:sz w:val="24"/>
                <w:szCs w:val="24"/>
                <w:lang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89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3.1.1</w:t>
            </w:r>
          </w:p>
        </w:tc>
        <w:tc>
          <w:tcPr>
            <w:tcW w:w="595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解决庭内清算程序的时间</w:t>
            </w:r>
          </w:p>
        </w:tc>
        <w:tc>
          <w:tcPr>
            <w:tcW w:w="1092"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1409"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89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3.1.2</w:t>
            </w:r>
          </w:p>
        </w:tc>
        <w:tc>
          <w:tcPr>
            <w:tcW w:w="595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解决庭内清算程序的费用</w:t>
            </w:r>
          </w:p>
        </w:tc>
        <w:tc>
          <w:tcPr>
            <w:tcW w:w="1092"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1409"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898" w:type="dxa"/>
            <w:shd w:val="clear" w:color="auto" w:fill="D9E1F3"/>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3.2</w:t>
            </w:r>
          </w:p>
        </w:tc>
        <w:tc>
          <w:tcPr>
            <w:tcW w:w="5953" w:type="dxa"/>
            <w:shd w:val="clear" w:color="auto" w:fill="D9E1F3"/>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实践中的重整程序</w:t>
            </w:r>
          </w:p>
        </w:tc>
        <w:tc>
          <w:tcPr>
            <w:tcW w:w="1092" w:type="dxa"/>
            <w:shd w:val="clear" w:color="auto" w:fill="D9E1F3"/>
          </w:tcPr>
          <w:p>
            <w:pPr>
              <w:pStyle w:val="10"/>
              <w:spacing w:line="400" w:lineRule="exact"/>
              <w:jc w:val="center"/>
              <w:rPr>
                <w:rFonts w:eastAsia="宋体" w:cs="宋体"/>
                <w:sz w:val="24"/>
                <w:szCs w:val="24"/>
                <w:lang w:eastAsia="zh-CN"/>
              </w:rPr>
            </w:pPr>
            <w:r>
              <w:rPr>
                <w:rFonts w:hint="eastAsia" w:eastAsia="宋体" w:cs="宋体"/>
                <w:sz w:val="24"/>
                <w:szCs w:val="24"/>
                <w:lang w:eastAsia="zh-CN"/>
              </w:rPr>
              <w:t>2</w:t>
            </w:r>
          </w:p>
        </w:tc>
        <w:tc>
          <w:tcPr>
            <w:tcW w:w="1409" w:type="dxa"/>
            <w:shd w:val="clear" w:color="auto" w:fill="D9E1F3"/>
          </w:tcPr>
          <w:p>
            <w:pPr>
              <w:pStyle w:val="10"/>
              <w:spacing w:line="400" w:lineRule="exact"/>
              <w:jc w:val="center"/>
              <w:rPr>
                <w:rFonts w:eastAsia="宋体" w:cs="宋体"/>
                <w:sz w:val="24"/>
                <w:szCs w:val="24"/>
                <w:lang w:eastAsia="zh-CN"/>
              </w:rPr>
            </w:pPr>
            <w:r>
              <w:rPr>
                <w:rFonts w:hint="eastAsia" w:eastAsia="宋体" w:cs="宋体"/>
                <w:sz w:val="24"/>
                <w:szCs w:val="24"/>
                <w:lang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89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3.2.1</w:t>
            </w:r>
          </w:p>
        </w:tc>
        <w:tc>
          <w:tcPr>
            <w:tcW w:w="595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解决庭内重组程序的时间</w:t>
            </w:r>
          </w:p>
        </w:tc>
        <w:tc>
          <w:tcPr>
            <w:tcW w:w="1092"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1409"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89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3.2.2</w:t>
            </w:r>
          </w:p>
        </w:tc>
        <w:tc>
          <w:tcPr>
            <w:tcW w:w="595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解决庭内重整程序的费用</w:t>
            </w:r>
          </w:p>
        </w:tc>
        <w:tc>
          <w:tcPr>
            <w:tcW w:w="1092"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1</w:t>
            </w:r>
          </w:p>
        </w:tc>
        <w:tc>
          <w:tcPr>
            <w:tcW w:w="1409" w:type="dxa"/>
          </w:tcPr>
          <w:p>
            <w:pPr>
              <w:pStyle w:val="10"/>
              <w:spacing w:line="400" w:lineRule="exact"/>
              <w:jc w:val="center"/>
              <w:rPr>
                <w:rFonts w:eastAsia="宋体" w:cs="宋体"/>
                <w:sz w:val="24"/>
                <w:szCs w:val="24"/>
                <w:lang w:eastAsia="zh-CN"/>
              </w:rPr>
            </w:pPr>
            <w:r>
              <w:rPr>
                <w:rFonts w:hint="eastAsia" w:eastAsia="宋体" w:cs="宋体"/>
                <w:sz w:val="24"/>
                <w:szCs w:val="24"/>
                <w:lang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898" w:type="dxa"/>
            <w:shd w:val="clear" w:color="auto" w:fill="FFC000"/>
          </w:tcPr>
          <w:p>
            <w:pPr>
              <w:pStyle w:val="10"/>
              <w:spacing w:line="400" w:lineRule="exact"/>
              <w:jc w:val="center"/>
              <w:rPr>
                <w:rFonts w:eastAsia="宋体" w:cs="宋体"/>
                <w:sz w:val="24"/>
                <w:szCs w:val="24"/>
                <w:lang w:eastAsia="zh-CN"/>
              </w:rPr>
            </w:pPr>
          </w:p>
        </w:tc>
        <w:tc>
          <w:tcPr>
            <w:tcW w:w="595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总计</w:t>
            </w:r>
          </w:p>
        </w:tc>
        <w:tc>
          <w:tcPr>
            <w:tcW w:w="1092"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4</w:t>
            </w:r>
          </w:p>
        </w:tc>
        <w:tc>
          <w:tcPr>
            <w:tcW w:w="1409" w:type="dxa"/>
            <w:shd w:val="clear" w:color="auto" w:fill="FFC000"/>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100</w:t>
            </w:r>
          </w:p>
        </w:tc>
      </w:tr>
    </w:tbl>
    <w:p>
      <w:pPr>
        <w:spacing w:line="400" w:lineRule="exact"/>
        <w:ind w:firstLine="560" w:firstLineChars="200"/>
        <w:jc w:val="both"/>
        <w:rPr>
          <w:rFonts w:eastAsia="宋体"/>
          <w:sz w:val="28"/>
        </w:rPr>
        <w:sectPr>
          <w:pgSz w:w="12240" w:h="15840"/>
          <w:pgMar w:top="1360" w:right="1240" w:bottom="280" w:left="1320" w:header="720" w:footer="720" w:gutter="0"/>
          <w:cols w:space="720" w:num="1"/>
        </w:sectPr>
      </w:pPr>
    </w:p>
    <w:p>
      <w:pPr>
        <w:spacing w:before="79" w:line="400" w:lineRule="exact"/>
        <w:ind w:left="120" w:firstLine="554" w:firstLineChars="200"/>
        <w:jc w:val="both"/>
        <w:rPr>
          <w:rFonts w:eastAsia="宋体"/>
          <w:b/>
          <w:sz w:val="28"/>
        </w:rPr>
      </w:pPr>
      <w:r>
        <w:rPr>
          <w:rFonts w:eastAsia="宋体" w:cs="宋体"/>
          <w:b/>
          <w:spacing w:val="-2"/>
          <w:sz w:val="28"/>
        </w:rPr>
        <w:t>参考文献</w:t>
      </w:r>
    </w:p>
    <w:p>
      <w:pPr>
        <w:pStyle w:val="3"/>
        <w:spacing w:before="6" w:line="500" w:lineRule="atLeast"/>
        <w:ind w:left="120" w:right="176"/>
        <w:rPr>
          <w:rFonts w:hint="default" w:ascii="Times New Roman" w:hAnsi="Times New Roman" w:cs="Times New Roman"/>
          <w:sz w:val="24"/>
          <w:szCs w:val="24"/>
        </w:rPr>
      </w:pPr>
      <w:r>
        <w:rPr>
          <w:rFonts w:hint="default" w:ascii="Times New Roman" w:hAnsi="Times New Roman" w:cs="Times New Roman"/>
          <w:sz w:val="24"/>
          <w:szCs w:val="24"/>
        </w:rPr>
        <w:t>Becker, B., and V. Ivashina. 2021. “Corporate Insolvency Rules and Zombie Lending.” Unpublished. Becker,</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B.,</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M.</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Oehmke.</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2021.</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“Preparing</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Post-Pandemic</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Rise</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Corporate</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Insolvencies.”</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ASC</w:t>
      </w:r>
    </w:p>
    <w:p>
      <w:pPr>
        <w:pStyle w:val="3"/>
        <w:spacing w:before="6"/>
        <w:ind w:left="840"/>
        <w:rPr>
          <w:rFonts w:hint="default" w:ascii="Times New Roman" w:hAnsi="Times New Roman" w:cs="Times New Roman"/>
          <w:sz w:val="24"/>
          <w:szCs w:val="24"/>
        </w:rPr>
      </w:pPr>
      <w:r>
        <w:rPr>
          <w:rFonts w:hint="default" w:ascii="Times New Roman" w:hAnsi="Times New Roman" w:cs="Times New Roman"/>
          <w:sz w:val="24"/>
          <w:szCs w:val="24"/>
        </w:rPr>
        <w:t>Insight</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No.</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2,</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European</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Systemic</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Risk</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Board,</w:t>
      </w:r>
      <w:r>
        <w:rPr>
          <w:rFonts w:hint="default" w:ascii="Times New Roman" w:hAnsi="Times New Roman" w:cs="Times New Roman"/>
          <w:spacing w:val="-2"/>
          <w:sz w:val="24"/>
          <w:szCs w:val="24"/>
        </w:rPr>
        <w:t xml:space="preserve"> Frankfurt.</w:t>
      </w:r>
    </w:p>
    <w:p>
      <w:pPr>
        <w:pStyle w:val="3"/>
        <w:rPr>
          <w:rFonts w:hint="default" w:ascii="Times New Roman" w:hAnsi="Times New Roman" w:cs="Times New Roman"/>
          <w:sz w:val="24"/>
          <w:szCs w:val="24"/>
        </w:rPr>
      </w:pPr>
    </w:p>
    <w:p>
      <w:pPr>
        <w:pStyle w:val="3"/>
        <w:ind w:left="84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Białkowski, M. 2018. “International Insolvency Proceedings—Desired Directions of Change and Implementation.” </w:t>
      </w:r>
      <w:r>
        <w:rPr>
          <w:rFonts w:hint="default" w:ascii="Times New Roman" w:hAnsi="Times New Roman" w:cs="Times New Roman"/>
          <w:i/>
          <w:sz w:val="24"/>
          <w:szCs w:val="24"/>
        </w:rPr>
        <w:t xml:space="preserve">Service Management Journal </w:t>
      </w:r>
      <w:r>
        <w:rPr>
          <w:rFonts w:hint="default" w:ascii="Times New Roman" w:hAnsi="Times New Roman" w:cs="Times New Roman"/>
          <w:sz w:val="24"/>
          <w:szCs w:val="24"/>
        </w:rPr>
        <w:t>6: 37–42.</w:t>
      </w:r>
    </w:p>
    <w:p>
      <w:pPr>
        <w:pStyle w:val="3"/>
        <w:spacing w:before="11"/>
        <w:rPr>
          <w:rFonts w:hint="default" w:ascii="Times New Roman" w:hAnsi="Times New Roman" w:cs="Times New Roman"/>
          <w:sz w:val="24"/>
          <w:szCs w:val="24"/>
        </w:rPr>
      </w:pPr>
    </w:p>
    <w:p>
      <w:pPr>
        <w:pStyle w:val="3"/>
        <w:ind w:left="84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Byfield, P. 2011. “The Publication of Commercial Court Decisions in the Western Commonwealth of Independent</w:t>
      </w:r>
      <w:r>
        <w:rPr>
          <w:rFonts w:hint="default" w:ascii="Times New Roman" w:hAnsi="Times New Roman" w:cs="Times New Roman"/>
          <w:spacing w:val="-16"/>
          <w:sz w:val="24"/>
          <w:szCs w:val="24"/>
        </w:rPr>
        <w:t xml:space="preserve"> </w:t>
      </w:r>
      <w:r>
        <w:rPr>
          <w:rFonts w:hint="default" w:ascii="Times New Roman" w:hAnsi="Times New Roman" w:cs="Times New Roman"/>
          <w:sz w:val="24"/>
          <w:szCs w:val="24"/>
        </w:rPr>
        <w:t>States</w:t>
      </w:r>
      <w:r>
        <w:rPr>
          <w:rFonts w:hint="default" w:ascii="Times New Roman" w:hAnsi="Times New Roman" w:cs="Times New Roman"/>
          <w:i/>
          <w:sz w:val="24"/>
          <w:szCs w:val="24"/>
        </w:rPr>
        <w:t>.</w:t>
      </w:r>
      <w:r>
        <w:rPr>
          <w:rFonts w:hint="default" w:ascii="Times New Roman" w:hAnsi="Times New Roman" w:cs="Times New Roman"/>
          <w:sz w:val="24"/>
          <w:szCs w:val="24"/>
        </w:rPr>
        <w:t>”</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14"/>
          <w:sz w:val="24"/>
          <w:szCs w:val="24"/>
        </w:rPr>
        <w:t xml:space="preserve"> </w:t>
      </w:r>
      <w:r>
        <w:rPr>
          <w:rFonts w:hint="default" w:ascii="Times New Roman" w:hAnsi="Times New Roman" w:cs="Times New Roman"/>
          <w:i/>
          <w:sz w:val="24"/>
          <w:szCs w:val="24"/>
        </w:rPr>
        <w:t>Law</w:t>
      </w:r>
      <w:r>
        <w:rPr>
          <w:rFonts w:hint="default" w:ascii="Times New Roman" w:hAnsi="Times New Roman" w:cs="Times New Roman"/>
          <w:i/>
          <w:spacing w:val="-13"/>
          <w:sz w:val="24"/>
          <w:szCs w:val="24"/>
        </w:rPr>
        <w:t xml:space="preserve"> </w:t>
      </w:r>
      <w:r>
        <w:rPr>
          <w:rFonts w:hint="default" w:ascii="Times New Roman" w:hAnsi="Times New Roman" w:cs="Times New Roman"/>
          <w:i/>
          <w:sz w:val="24"/>
          <w:szCs w:val="24"/>
        </w:rPr>
        <w:t>in</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Transition</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2011:</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Towards</w:t>
      </w:r>
      <w:r>
        <w:rPr>
          <w:rFonts w:hint="default" w:ascii="Times New Roman" w:hAnsi="Times New Roman" w:cs="Times New Roman"/>
          <w:i/>
          <w:spacing w:val="-13"/>
          <w:sz w:val="24"/>
          <w:szCs w:val="24"/>
        </w:rPr>
        <w:t xml:space="preserve"> </w:t>
      </w:r>
      <w:r>
        <w:rPr>
          <w:rFonts w:hint="default" w:ascii="Times New Roman" w:hAnsi="Times New Roman" w:cs="Times New Roman"/>
          <w:i/>
          <w:sz w:val="24"/>
          <w:szCs w:val="24"/>
        </w:rPr>
        <w:t>Better</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Courts</w:t>
      </w:r>
      <w:r>
        <w:rPr>
          <w:rFonts w:hint="default" w:ascii="Times New Roman" w:hAnsi="Times New Roman" w:cs="Times New Roman"/>
          <w:sz w:val="24"/>
          <w:szCs w:val="24"/>
        </w:rPr>
        <w:t>.</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London: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EBRD</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(European Bank for Reconstruction and Development).</w:t>
      </w:r>
    </w:p>
    <w:p>
      <w:pPr>
        <w:pStyle w:val="3"/>
        <w:spacing w:before="1"/>
        <w:rPr>
          <w:rFonts w:hint="default" w:ascii="Times New Roman" w:hAnsi="Times New Roman" w:cs="Times New Roman"/>
          <w:sz w:val="24"/>
          <w:szCs w:val="24"/>
        </w:rPr>
      </w:pPr>
    </w:p>
    <w:p>
      <w:pPr>
        <w:pStyle w:val="3"/>
        <w:ind w:left="840" w:right="193" w:hanging="720"/>
        <w:jc w:val="both"/>
        <w:rPr>
          <w:rFonts w:hint="default" w:ascii="Times New Roman" w:hAnsi="Times New Roman" w:cs="Times New Roman"/>
          <w:sz w:val="24"/>
          <w:szCs w:val="24"/>
        </w:rPr>
      </w:pPr>
      <w:r>
        <w:rPr>
          <w:rFonts w:hint="default" w:ascii="Times New Roman" w:hAnsi="Times New Roman" w:cs="Times New Roman"/>
          <w:sz w:val="24"/>
          <w:szCs w:val="24"/>
        </w:rPr>
        <w:t>Carcea,</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M.</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C.,</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D.</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Ciriac,</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C.</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Cuerpo</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Caballero,</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D.</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Lorenzani,</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P.</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Pontuch.</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2015.</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Economic</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Impact of Rescue and Recovery Frameworks.” European Commission Discussion Paper 2015-004, Directorate-General for Economic and Financial Affairs, European Commission.</w:t>
      </w:r>
    </w:p>
    <w:p>
      <w:pPr>
        <w:pStyle w:val="3"/>
        <w:spacing w:before="10"/>
        <w:rPr>
          <w:rFonts w:hint="default" w:ascii="Times New Roman" w:hAnsi="Times New Roman" w:cs="Times New Roman"/>
          <w:sz w:val="24"/>
          <w:szCs w:val="24"/>
        </w:rPr>
      </w:pPr>
    </w:p>
    <w:p>
      <w:pPr>
        <w:spacing w:before="0"/>
        <w:ind w:left="840" w:right="193"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Cirmizi, E., L. Klapper, and M. Uttamchandani. 2012. “The Challenges of Bankruptcy Reform.” </w:t>
      </w:r>
      <w:r>
        <w:rPr>
          <w:rFonts w:hint="default" w:ascii="Times New Roman" w:hAnsi="Times New Roman" w:cs="Times New Roman"/>
          <w:i/>
          <w:sz w:val="24"/>
          <w:szCs w:val="24"/>
        </w:rPr>
        <w:t xml:space="preserve">World Bank Research Observer </w:t>
      </w:r>
      <w:r>
        <w:rPr>
          <w:rFonts w:hint="default" w:ascii="Times New Roman" w:hAnsi="Times New Roman" w:cs="Times New Roman"/>
          <w:sz w:val="24"/>
          <w:szCs w:val="24"/>
        </w:rPr>
        <w:t>27 (2): 185–203.</w:t>
      </w:r>
    </w:p>
    <w:p>
      <w:pPr>
        <w:pStyle w:val="3"/>
        <w:spacing w:before="2"/>
        <w:rPr>
          <w:rFonts w:hint="default" w:ascii="Times New Roman" w:hAnsi="Times New Roman" w:cs="Times New Roman"/>
          <w:sz w:val="24"/>
          <w:szCs w:val="24"/>
        </w:rPr>
      </w:pPr>
    </w:p>
    <w:p>
      <w:pPr>
        <w:pStyle w:val="3"/>
        <w:ind w:left="840" w:right="200" w:hanging="720"/>
        <w:jc w:val="both"/>
        <w:rPr>
          <w:rFonts w:hint="default" w:ascii="Times New Roman" w:hAnsi="Times New Roman" w:cs="Times New Roman"/>
          <w:sz w:val="24"/>
          <w:szCs w:val="24"/>
        </w:rPr>
      </w:pPr>
      <w:r>
        <w:rPr>
          <w:rFonts w:hint="default" w:ascii="Times New Roman" w:hAnsi="Times New Roman" w:cs="Times New Roman"/>
          <w:sz w:val="24"/>
          <w:szCs w:val="24"/>
        </w:rPr>
        <w:t>Consolo A., F. Malfa, and B. Pierluigi. 2018. “Insolvency Frameworks and Private Debt: An Empirical Investigation.” Working Paper 2189, European Central Bank, Frankfurt.</w:t>
      </w:r>
    </w:p>
    <w:p>
      <w:pPr>
        <w:pStyle w:val="3"/>
        <w:rPr>
          <w:rFonts w:hint="default" w:ascii="Times New Roman" w:hAnsi="Times New Roman" w:cs="Times New Roman"/>
          <w:sz w:val="24"/>
          <w:szCs w:val="24"/>
        </w:rPr>
      </w:pPr>
    </w:p>
    <w:p>
      <w:pPr>
        <w:pStyle w:val="3"/>
        <w:ind w:left="840" w:right="201"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El Ghoul, S., Z. Fu, and O. Guedhami. 2021. “Zombie Firms: Prevalence, Determinants, and Corporate Policies.” </w:t>
      </w:r>
      <w:r>
        <w:rPr>
          <w:rFonts w:hint="default" w:ascii="Times New Roman" w:hAnsi="Times New Roman" w:cs="Times New Roman"/>
          <w:i/>
          <w:sz w:val="24"/>
          <w:szCs w:val="24"/>
        </w:rPr>
        <w:t xml:space="preserve">Finance Research Letters </w:t>
      </w:r>
      <w:r>
        <w:rPr>
          <w:rFonts w:hint="default" w:ascii="Times New Roman" w:hAnsi="Times New Roman" w:cs="Times New Roman"/>
          <w:sz w:val="24"/>
          <w:szCs w:val="24"/>
        </w:rPr>
        <w:t>411 (July): 101876.</w:t>
      </w:r>
    </w:p>
    <w:p>
      <w:pPr>
        <w:pStyle w:val="3"/>
        <w:spacing w:before="11"/>
        <w:rPr>
          <w:rFonts w:hint="default" w:ascii="Times New Roman" w:hAnsi="Times New Roman" w:cs="Times New Roman"/>
          <w:sz w:val="24"/>
          <w:szCs w:val="24"/>
        </w:rPr>
      </w:pPr>
    </w:p>
    <w:p>
      <w:pPr>
        <w:pStyle w:val="3"/>
        <w:ind w:left="84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Ellias,</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B.</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Iverson,</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M.</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Roe.</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“Estimating</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Need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Additional</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Bankruptcy</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Judges</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Light</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 xml:space="preserve">of the COVID-19 Pandemic.” </w:t>
      </w:r>
      <w:r>
        <w:rPr>
          <w:rFonts w:hint="default" w:ascii="Times New Roman" w:hAnsi="Times New Roman" w:cs="Times New Roman"/>
          <w:i/>
          <w:sz w:val="24"/>
          <w:szCs w:val="24"/>
        </w:rPr>
        <w:t xml:space="preserve">Harvard Business Law Review </w:t>
      </w:r>
      <w:r>
        <w:rPr>
          <w:rFonts w:hint="default" w:ascii="Times New Roman" w:hAnsi="Times New Roman" w:cs="Times New Roman"/>
          <w:sz w:val="24"/>
          <w:szCs w:val="24"/>
        </w:rPr>
        <w:t>11 (online).</w:t>
      </w:r>
    </w:p>
    <w:p>
      <w:pPr>
        <w:pStyle w:val="3"/>
        <w:spacing w:before="11"/>
        <w:rPr>
          <w:rFonts w:hint="default" w:ascii="Times New Roman" w:hAnsi="Times New Roman" w:cs="Times New Roman"/>
          <w:sz w:val="24"/>
          <w:szCs w:val="24"/>
        </w:rPr>
      </w:pPr>
    </w:p>
    <w:p>
      <w:pPr>
        <w:pStyle w:val="3"/>
        <w:ind w:left="840" w:hanging="720"/>
        <w:rPr>
          <w:rFonts w:hint="default" w:ascii="Times New Roman" w:hAnsi="Times New Roman" w:cs="Times New Roman"/>
          <w:sz w:val="24"/>
          <w:szCs w:val="24"/>
        </w:rPr>
      </w:pPr>
      <w:r>
        <w:rPr>
          <w:rFonts w:hint="default" w:ascii="Times New Roman" w:hAnsi="Times New Roman" w:cs="Times New Roman"/>
          <w:sz w:val="24"/>
          <w:szCs w:val="24"/>
        </w:rPr>
        <w:t>Frade, C., P. Fernando, and A. Conceição. 2020. “The Performance of the Courts in the Digital Era: The Case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Restructuring</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Proceedings</w:t>
      </w:r>
      <w:r>
        <w:rPr>
          <w:rFonts w:hint="default" w:ascii="Times New Roman" w:hAnsi="Times New Roman" w:cs="Times New Roman"/>
          <w:i/>
          <w:sz w:val="24"/>
          <w:szCs w:val="24"/>
        </w:rPr>
        <w:t>.</w:t>
      </w:r>
      <w:r>
        <w:rPr>
          <w:rFonts w:hint="default" w:ascii="Times New Roman" w:hAnsi="Times New Roman" w:cs="Times New Roman"/>
          <w:sz w:val="24"/>
          <w:szCs w:val="24"/>
        </w:rPr>
        <w:t>”</w:t>
      </w:r>
      <w:r>
        <w:rPr>
          <w:rFonts w:hint="default" w:ascii="Times New Roman" w:hAnsi="Times New Roman" w:cs="Times New Roman"/>
          <w:spacing w:val="-3"/>
          <w:sz w:val="24"/>
          <w:szCs w:val="24"/>
        </w:rPr>
        <w:t xml:space="preserve"> </w:t>
      </w:r>
      <w:r>
        <w:rPr>
          <w:rFonts w:hint="default" w:ascii="Times New Roman" w:hAnsi="Times New Roman" w:cs="Times New Roman"/>
          <w:i/>
          <w:sz w:val="24"/>
          <w:szCs w:val="24"/>
        </w:rPr>
        <w:t>International</w:t>
      </w:r>
      <w:r>
        <w:rPr>
          <w:rFonts w:hint="default" w:ascii="Times New Roman" w:hAnsi="Times New Roman" w:cs="Times New Roman"/>
          <w:i/>
          <w:spacing w:val="-5"/>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i/>
          <w:spacing w:val="-3"/>
          <w:sz w:val="24"/>
          <w:szCs w:val="24"/>
        </w:rPr>
        <w:t xml:space="preserve"> </w:t>
      </w:r>
      <w:r>
        <w:rPr>
          <w:rFonts w:hint="default" w:ascii="Times New Roman" w:hAnsi="Times New Roman" w:cs="Times New Roman"/>
          <w:i/>
          <w:sz w:val="24"/>
          <w:szCs w:val="24"/>
        </w:rPr>
        <w:t>Review</w:t>
      </w:r>
      <w:r>
        <w:rPr>
          <w:rFonts w:hint="default" w:ascii="Times New Roman" w:hAnsi="Times New Roman" w:cs="Times New Roman"/>
          <w:i/>
          <w:spacing w:val="-4"/>
          <w:sz w:val="24"/>
          <w:szCs w:val="24"/>
        </w:rPr>
        <w:t xml:space="preserve"> </w:t>
      </w:r>
      <w:r>
        <w:rPr>
          <w:rFonts w:hint="default" w:ascii="Times New Roman" w:hAnsi="Times New Roman" w:cs="Times New Roman"/>
          <w:sz w:val="24"/>
          <w:szCs w:val="24"/>
        </w:rPr>
        <w:t>29</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(3):</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 xml:space="preserve">346– </w:t>
      </w:r>
      <w:r>
        <w:rPr>
          <w:rFonts w:hint="default" w:ascii="Times New Roman" w:hAnsi="Times New Roman" w:cs="Times New Roman"/>
          <w:spacing w:val="-4"/>
          <w:sz w:val="24"/>
          <w:szCs w:val="24"/>
        </w:rPr>
        <w:t>59.</w:t>
      </w:r>
    </w:p>
    <w:p>
      <w:pPr>
        <w:pStyle w:val="3"/>
        <w:spacing w:before="1"/>
        <w:rPr>
          <w:rFonts w:hint="default" w:ascii="Times New Roman" w:hAnsi="Times New Roman" w:cs="Times New Roman"/>
          <w:sz w:val="24"/>
          <w:szCs w:val="24"/>
        </w:rPr>
      </w:pPr>
    </w:p>
    <w:p>
      <w:pPr>
        <w:pStyle w:val="3"/>
        <w:ind w:left="840" w:hanging="720"/>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"https://ideas.repec.org/p/bdi/wptemi/td_1287_20.html"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González-Torres,</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G.,</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pacing w:val="-3"/>
          <w:sz w:val="24"/>
          <w:szCs w:val="24"/>
        </w:rPr>
        <w:fldChar w:fldCharType="end"/>
      </w:r>
      <w:r>
        <w:rPr>
          <w:rFonts w:hint="default" w:ascii="Times New Roman" w:hAnsi="Times New Roman" w:cs="Times New Roman"/>
          <w:sz w:val="24"/>
          <w:szCs w:val="24"/>
        </w:rPr>
        <w:t>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Rodano.</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“Court</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Efficiency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Aggregate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Productivity:</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Credit Channel.” Bank of Italy Working Paper No. 1287, Bank of Italy, Rome.</w:t>
      </w:r>
    </w:p>
    <w:p>
      <w:pPr>
        <w:pStyle w:val="3"/>
        <w:rPr>
          <w:rFonts w:hint="default" w:ascii="Times New Roman" w:hAnsi="Times New Roman" w:cs="Times New Roman"/>
          <w:sz w:val="24"/>
          <w:szCs w:val="24"/>
        </w:rPr>
      </w:pPr>
    </w:p>
    <w:p>
      <w:pPr>
        <w:spacing w:before="0"/>
        <w:ind w:left="840" w:right="0" w:hanging="720"/>
        <w:jc w:val="left"/>
        <w:rPr>
          <w:rFonts w:hint="default" w:ascii="Times New Roman" w:hAnsi="Times New Roman" w:cs="Times New Roman"/>
          <w:sz w:val="24"/>
          <w:szCs w:val="24"/>
        </w:rPr>
      </w:pPr>
      <w:r>
        <w:rPr>
          <w:rFonts w:hint="default" w:ascii="Times New Roman" w:hAnsi="Times New Roman" w:cs="Times New Roman"/>
          <w:sz w:val="24"/>
          <w:szCs w:val="24"/>
        </w:rPr>
        <w:t>Greenwood,</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R.,</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B.</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Iverson,</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D.</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Thesmar.</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2020. “Sizing</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Up</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Corporate</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Restructuring in the</w:t>
      </w:r>
      <w:r>
        <w:rPr>
          <w:rFonts w:hint="default" w:ascii="Times New Roman" w:hAnsi="Times New Roman" w:cs="Times New Roman"/>
          <w:spacing w:val="22"/>
          <w:sz w:val="24"/>
          <w:szCs w:val="24"/>
        </w:rPr>
        <w:t xml:space="preserve"> </w:t>
      </w:r>
      <w:r>
        <w:rPr>
          <w:rFonts w:hint="default" w:ascii="Times New Roman" w:hAnsi="Times New Roman" w:cs="Times New Roman"/>
          <w:sz w:val="24"/>
          <w:szCs w:val="24"/>
        </w:rPr>
        <w:t xml:space="preserve">COVID Crisis.” </w:t>
      </w:r>
      <w:r>
        <w:rPr>
          <w:rFonts w:hint="default" w:ascii="Times New Roman" w:hAnsi="Times New Roman" w:cs="Times New Roman"/>
          <w:i/>
          <w:sz w:val="24"/>
          <w:szCs w:val="24"/>
        </w:rPr>
        <w:t xml:space="preserve">Brookings Papers on Economic Activity </w:t>
      </w:r>
      <w:r>
        <w:rPr>
          <w:rFonts w:hint="default" w:ascii="Times New Roman" w:hAnsi="Times New Roman" w:cs="Times New Roman"/>
          <w:sz w:val="24"/>
          <w:szCs w:val="24"/>
        </w:rPr>
        <w:t>(2): 391–451.</w:t>
      </w:r>
    </w:p>
    <w:p>
      <w:pPr>
        <w:pStyle w:val="3"/>
        <w:spacing w:before="11"/>
        <w:rPr>
          <w:rFonts w:hint="default" w:ascii="Times New Roman" w:hAnsi="Times New Roman" w:cs="Times New Roman"/>
          <w:sz w:val="24"/>
          <w:szCs w:val="24"/>
        </w:rPr>
      </w:pPr>
    </w:p>
    <w:p>
      <w:pPr>
        <w:pStyle w:val="3"/>
        <w:ind w:left="120"/>
        <w:rPr>
          <w:rFonts w:hint="default" w:ascii="Times New Roman" w:hAnsi="Times New Roman" w:cs="Times New Roman"/>
          <w:sz w:val="24"/>
          <w:szCs w:val="24"/>
        </w:rPr>
      </w:pPr>
      <w:r>
        <w:rPr>
          <w:rFonts w:hint="default" w:ascii="Times New Roman" w:hAnsi="Times New Roman" w:cs="Times New Roman"/>
          <w:sz w:val="24"/>
          <w:szCs w:val="24"/>
        </w:rPr>
        <w:t>Guerra-Martinez,</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2021.</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“Implementing</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an</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Framework</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Micro</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Small</w:t>
      </w:r>
      <w:r>
        <w:rPr>
          <w:rFonts w:hint="default" w:ascii="Times New Roman" w:hAnsi="Times New Roman" w:cs="Times New Roman"/>
          <w:spacing w:val="-3"/>
          <w:sz w:val="24"/>
          <w:szCs w:val="24"/>
        </w:rPr>
        <w:t xml:space="preserve"> </w:t>
      </w:r>
      <w:r>
        <w:rPr>
          <w:rFonts w:hint="default" w:ascii="Times New Roman" w:hAnsi="Times New Roman" w:cs="Times New Roman"/>
          <w:spacing w:val="-2"/>
          <w:sz w:val="24"/>
          <w:szCs w:val="24"/>
        </w:rPr>
        <w:t>Firms.”</w:t>
      </w:r>
    </w:p>
    <w:p>
      <w:pPr>
        <w:spacing w:before="1"/>
        <w:ind w:left="840" w:right="0" w:firstLine="0"/>
        <w:jc w:val="left"/>
        <w:rPr>
          <w:rFonts w:hint="default" w:ascii="Times New Roman" w:hAnsi="Times New Roman" w:cs="Times New Roman"/>
          <w:sz w:val="24"/>
          <w:szCs w:val="24"/>
        </w:rPr>
      </w:pPr>
      <w:r>
        <w:rPr>
          <w:rFonts w:hint="default" w:ascii="Times New Roman" w:hAnsi="Times New Roman" w:cs="Times New Roman"/>
          <w:i/>
          <w:sz w:val="24"/>
          <w:szCs w:val="24"/>
        </w:rPr>
        <w:t>International</w:t>
      </w:r>
      <w:r>
        <w:rPr>
          <w:rFonts w:hint="default" w:ascii="Times New Roman" w:hAnsi="Times New Roman" w:cs="Times New Roman"/>
          <w:i/>
          <w:spacing w:val="-6"/>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i/>
          <w:spacing w:val="-4"/>
          <w:sz w:val="24"/>
          <w:szCs w:val="24"/>
        </w:rPr>
        <w:t xml:space="preserve"> </w:t>
      </w:r>
      <w:r>
        <w:rPr>
          <w:rFonts w:hint="default" w:ascii="Times New Roman" w:hAnsi="Times New Roman" w:cs="Times New Roman"/>
          <w:i/>
          <w:sz w:val="24"/>
          <w:szCs w:val="24"/>
        </w:rPr>
        <w:t>Review</w:t>
      </w:r>
      <w:r>
        <w:rPr>
          <w:rFonts w:hint="default" w:ascii="Times New Roman" w:hAnsi="Times New Roman" w:cs="Times New Roman"/>
          <w:i/>
          <w:spacing w:val="-1"/>
          <w:sz w:val="24"/>
          <w:szCs w:val="24"/>
        </w:rPr>
        <w:t xml:space="preserve"> </w:t>
      </w:r>
      <w:r>
        <w:rPr>
          <w:rFonts w:hint="default" w:ascii="Times New Roman" w:hAnsi="Times New Roman" w:cs="Times New Roman"/>
          <w:sz w:val="24"/>
          <w:szCs w:val="24"/>
        </w:rPr>
        <w:t>30</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(S1):</w:t>
      </w:r>
      <w:r>
        <w:rPr>
          <w:rFonts w:hint="default" w:ascii="Times New Roman" w:hAnsi="Times New Roman" w:cs="Times New Roman"/>
          <w:spacing w:val="-2"/>
          <w:sz w:val="24"/>
          <w:szCs w:val="24"/>
        </w:rPr>
        <w:t xml:space="preserve"> S46–S66.</w:t>
      </w:r>
    </w:p>
    <w:p>
      <w:pPr>
        <w:pStyle w:val="3"/>
        <w:spacing w:before="1"/>
        <w:rPr>
          <w:rFonts w:hint="default" w:ascii="Times New Roman" w:hAnsi="Times New Roman" w:cs="Times New Roman"/>
          <w:sz w:val="24"/>
          <w:szCs w:val="24"/>
        </w:rPr>
      </w:pPr>
    </w:p>
    <w:p>
      <w:pPr>
        <w:pStyle w:val="3"/>
        <w:ind w:left="840" w:hanging="720"/>
        <w:rPr>
          <w:rFonts w:hint="default" w:ascii="Times New Roman" w:hAnsi="Times New Roman" w:cs="Times New Roman"/>
          <w:sz w:val="24"/>
          <w:szCs w:val="24"/>
        </w:rPr>
      </w:pPr>
      <w:r>
        <w:rPr>
          <w:rFonts w:hint="default" w:ascii="Times New Roman" w:hAnsi="Times New Roman" w:cs="Times New Roman"/>
          <w:sz w:val="24"/>
          <w:szCs w:val="24"/>
        </w:rPr>
        <w:t>Hemingway,</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B.</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“Macroeconomic</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Implications</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Regimes.”</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Bank</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Lithuania</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Working Paper No. 77/2020, Bank of Lithuania, Vilnius, Lithuania.</w:t>
      </w:r>
    </w:p>
    <w:p>
      <w:pPr>
        <w:pStyle w:val="3"/>
        <w:spacing w:before="11"/>
        <w:rPr>
          <w:rFonts w:hint="default" w:ascii="Times New Roman" w:hAnsi="Times New Roman" w:cs="Times New Roman"/>
          <w:sz w:val="24"/>
          <w:szCs w:val="24"/>
        </w:rPr>
      </w:pPr>
    </w:p>
    <w:p>
      <w:pPr>
        <w:pStyle w:val="3"/>
        <w:ind w:left="840" w:hanging="720"/>
        <w:rPr>
          <w:rFonts w:hint="default" w:ascii="Times New Roman" w:hAnsi="Times New Roman" w:cs="Times New Roman"/>
          <w:sz w:val="24"/>
          <w:szCs w:val="24"/>
        </w:rPr>
      </w:pPr>
      <w:r>
        <w:rPr>
          <w:rFonts w:hint="default" w:ascii="Times New Roman" w:hAnsi="Times New Roman" w:cs="Times New Roman"/>
          <w:sz w:val="24"/>
          <w:szCs w:val="24"/>
        </w:rPr>
        <w:t>ILO</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(International</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Labour</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Organization).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“Protection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Worker’s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Wage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Claims</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Enterprise Insolvency.” Factsheet, May 18, 2020.</w:t>
      </w:r>
    </w:p>
    <w:p>
      <w:pPr>
        <w:pStyle w:val="3"/>
        <w:spacing w:before="11"/>
        <w:rPr>
          <w:rFonts w:hint="default" w:ascii="Times New Roman" w:hAnsi="Times New Roman" w:cs="Times New Roman"/>
          <w:sz w:val="24"/>
          <w:szCs w:val="24"/>
        </w:rPr>
      </w:pPr>
    </w:p>
    <w:p>
      <w:pPr>
        <w:spacing w:before="0"/>
        <w:ind w:left="840" w:right="0" w:hanging="720"/>
        <w:jc w:val="left"/>
        <w:rPr>
          <w:rFonts w:hint="default" w:ascii="Times New Roman" w:hAnsi="Times New Roman" w:cs="Times New Roman"/>
          <w:sz w:val="24"/>
          <w:szCs w:val="24"/>
        </w:rPr>
      </w:pPr>
      <w:r>
        <w:rPr>
          <w:rFonts w:hint="default" w:ascii="Times New Roman" w:hAnsi="Times New Roman" w:cs="Times New Roman"/>
          <w:sz w:val="24"/>
          <w:szCs w:val="24"/>
        </w:rPr>
        <w:t xml:space="preserve">IMF (International Monetary Fund). 2014. </w:t>
      </w:r>
      <w:r>
        <w:rPr>
          <w:rFonts w:hint="default" w:ascii="Times New Roman" w:hAnsi="Times New Roman" w:cs="Times New Roman"/>
          <w:i/>
          <w:sz w:val="24"/>
          <w:szCs w:val="24"/>
        </w:rPr>
        <w:t>Global Financial Stability Report, April 2014: Moving from</w:t>
      </w:r>
      <w:r>
        <w:rPr>
          <w:rFonts w:hint="default" w:ascii="Times New Roman" w:hAnsi="Times New Roman" w:cs="Times New Roman"/>
          <w:i/>
          <w:spacing w:val="40"/>
          <w:sz w:val="24"/>
          <w:szCs w:val="24"/>
        </w:rPr>
        <w:t xml:space="preserve"> </w:t>
      </w:r>
      <w:r>
        <w:rPr>
          <w:rFonts w:hint="default" w:ascii="Times New Roman" w:hAnsi="Times New Roman" w:cs="Times New Roman"/>
          <w:i/>
          <w:sz w:val="24"/>
          <w:szCs w:val="24"/>
        </w:rPr>
        <w:t>Liquidity to Growth-Driven Markets</w:t>
      </w:r>
      <w:r>
        <w:rPr>
          <w:rFonts w:hint="default" w:ascii="Times New Roman" w:hAnsi="Times New Roman" w:cs="Times New Roman"/>
          <w:sz w:val="24"/>
          <w:szCs w:val="24"/>
        </w:rPr>
        <w:t>. Washington, DC: IMF.</w:t>
      </w:r>
    </w:p>
    <w:p>
      <w:pPr>
        <w:spacing w:after="0"/>
        <w:jc w:val="left"/>
        <w:rPr>
          <w:rFonts w:hint="default" w:ascii="Times New Roman" w:hAnsi="Times New Roman" w:cs="Times New Roman"/>
          <w:sz w:val="24"/>
          <w:szCs w:val="24"/>
        </w:rPr>
        <w:sectPr>
          <w:pgSz w:w="12240" w:h="15840"/>
          <w:pgMar w:top="1360" w:right="1240" w:bottom="280" w:left="1320" w:header="720" w:footer="720" w:gutter="0"/>
          <w:cols w:space="720" w:num="1"/>
        </w:sectPr>
      </w:pPr>
    </w:p>
    <w:p>
      <w:pPr>
        <w:pStyle w:val="3"/>
        <w:spacing w:before="191"/>
        <w:ind w:left="840" w:right="198"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Inacio, E. 2020. “When Environment Meets Insolvency.” Technical Insight. </w:t>
      </w:r>
      <w:r>
        <w:rPr>
          <w:rFonts w:hint="default" w:ascii="Times New Roman" w:hAnsi="Times New Roman" w:cs="Times New Roman"/>
          <w:i/>
          <w:sz w:val="24"/>
          <w:szCs w:val="24"/>
        </w:rPr>
        <w:t xml:space="preserve">Eurofenix </w:t>
      </w:r>
      <w:r>
        <w:rPr>
          <w:rFonts w:hint="default" w:ascii="Times New Roman" w:hAnsi="Times New Roman" w:cs="Times New Roman"/>
          <w:sz w:val="24"/>
          <w:szCs w:val="24"/>
        </w:rPr>
        <w:t xml:space="preserve">Winter 2019/20: </w:t>
      </w:r>
      <w:r>
        <w:rPr>
          <w:rFonts w:hint="default" w:ascii="Times New Roman" w:hAnsi="Times New Roman" w:cs="Times New Roman"/>
          <w:spacing w:val="-2"/>
          <w:sz w:val="24"/>
          <w:szCs w:val="24"/>
        </w:rPr>
        <w:t>14–15.</w:t>
      </w:r>
    </w:p>
    <w:p>
      <w:pPr>
        <w:pStyle w:val="3"/>
        <w:spacing w:before="1"/>
        <w:rPr>
          <w:rFonts w:hint="default" w:ascii="Times New Roman" w:hAnsi="Times New Roman" w:cs="Times New Roman"/>
          <w:sz w:val="24"/>
          <w:szCs w:val="24"/>
        </w:rPr>
      </w:pPr>
    </w:p>
    <w:p>
      <w:pPr>
        <w:pStyle w:val="3"/>
        <w:spacing w:before="1"/>
        <w:ind w:left="840" w:right="197" w:hanging="720"/>
        <w:jc w:val="both"/>
        <w:rPr>
          <w:rFonts w:hint="default" w:ascii="Times New Roman" w:hAnsi="Times New Roman" w:cs="Times New Roman"/>
          <w:sz w:val="24"/>
          <w:szCs w:val="24"/>
        </w:rPr>
      </w:pPr>
      <w:r>
        <w:rPr>
          <w:rFonts w:hint="default" w:ascii="Times New Roman" w:hAnsi="Times New Roman" w:cs="Times New Roman"/>
          <w:sz w:val="24"/>
          <w:szCs w:val="24"/>
        </w:rPr>
        <w:t>Iverson B. C., J. Madsen, W. Wang, and Q. Xu. 2018. “Learning by Doing: Judge Experience and Bankruptcy Outcomes.” https://doi.org/10.2139/ssrn.3084318.</w:t>
      </w:r>
    </w:p>
    <w:p>
      <w:pPr>
        <w:pStyle w:val="3"/>
        <w:spacing w:before="10"/>
        <w:rPr>
          <w:rFonts w:hint="default" w:ascii="Times New Roman" w:hAnsi="Times New Roman" w:cs="Times New Roman"/>
          <w:sz w:val="24"/>
          <w:szCs w:val="24"/>
        </w:rPr>
      </w:pPr>
    </w:p>
    <w:p>
      <w:pPr>
        <w:pStyle w:val="3"/>
        <w:spacing w:before="1"/>
        <w:ind w:left="84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Kruczalak-Jankowska J., M. Maśnicka, and A. Machnikowska. 2020. “The Relation between Duration of Insolvency Proceedings and their Efficiency.” </w:t>
      </w:r>
      <w:r>
        <w:rPr>
          <w:rFonts w:hint="default" w:ascii="Times New Roman" w:hAnsi="Times New Roman" w:cs="Times New Roman"/>
          <w:i/>
          <w:sz w:val="24"/>
          <w:szCs w:val="24"/>
        </w:rPr>
        <w:t xml:space="preserve">International Insolvency Review </w:t>
      </w:r>
      <w:r>
        <w:rPr>
          <w:rFonts w:hint="default" w:ascii="Times New Roman" w:hAnsi="Times New Roman" w:cs="Times New Roman"/>
          <w:sz w:val="24"/>
          <w:szCs w:val="24"/>
        </w:rPr>
        <w:t xml:space="preserve">29 (3, Winter): </w:t>
      </w:r>
      <w:r>
        <w:rPr>
          <w:rFonts w:hint="default" w:ascii="Times New Roman" w:hAnsi="Times New Roman" w:cs="Times New Roman"/>
          <w:spacing w:val="-2"/>
          <w:sz w:val="24"/>
          <w:szCs w:val="24"/>
        </w:rPr>
        <w:t>379–92.</w:t>
      </w:r>
    </w:p>
    <w:p>
      <w:pPr>
        <w:pStyle w:val="3"/>
        <w:spacing w:before="9"/>
        <w:rPr>
          <w:rFonts w:hint="default" w:ascii="Times New Roman" w:hAnsi="Times New Roman" w:cs="Times New Roman"/>
          <w:sz w:val="24"/>
          <w:szCs w:val="24"/>
        </w:rPr>
      </w:pPr>
    </w:p>
    <w:p>
      <w:pPr>
        <w:pStyle w:val="3"/>
        <w:spacing w:before="1" w:line="242" w:lineRule="auto"/>
        <w:ind w:left="840" w:right="193" w:hanging="720"/>
        <w:jc w:val="both"/>
        <w:rPr>
          <w:rFonts w:hint="default" w:ascii="Times New Roman" w:hAnsi="Times New Roman" w:cs="Times New Roman"/>
          <w:sz w:val="24"/>
          <w:szCs w:val="24"/>
        </w:rPr>
      </w:pPr>
      <w:r>
        <w:rPr>
          <w:rFonts w:hint="default" w:ascii="Times New Roman" w:hAnsi="Times New Roman" w:cs="Times New Roman"/>
          <w:sz w:val="24"/>
          <w:szCs w:val="24"/>
        </w:rPr>
        <w:t>Lee, S., Y. Yasuhiro, M. W. Peng, and J. B. Barney. 2011. “How Do Bankruptcy Laws Affect Entrepreneurship</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Development</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around</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World?”</w:t>
      </w:r>
      <w:r>
        <w:rPr>
          <w:rFonts w:hint="default" w:ascii="Times New Roman" w:hAnsi="Times New Roman" w:cs="Times New Roman"/>
          <w:spacing w:val="-7"/>
          <w:sz w:val="24"/>
          <w:szCs w:val="24"/>
        </w:rPr>
        <w:t xml:space="preserve"> </w:t>
      </w:r>
      <w:r>
        <w:rPr>
          <w:rFonts w:hint="default" w:ascii="Times New Roman" w:hAnsi="Times New Roman" w:cs="Times New Roman"/>
          <w:i/>
          <w:sz w:val="24"/>
          <w:szCs w:val="24"/>
        </w:rPr>
        <w:t>Journal</w:t>
      </w:r>
      <w:r>
        <w:rPr>
          <w:rFonts w:hint="default" w:ascii="Times New Roman" w:hAnsi="Times New Roman" w:cs="Times New Roman"/>
          <w:i/>
          <w:spacing w:val="-8"/>
          <w:sz w:val="24"/>
          <w:szCs w:val="24"/>
        </w:rPr>
        <w:t xml:space="preserve"> </w:t>
      </w:r>
      <w:r>
        <w:rPr>
          <w:rFonts w:hint="default" w:ascii="Times New Roman" w:hAnsi="Times New Roman" w:cs="Times New Roman"/>
          <w:i/>
          <w:sz w:val="24"/>
          <w:szCs w:val="24"/>
        </w:rPr>
        <w:t>of</w:t>
      </w:r>
      <w:r>
        <w:rPr>
          <w:rFonts w:hint="default" w:ascii="Times New Roman" w:hAnsi="Times New Roman" w:cs="Times New Roman"/>
          <w:i/>
          <w:spacing w:val="-9"/>
          <w:sz w:val="24"/>
          <w:szCs w:val="24"/>
        </w:rPr>
        <w:t xml:space="preserve"> </w:t>
      </w:r>
      <w:r>
        <w:rPr>
          <w:rFonts w:hint="default" w:ascii="Times New Roman" w:hAnsi="Times New Roman" w:cs="Times New Roman"/>
          <w:i/>
          <w:sz w:val="24"/>
          <w:szCs w:val="24"/>
        </w:rPr>
        <w:t>Business</w:t>
      </w:r>
      <w:r>
        <w:rPr>
          <w:rFonts w:hint="default" w:ascii="Times New Roman" w:hAnsi="Times New Roman" w:cs="Times New Roman"/>
          <w:i/>
          <w:spacing w:val="-9"/>
          <w:sz w:val="24"/>
          <w:szCs w:val="24"/>
        </w:rPr>
        <w:t xml:space="preserve"> </w:t>
      </w:r>
      <w:r>
        <w:rPr>
          <w:rFonts w:hint="default" w:ascii="Times New Roman" w:hAnsi="Times New Roman" w:cs="Times New Roman"/>
          <w:i/>
          <w:sz w:val="24"/>
          <w:szCs w:val="24"/>
        </w:rPr>
        <w:t>Venturing</w:t>
      </w:r>
      <w:r>
        <w:rPr>
          <w:rFonts w:hint="default" w:ascii="Times New Roman" w:hAnsi="Times New Roman" w:cs="Times New Roman"/>
          <w:i/>
          <w:spacing w:val="-8"/>
          <w:sz w:val="24"/>
          <w:szCs w:val="24"/>
        </w:rPr>
        <w:t xml:space="preserve"> </w:t>
      </w:r>
      <w:r>
        <w:rPr>
          <w:rFonts w:hint="default" w:ascii="Times New Roman" w:hAnsi="Times New Roman" w:cs="Times New Roman"/>
          <w:sz w:val="24"/>
          <w:szCs w:val="24"/>
        </w:rPr>
        <w:t>26</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(5):</w:t>
      </w:r>
      <w:r>
        <w:rPr>
          <w:rFonts w:hint="default" w:ascii="Times New Roman" w:hAnsi="Times New Roman" w:cs="Times New Roman"/>
          <w:spacing w:val="-8"/>
          <w:sz w:val="24"/>
          <w:szCs w:val="24"/>
        </w:rPr>
        <w:t xml:space="preserve"> </w:t>
      </w:r>
      <w:r>
        <w:rPr>
          <w:rFonts w:hint="default" w:ascii="Times New Roman" w:hAnsi="Times New Roman" w:cs="Times New Roman"/>
          <w:spacing w:val="-2"/>
          <w:sz w:val="24"/>
          <w:szCs w:val="24"/>
        </w:rPr>
        <w:t>505–20.</w:t>
      </w:r>
    </w:p>
    <w:p>
      <w:pPr>
        <w:pStyle w:val="3"/>
        <w:spacing w:before="8"/>
        <w:rPr>
          <w:rFonts w:hint="default" w:ascii="Times New Roman" w:hAnsi="Times New Roman" w:cs="Times New Roman"/>
          <w:sz w:val="24"/>
          <w:szCs w:val="24"/>
        </w:rPr>
      </w:pPr>
    </w:p>
    <w:p>
      <w:pPr>
        <w:pStyle w:val="3"/>
        <w:ind w:left="840" w:right="312" w:hanging="720"/>
        <w:rPr>
          <w:rFonts w:hint="default" w:ascii="Times New Roman" w:hAnsi="Times New Roman" w:cs="Times New Roman"/>
          <w:sz w:val="24"/>
          <w:szCs w:val="24"/>
        </w:rPr>
      </w:pPr>
      <w:r>
        <w:rPr>
          <w:rFonts w:hint="default" w:ascii="Times New Roman" w:hAnsi="Times New Roman" w:cs="Times New Roman"/>
          <w:sz w:val="24"/>
          <w:szCs w:val="24"/>
        </w:rPr>
        <w:t>Li,</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Ponticelli.</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“Going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Bankrupt</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China.”</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NBER</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Working</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Paper</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27501,</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National Bureau of Economic Research, Cambridge, MA.</w:t>
      </w:r>
    </w:p>
    <w:p>
      <w:pPr>
        <w:pStyle w:val="3"/>
        <w:rPr>
          <w:rFonts w:hint="default" w:ascii="Times New Roman" w:hAnsi="Times New Roman" w:cs="Times New Roman"/>
          <w:sz w:val="24"/>
          <w:szCs w:val="24"/>
        </w:rPr>
      </w:pPr>
    </w:p>
    <w:p>
      <w:pPr>
        <w:pStyle w:val="3"/>
        <w:ind w:left="840" w:right="312" w:hanging="720"/>
        <w:rPr>
          <w:rFonts w:hint="default" w:ascii="Times New Roman" w:hAnsi="Times New Roman" w:cs="Times New Roman"/>
          <w:sz w:val="24"/>
          <w:szCs w:val="24"/>
        </w:rPr>
      </w:pPr>
      <w:r>
        <w:rPr>
          <w:rFonts w:hint="default" w:ascii="Times New Roman" w:hAnsi="Times New Roman" w:cs="Times New Roman"/>
          <w:sz w:val="24"/>
          <w:szCs w:val="24"/>
        </w:rPr>
        <w:t>McGowan,</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M.</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D.</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Andrews,</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V.</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Millot.</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2018.</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Walking</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Dead?</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Zombie</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Firms</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 xml:space="preserve">and Productivity Performance in OECD Countries.” </w:t>
      </w:r>
      <w:r>
        <w:rPr>
          <w:rFonts w:hint="default" w:ascii="Times New Roman" w:hAnsi="Times New Roman" w:cs="Times New Roman"/>
          <w:i/>
          <w:sz w:val="24"/>
          <w:szCs w:val="24"/>
        </w:rPr>
        <w:t xml:space="preserve">Economic Policy </w:t>
      </w:r>
      <w:r>
        <w:rPr>
          <w:rFonts w:hint="default" w:ascii="Times New Roman" w:hAnsi="Times New Roman" w:cs="Times New Roman"/>
          <w:sz w:val="24"/>
          <w:szCs w:val="24"/>
        </w:rPr>
        <w:t>33: 685–736.</w:t>
      </w:r>
    </w:p>
    <w:p>
      <w:pPr>
        <w:pStyle w:val="3"/>
        <w:spacing w:before="11"/>
        <w:rPr>
          <w:rFonts w:hint="default" w:ascii="Times New Roman" w:hAnsi="Times New Roman" w:cs="Times New Roman"/>
          <w:sz w:val="24"/>
          <w:szCs w:val="24"/>
        </w:rPr>
      </w:pPr>
    </w:p>
    <w:p>
      <w:pPr>
        <w:pStyle w:val="3"/>
        <w:ind w:left="840" w:right="254" w:hanging="720"/>
        <w:rPr>
          <w:rFonts w:hint="default" w:ascii="Times New Roman" w:hAnsi="Times New Roman" w:cs="Times New Roman"/>
          <w:sz w:val="24"/>
          <w:szCs w:val="24"/>
        </w:rPr>
      </w:pPr>
      <w:r>
        <w:rPr>
          <w:rFonts w:hint="default" w:ascii="Times New Roman" w:hAnsi="Times New Roman" w:cs="Times New Roman"/>
          <w:sz w:val="24"/>
          <w:szCs w:val="24"/>
        </w:rPr>
        <w:t>Menezes,</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2014.</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“Debt</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Resolution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Business</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Exit:</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Reform</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Credit,</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Entrepreneurship, and Growth.” World Bank Group Knowledge Note, World Bank, Washington, DC.</w:t>
      </w:r>
    </w:p>
    <w:p>
      <w:pPr>
        <w:pStyle w:val="3"/>
        <w:spacing w:before="11"/>
        <w:rPr>
          <w:rFonts w:hint="default" w:ascii="Times New Roman" w:hAnsi="Times New Roman" w:cs="Times New Roman"/>
          <w:sz w:val="24"/>
          <w:szCs w:val="24"/>
        </w:rPr>
      </w:pPr>
    </w:p>
    <w:p>
      <w:pPr>
        <w:spacing w:before="0"/>
        <w:ind w:left="840" w:right="312" w:hanging="720"/>
        <w:jc w:val="left"/>
        <w:rPr>
          <w:rFonts w:hint="default" w:ascii="Times New Roman" w:hAnsi="Times New Roman" w:cs="Times New Roman"/>
          <w:sz w:val="24"/>
          <w:szCs w:val="24"/>
        </w:rPr>
      </w:pPr>
      <w:r>
        <w:rPr>
          <w:rFonts w:hint="default" w:ascii="Times New Roman" w:hAnsi="Times New Roman" w:cs="Times New Roman"/>
          <w:sz w:val="24"/>
          <w:szCs w:val="24"/>
        </w:rPr>
        <w:t>Neira,</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2019.</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“Bankruptcy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Cross-Country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Differences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Productivity.”</w:t>
      </w:r>
      <w:r>
        <w:rPr>
          <w:rFonts w:hint="default" w:ascii="Times New Roman" w:hAnsi="Times New Roman" w:cs="Times New Roman"/>
          <w:spacing w:val="-4"/>
          <w:sz w:val="24"/>
          <w:szCs w:val="24"/>
        </w:rPr>
        <w:t xml:space="preserve"> </w:t>
      </w:r>
      <w:r>
        <w:rPr>
          <w:rFonts w:hint="default" w:ascii="Times New Roman" w:hAnsi="Times New Roman" w:cs="Times New Roman"/>
          <w:i/>
          <w:sz w:val="24"/>
          <w:szCs w:val="24"/>
        </w:rPr>
        <w:t>Journal</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of</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Economic Behavior &amp; Organization</w:t>
      </w:r>
      <w:r>
        <w:rPr>
          <w:rFonts w:hint="default" w:ascii="Times New Roman" w:hAnsi="Times New Roman" w:cs="Times New Roman"/>
          <w:sz w:val="24"/>
          <w:szCs w:val="24"/>
        </w:rPr>
        <w:t>157 (C): 359–81.</w:t>
      </w:r>
    </w:p>
    <w:p>
      <w:pPr>
        <w:pStyle w:val="3"/>
        <w:spacing w:before="2"/>
        <w:rPr>
          <w:rFonts w:hint="default" w:ascii="Times New Roman" w:hAnsi="Times New Roman" w:cs="Times New Roman"/>
          <w:sz w:val="24"/>
          <w:szCs w:val="24"/>
        </w:rPr>
      </w:pPr>
    </w:p>
    <w:p>
      <w:pPr>
        <w:pStyle w:val="3"/>
        <w:ind w:left="840" w:right="198" w:hanging="720"/>
        <w:jc w:val="both"/>
        <w:rPr>
          <w:rFonts w:hint="default" w:ascii="Times New Roman" w:hAnsi="Times New Roman" w:cs="Times New Roman"/>
          <w:sz w:val="24"/>
          <w:szCs w:val="24"/>
        </w:rPr>
      </w:pPr>
      <w:r>
        <w:rPr>
          <w:rFonts w:hint="default" w:ascii="Times New Roman" w:hAnsi="Times New Roman" w:cs="Times New Roman"/>
          <w:sz w:val="24"/>
          <w:szCs w:val="24"/>
        </w:rPr>
        <w:t>Polo,</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2011.</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“Preservation</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Value,</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Conflict</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Interests</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Reputation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‘Contractualist’</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Bankruptcy System.” Paper delivered at Reputation Symposium 2011 at the Oxford University Centre for Corporate Reputation.</w:t>
      </w:r>
    </w:p>
    <w:p>
      <w:pPr>
        <w:pStyle w:val="3"/>
        <w:spacing w:before="10"/>
        <w:rPr>
          <w:rFonts w:hint="default" w:ascii="Times New Roman" w:hAnsi="Times New Roman" w:cs="Times New Roman"/>
          <w:sz w:val="24"/>
          <w:szCs w:val="24"/>
        </w:rPr>
      </w:pPr>
    </w:p>
    <w:p>
      <w:pPr>
        <w:pStyle w:val="3"/>
        <w:ind w:left="840" w:right="195"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Robert-Tissot, F. 2012. “The Effects of a Reorganization on (Executory) Contracts: A Comparative Law and Policy Study [United States, France, Germany and Switzerland].” International Insolvency </w:t>
      </w:r>
      <w:r>
        <w:rPr>
          <w:rFonts w:hint="default" w:ascii="Times New Roman" w:hAnsi="Times New Roman" w:cs="Times New Roman"/>
          <w:spacing w:val="-2"/>
          <w:sz w:val="24"/>
          <w:szCs w:val="24"/>
        </w:rPr>
        <w:t>Institute.</w:t>
      </w:r>
    </w:p>
    <w:p>
      <w:pPr>
        <w:pStyle w:val="3"/>
        <w:spacing w:before="1"/>
        <w:rPr>
          <w:rFonts w:hint="default" w:ascii="Times New Roman" w:hAnsi="Times New Roman" w:cs="Times New Roman"/>
          <w:sz w:val="24"/>
          <w:szCs w:val="24"/>
        </w:rPr>
      </w:pP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rPr>
        <w:t>Rodano,</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Serrano-Velarde,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Tarantino.</w:t>
      </w:r>
      <w:r>
        <w:rPr>
          <w:rFonts w:hint="default" w:ascii="Times New Roman" w:hAnsi="Times New Roman" w:cs="Times New Roman"/>
          <w:spacing w:val="-1"/>
          <w:sz w:val="24"/>
          <w:szCs w:val="24"/>
        </w:rPr>
        <w:t xml:space="preserve"> </w:t>
      </w:r>
      <w:r>
        <w:rPr>
          <w:rFonts w:hint="default" w:ascii="Times New Roman" w:hAnsi="Times New Roman" w:cs="Times New Roman"/>
          <w:sz w:val="24"/>
          <w:szCs w:val="24"/>
        </w:rPr>
        <w:t>2016.</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“Bankruptcy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Law</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Bank</w:t>
      </w:r>
      <w:r>
        <w:rPr>
          <w:rFonts w:hint="default" w:ascii="Times New Roman" w:hAnsi="Times New Roman" w:cs="Times New Roman"/>
          <w:spacing w:val="-2"/>
          <w:sz w:val="24"/>
          <w:szCs w:val="24"/>
        </w:rPr>
        <w:t xml:space="preserve"> Financing.”</w:t>
      </w:r>
    </w:p>
    <w:p>
      <w:pPr>
        <w:spacing w:before="0" w:line="252" w:lineRule="exact"/>
        <w:ind w:left="840" w:right="0" w:firstLine="0"/>
        <w:jc w:val="left"/>
        <w:rPr>
          <w:rFonts w:hint="default" w:ascii="Times New Roman" w:hAnsi="Times New Roman" w:cs="Times New Roman"/>
          <w:sz w:val="24"/>
          <w:szCs w:val="24"/>
        </w:rPr>
      </w:pPr>
      <w:r>
        <w:rPr>
          <w:rFonts w:hint="default" w:ascii="Times New Roman" w:hAnsi="Times New Roman" w:cs="Times New Roman"/>
          <w:i/>
          <w:sz w:val="24"/>
          <w:szCs w:val="24"/>
        </w:rPr>
        <w:t>Journal</w:t>
      </w:r>
      <w:r>
        <w:rPr>
          <w:rFonts w:hint="default" w:ascii="Times New Roman" w:hAnsi="Times New Roman" w:cs="Times New Roman"/>
          <w:i/>
          <w:spacing w:val="-5"/>
          <w:sz w:val="24"/>
          <w:szCs w:val="24"/>
        </w:rPr>
        <w:t xml:space="preserve"> </w:t>
      </w:r>
      <w:r>
        <w:rPr>
          <w:rFonts w:hint="default" w:ascii="Times New Roman" w:hAnsi="Times New Roman" w:cs="Times New Roman"/>
          <w:i/>
          <w:sz w:val="24"/>
          <w:szCs w:val="24"/>
        </w:rPr>
        <w:t>of</w:t>
      </w:r>
      <w:r>
        <w:rPr>
          <w:rFonts w:hint="default" w:ascii="Times New Roman" w:hAnsi="Times New Roman" w:cs="Times New Roman"/>
          <w:i/>
          <w:spacing w:val="-3"/>
          <w:sz w:val="24"/>
          <w:szCs w:val="24"/>
        </w:rPr>
        <w:t xml:space="preserve"> </w:t>
      </w:r>
      <w:r>
        <w:rPr>
          <w:rFonts w:hint="default" w:ascii="Times New Roman" w:hAnsi="Times New Roman" w:cs="Times New Roman"/>
          <w:i/>
          <w:sz w:val="24"/>
          <w:szCs w:val="24"/>
        </w:rPr>
        <w:t>Financial</w:t>
      </w:r>
      <w:r>
        <w:rPr>
          <w:rFonts w:hint="default" w:ascii="Times New Roman" w:hAnsi="Times New Roman" w:cs="Times New Roman"/>
          <w:i/>
          <w:spacing w:val="-3"/>
          <w:sz w:val="24"/>
          <w:szCs w:val="24"/>
        </w:rPr>
        <w:t xml:space="preserve"> </w:t>
      </w:r>
      <w:r>
        <w:rPr>
          <w:rFonts w:hint="default" w:ascii="Times New Roman" w:hAnsi="Times New Roman" w:cs="Times New Roman"/>
          <w:i/>
          <w:sz w:val="24"/>
          <w:szCs w:val="24"/>
        </w:rPr>
        <w:t>Economics</w:t>
      </w:r>
      <w:r>
        <w:rPr>
          <w:rFonts w:hint="default" w:ascii="Times New Roman" w:hAnsi="Times New Roman" w:cs="Times New Roman"/>
          <w:i/>
          <w:spacing w:val="-2"/>
          <w:sz w:val="24"/>
          <w:szCs w:val="24"/>
        </w:rPr>
        <w:t xml:space="preserve"> </w:t>
      </w:r>
      <w:r>
        <w:rPr>
          <w:rFonts w:hint="default" w:ascii="Times New Roman" w:hAnsi="Times New Roman" w:cs="Times New Roman"/>
          <w:sz w:val="24"/>
          <w:szCs w:val="24"/>
        </w:rPr>
        <w:t>120</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(2):</w:t>
      </w:r>
      <w:r>
        <w:rPr>
          <w:rFonts w:hint="default" w:ascii="Times New Roman" w:hAnsi="Times New Roman" w:cs="Times New Roman"/>
          <w:spacing w:val="-2"/>
          <w:sz w:val="24"/>
          <w:szCs w:val="24"/>
        </w:rPr>
        <w:t xml:space="preserve"> 363–82.</w:t>
      </w:r>
    </w:p>
    <w:p>
      <w:pPr>
        <w:pStyle w:val="3"/>
        <w:spacing w:before="1"/>
        <w:rPr>
          <w:rFonts w:hint="default" w:ascii="Times New Roman" w:hAnsi="Times New Roman" w:cs="Times New Roman"/>
          <w:sz w:val="24"/>
          <w:szCs w:val="24"/>
        </w:rPr>
      </w:pPr>
    </w:p>
    <w:p>
      <w:pPr>
        <w:spacing w:before="0"/>
        <w:ind w:left="840" w:right="312" w:hanging="720"/>
        <w:jc w:val="left"/>
        <w:rPr>
          <w:rFonts w:hint="default" w:ascii="Times New Roman" w:hAnsi="Times New Roman" w:cs="Times New Roman"/>
          <w:sz w:val="24"/>
          <w:szCs w:val="24"/>
        </w:rPr>
      </w:pPr>
      <w:r>
        <w:rPr>
          <w:rFonts w:hint="default" w:ascii="Times New Roman" w:hAnsi="Times New Roman" w:cs="Times New Roman"/>
          <w:sz w:val="24"/>
          <w:szCs w:val="24"/>
        </w:rPr>
        <w:t xml:space="preserve">Tomasic, R. 2007. “Creditor Participation in Insolvency Proceedings.” In </w:t>
      </w:r>
      <w:r>
        <w:rPr>
          <w:rFonts w:hint="default" w:ascii="Times New Roman" w:hAnsi="Times New Roman" w:cs="Times New Roman"/>
          <w:i/>
          <w:sz w:val="24"/>
          <w:szCs w:val="24"/>
        </w:rPr>
        <w:t>Asian Insolvency Systems: Closing</w:t>
      </w:r>
      <w:r>
        <w:rPr>
          <w:rFonts w:hint="default" w:ascii="Times New Roman" w:hAnsi="Times New Roman" w:cs="Times New Roman"/>
          <w:i/>
          <w:spacing w:val="-4"/>
          <w:sz w:val="24"/>
          <w:szCs w:val="24"/>
        </w:rPr>
        <w:t xml:space="preserve"> </w:t>
      </w:r>
      <w:r>
        <w:rPr>
          <w:rFonts w:hint="default" w:ascii="Times New Roman" w:hAnsi="Times New Roman" w:cs="Times New Roman"/>
          <w:i/>
          <w:sz w:val="24"/>
          <w:szCs w:val="24"/>
        </w:rPr>
        <w:t>the</w:t>
      </w:r>
      <w:r>
        <w:rPr>
          <w:rFonts w:hint="default" w:ascii="Times New Roman" w:hAnsi="Times New Roman" w:cs="Times New Roman"/>
          <w:i/>
          <w:spacing w:val="-4"/>
          <w:sz w:val="24"/>
          <w:szCs w:val="24"/>
        </w:rPr>
        <w:t xml:space="preserve"> </w:t>
      </w:r>
      <w:r>
        <w:rPr>
          <w:rFonts w:hint="default" w:ascii="Times New Roman" w:hAnsi="Times New Roman" w:cs="Times New Roman"/>
          <w:i/>
          <w:sz w:val="24"/>
          <w:szCs w:val="24"/>
        </w:rPr>
        <w:t>Implementation</w:t>
      </w:r>
      <w:r>
        <w:rPr>
          <w:rFonts w:hint="default" w:ascii="Times New Roman" w:hAnsi="Times New Roman" w:cs="Times New Roman"/>
          <w:i/>
          <w:spacing w:val="-7"/>
          <w:sz w:val="24"/>
          <w:szCs w:val="24"/>
        </w:rPr>
        <w:t xml:space="preserve"> </w:t>
      </w:r>
      <w:r>
        <w:rPr>
          <w:rFonts w:hint="default" w:ascii="Times New Roman" w:hAnsi="Times New Roman" w:cs="Times New Roman"/>
          <w:i/>
          <w:sz w:val="24"/>
          <w:szCs w:val="24"/>
        </w:rPr>
        <w:t>Gap.</w:t>
      </w:r>
      <w:r>
        <w:rPr>
          <w:rFonts w:hint="default" w:ascii="Times New Roman" w:hAnsi="Times New Roman" w:cs="Times New Roman"/>
          <w:i/>
          <w:spacing w:val="-2"/>
          <w:sz w:val="24"/>
          <w:szCs w:val="24"/>
        </w:rPr>
        <w:t xml:space="preserve"> </w:t>
      </w:r>
      <w:r>
        <w:rPr>
          <w:rFonts w:hint="default" w:ascii="Times New Roman" w:hAnsi="Times New Roman" w:cs="Times New Roman"/>
          <w:sz w:val="24"/>
          <w:szCs w:val="24"/>
        </w:rPr>
        <w:t>Organisation</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Economic</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Co-operation</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 xml:space="preserve">Development </w:t>
      </w:r>
      <w:r>
        <w:rPr>
          <w:rFonts w:hint="default" w:ascii="Times New Roman" w:hAnsi="Times New Roman" w:cs="Times New Roman"/>
          <w:spacing w:val="-2"/>
          <w:sz w:val="24"/>
          <w:szCs w:val="24"/>
        </w:rPr>
        <w:t>(OECD).</w:t>
      </w:r>
    </w:p>
    <w:p>
      <w:pPr>
        <w:pStyle w:val="3"/>
        <w:spacing w:before="1"/>
        <w:rPr>
          <w:rFonts w:hint="default" w:ascii="Times New Roman" w:hAnsi="Times New Roman" w:cs="Times New Roman"/>
          <w:sz w:val="24"/>
          <w:szCs w:val="24"/>
        </w:rPr>
      </w:pPr>
    </w:p>
    <w:p>
      <w:pPr>
        <w:spacing w:before="0"/>
        <w:ind w:left="840" w:right="195"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UNCITRAL (United Nations Commission on International Trade Law). 2005. </w:t>
      </w:r>
      <w:r>
        <w:rPr>
          <w:rFonts w:hint="default" w:ascii="Times New Roman" w:hAnsi="Times New Roman" w:cs="Times New Roman"/>
          <w:i/>
          <w:sz w:val="24"/>
          <w:szCs w:val="24"/>
        </w:rPr>
        <w:t xml:space="preserve">Legislative Guide on Insolvency Law </w:t>
      </w:r>
      <w:r>
        <w:rPr>
          <w:rFonts w:hint="default" w:ascii="Times New Roman" w:hAnsi="Times New Roman" w:cs="Times New Roman"/>
          <w:sz w:val="24"/>
          <w:szCs w:val="24"/>
        </w:rPr>
        <w:t>(UNCITRAL Legislative Guide). New York.</w:t>
      </w:r>
    </w:p>
    <w:p>
      <w:pPr>
        <w:pStyle w:val="3"/>
        <w:spacing w:before="11"/>
        <w:rPr>
          <w:rFonts w:hint="default" w:ascii="Times New Roman" w:hAnsi="Times New Roman" w:cs="Times New Roman"/>
          <w:sz w:val="24"/>
          <w:szCs w:val="24"/>
        </w:rPr>
      </w:pPr>
    </w:p>
    <w:p>
      <w:pPr>
        <w:pStyle w:val="3"/>
        <w:spacing w:line="252" w:lineRule="exact"/>
        <w:ind w:left="120"/>
        <w:rPr>
          <w:rFonts w:hint="default" w:ascii="Times New Roman" w:hAnsi="Times New Roman" w:cs="Times New Roman"/>
          <w:i/>
          <w:sz w:val="24"/>
          <w:szCs w:val="24"/>
        </w:rPr>
      </w:pPr>
      <w:r>
        <w:rPr>
          <w:rFonts w:hint="default" w:ascii="Times New Roman" w:hAnsi="Times New Roman" w:cs="Times New Roman"/>
          <w:spacing w:val="-2"/>
          <w:sz w:val="24"/>
          <w:szCs w:val="24"/>
        </w:rPr>
        <w:t>Velicogna,</w:t>
      </w:r>
      <w:r>
        <w:rPr>
          <w:rFonts w:hint="default" w:ascii="Times New Roman" w:hAnsi="Times New Roman" w:cs="Times New Roman"/>
          <w:spacing w:val="-9"/>
          <w:sz w:val="24"/>
          <w:szCs w:val="24"/>
        </w:rPr>
        <w:t xml:space="preserve"> </w:t>
      </w:r>
      <w:r>
        <w:rPr>
          <w:rFonts w:hint="default" w:ascii="Times New Roman" w:hAnsi="Times New Roman" w:cs="Times New Roman"/>
          <w:spacing w:val="-2"/>
          <w:sz w:val="24"/>
          <w:szCs w:val="24"/>
        </w:rPr>
        <w:t>M.</w:t>
      </w:r>
      <w:r>
        <w:rPr>
          <w:rFonts w:hint="default" w:ascii="Times New Roman" w:hAnsi="Times New Roman" w:cs="Times New Roman"/>
          <w:spacing w:val="-4"/>
          <w:sz w:val="24"/>
          <w:szCs w:val="24"/>
        </w:rPr>
        <w:t xml:space="preserve"> </w:t>
      </w:r>
      <w:r>
        <w:rPr>
          <w:rFonts w:hint="default" w:ascii="Times New Roman" w:hAnsi="Times New Roman" w:cs="Times New Roman"/>
          <w:spacing w:val="-2"/>
          <w:sz w:val="24"/>
          <w:szCs w:val="24"/>
        </w:rPr>
        <w:t>2007.</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"Justice</w:t>
      </w:r>
      <w:r>
        <w:rPr>
          <w:rFonts w:hint="default" w:ascii="Times New Roman" w:hAnsi="Times New Roman" w:cs="Times New Roman"/>
          <w:spacing w:val="-4"/>
          <w:sz w:val="24"/>
          <w:szCs w:val="24"/>
        </w:rPr>
        <w:t xml:space="preserve"> </w:t>
      </w:r>
      <w:r>
        <w:rPr>
          <w:rFonts w:hint="default" w:ascii="Times New Roman" w:hAnsi="Times New Roman" w:cs="Times New Roman"/>
          <w:spacing w:val="-2"/>
          <w:sz w:val="24"/>
          <w:szCs w:val="24"/>
        </w:rPr>
        <w:t>Systems</w:t>
      </w:r>
      <w:r>
        <w:rPr>
          <w:rFonts w:hint="default" w:ascii="Times New Roman" w:hAnsi="Times New Roman" w:cs="Times New Roman"/>
          <w:spacing w:val="-4"/>
          <w:sz w:val="24"/>
          <w:szCs w:val="24"/>
        </w:rPr>
        <w:t xml:space="preserve"> </w:t>
      </w:r>
      <w:r>
        <w:rPr>
          <w:rFonts w:hint="default" w:ascii="Times New Roman" w:hAnsi="Times New Roman" w:cs="Times New Roman"/>
          <w:spacing w:val="-2"/>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pacing w:val="-2"/>
          <w:sz w:val="24"/>
          <w:szCs w:val="24"/>
        </w:rPr>
        <w:t>ICT—What</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Can</w:t>
      </w:r>
      <w:r>
        <w:rPr>
          <w:rFonts w:hint="default" w:ascii="Times New Roman" w:hAnsi="Times New Roman" w:cs="Times New Roman"/>
          <w:spacing w:val="-3"/>
          <w:sz w:val="24"/>
          <w:szCs w:val="24"/>
        </w:rPr>
        <w:t xml:space="preserve"> </w:t>
      </w:r>
      <w:r>
        <w:rPr>
          <w:rFonts w:hint="default" w:ascii="Times New Roman" w:hAnsi="Times New Roman" w:cs="Times New Roman"/>
          <w:spacing w:val="-2"/>
          <w:sz w:val="24"/>
          <w:szCs w:val="24"/>
        </w:rPr>
        <w:t>Be</w:t>
      </w:r>
      <w:r>
        <w:rPr>
          <w:rFonts w:hint="default" w:ascii="Times New Roman" w:hAnsi="Times New Roman" w:cs="Times New Roman"/>
          <w:spacing w:val="-3"/>
          <w:sz w:val="24"/>
          <w:szCs w:val="24"/>
        </w:rPr>
        <w:t xml:space="preserve"> </w:t>
      </w:r>
      <w:r>
        <w:rPr>
          <w:rFonts w:hint="default" w:ascii="Times New Roman" w:hAnsi="Times New Roman" w:cs="Times New Roman"/>
          <w:spacing w:val="-2"/>
          <w:sz w:val="24"/>
          <w:szCs w:val="24"/>
        </w:rPr>
        <w:t>Learned</w:t>
      </w:r>
      <w:r>
        <w:rPr>
          <w:rFonts w:hint="default" w:ascii="Times New Roman" w:hAnsi="Times New Roman" w:cs="Times New Roman"/>
          <w:spacing w:val="-6"/>
          <w:sz w:val="24"/>
          <w:szCs w:val="24"/>
        </w:rPr>
        <w:t xml:space="preserve"> </w:t>
      </w:r>
      <w:r>
        <w:rPr>
          <w:rFonts w:hint="default" w:ascii="Times New Roman" w:hAnsi="Times New Roman" w:cs="Times New Roman"/>
          <w:spacing w:val="-2"/>
          <w:sz w:val="24"/>
          <w:szCs w:val="24"/>
        </w:rPr>
        <w:t>from</w:t>
      </w:r>
      <w:r>
        <w:rPr>
          <w:rFonts w:hint="default" w:ascii="Times New Roman" w:hAnsi="Times New Roman" w:cs="Times New Roman"/>
          <w:spacing w:val="-3"/>
          <w:sz w:val="24"/>
          <w:szCs w:val="24"/>
        </w:rPr>
        <w:t xml:space="preserve"> </w:t>
      </w:r>
      <w:r>
        <w:rPr>
          <w:rFonts w:hint="default" w:ascii="Times New Roman" w:hAnsi="Times New Roman" w:cs="Times New Roman"/>
          <w:spacing w:val="-2"/>
          <w:sz w:val="24"/>
          <w:szCs w:val="24"/>
        </w:rPr>
        <w:t>Europe?”</w:t>
      </w:r>
      <w:r>
        <w:rPr>
          <w:rFonts w:hint="default" w:ascii="Times New Roman" w:hAnsi="Times New Roman" w:cs="Times New Roman"/>
          <w:spacing w:val="-3"/>
          <w:sz w:val="24"/>
          <w:szCs w:val="24"/>
        </w:rPr>
        <w:t xml:space="preserve"> </w:t>
      </w:r>
      <w:r>
        <w:rPr>
          <w:rFonts w:hint="default" w:ascii="Times New Roman" w:hAnsi="Times New Roman" w:cs="Times New Roman"/>
          <w:i/>
          <w:spacing w:val="-2"/>
          <w:sz w:val="24"/>
          <w:szCs w:val="24"/>
        </w:rPr>
        <w:t>Utrecht Law</w:t>
      </w:r>
      <w:r>
        <w:rPr>
          <w:rFonts w:hint="default" w:ascii="Times New Roman" w:hAnsi="Times New Roman" w:cs="Times New Roman"/>
          <w:i/>
          <w:spacing w:val="-6"/>
          <w:sz w:val="24"/>
          <w:szCs w:val="24"/>
        </w:rPr>
        <w:t xml:space="preserve"> </w:t>
      </w:r>
      <w:r>
        <w:rPr>
          <w:rFonts w:hint="default" w:ascii="Times New Roman" w:hAnsi="Times New Roman" w:cs="Times New Roman"/>
          <w:i/>
          <w:spacing w:val="-2"/>
          <w:sz w:val="24"/>
          <w:szCs w:val="24"/>
        </w:rPr>
        <w:t>Review</w:t>
      </w:r>
    </w:p>
    <w:p>
      <w:pPr>
        <w:pStyle w:val="3"/>
        <w:spacing w:line="252" w:lineRule="exact"/>
        <w:ind w:left="840"/>
        <w:rPr>
          <w:rFonts w:hint="default" w:ascii="Times New Roman" w:hAnsi="Times New Roman" w:cs="Times New Roman"/>
          <w:sz w:val="24"/>
          <w:szCs w:val="24"/>
        </w:rPr>
      </w:pPr>
      <w:r>
        <w:rPr>
          <w:rFonts w:hint="default" w:ascii="Times New Roman" w:hAnsi="Times New Roman" w:cs="Times New Roman"/>
          <w:sz w:val="24"/>
          <w:szCs w:val="24"/>
        </w:rPr>
        <w:t>3</w:t>
      </w:r>
      <w:r>
        <w:rPr>
          <w:rFonts w:hint="default" w:ascii="Times New Roman" w:hAnsi="Times New Roman" w:cs="Times New Roman"/>
          <w:spacing w:val="-1"/>
          <w:sz w:val="24"/>
          <w:szCs w:val="24"/>
        </w:rPr>
        <w:t xml:space="preserve"> </w:t>
      </w:r>
      <w:r>
        <w:rPr>
          <w:rFonts w:hint="default" w:ascii="Times New Roman" w:hAnsi="Times New Roman" w:cs="Times New Roman"/>
          <w:sz w:val="24"/>
          <w:szCs w:val="24"/>
        </w:rPr>
        <w:t xml:space="preserve">(1): </w:t>
      </w:r>
      <w:r>
        <w:rPr>
          <w:rFonts w:hint="default" w:ascii="Times New Roman" w:hAnsi="Times New Roman" w:cs="Times New Roman"/>
          <w:spacing w:val="-2"/>
          <w:sz w:val="24"/>
          <w:szCs w:val="24"/>
        </w:rPr>
        <w:t>129–47.</w:t>
      </w:r>
    </w:p>
    <w:p>
      <w:pPr>
        <w:pStyle w:val="3"/>
        <w:rPr>
          <w:rFonts w:hint="default" w:ascii="Times New Roman" w:hAnsi="Times New Roman" w:cs="Times New Roman"/>
          <w:sz w:val="24"/>
          <w:szCs w:val="24"/>
        </w:rPr>
      </w:pPr>
    </w:p>
    <w:p>
      <w:pPr>
        <w:spacing w:before="0"/>
        <w:ind w:left="120" w:right="0" w:firstLine="0"/>
        <w:jc w:val="left"/>
        <w:rPr>
          <w:rFonts w:hint="default" w:ascii="Times New Roman" w:hAnsi="Times New Roman" w:cs="Times New Roman"/>
          <w:sz w:val="24"/>
          <w:szCs w:val="24"/>
        </w:rPr>
      </w:pPr>
      <w:r>
        <w:rPr>
          <w:rFonts w:hint="default" w:ascii="Times New Roman" w:hAnsi="Times New Roman" w:cs="Times New Roman"/>
          <w:sz w:val="24"/>
          <w:szCs w:val="24"/>
        </w:rPr>
        <w:t>World</w:t>
      </w:r>
      <w:r>
        <w:rPr>
          <w:rFonts w:hint="default" w:ascii="Times New Roman" w:hAnsi="Times New Roman" w:cs="Times New Roman"/>
          <w:spacing w:val="25"/>
          <w:sz w:val="24"/>
          <w:szCs w:val="24"/>
        </w:rPr>
        <w:t xml:space="preserve"> </w:t>
      </w:r>
      <w:r>
        <w:rPr>
          <w:rFonts w:hint="default" w:ascii="Times New Roman" w:hAnsi="Times New Roman" w:cs="Times New Roman"/>
          <w:sz w:val="24"/>
          <w:szCs w:val="24"/>
        </w:rPr>
        <w:t>Bank.</w:t>
      </w:r>
      <w:r>
        <w:rPr>
          <w:rFonts w:hint="default" w:ascii="Times New Roman" w:hAnsi="Times New Roman" w:cs="Times New Roman"/>
          <w:spacing w:val="27"/>
          <w:sz w:val="24"/>
          <w:szCs w:val="24"/>
        </w:rPr>
        <w:t xml:space="preserve"> </w:t>
      </w:r>
      <w:r>
        <w:rPr>
          <w:rFonts w:hint="default" w:ascii="Times New Roman" w:hAnsi="Times New Roman" w:cs="Times New Roman"/>
          <w:sz w:val="24"/>
          <w:szCs w:val="24"/>
        </w:rPr>
        <w:t>2021.</w:t>
      </w:r>
      <w:r>
        <w:rPr>
          <w:rFonts w:hint="default" w:ascii="Times New Roman" w:hAnsi="Times New Roman" w:cs="Times New Roman"/>
          <w:spacing w:val="28"/>
          <w:sz w:val="24"/>
          <w:szCs w:val="24"/>
        </w:rPr>
        <w:t xml:space="preserve"> </w:t>
      </w:r>
      <w:r>
        <w:rPr>
          <w:rFonts w:hint="default" w:ascii="Times New Roman" w:hAnsi="Times New Roman" w:cs="Times New Roman"/>
          <w:i/>
          <w:sz w:val="24"/>
          <w:szCs w:val="24"/>
        </w:rPr>
        <w:t>Principles</w:t>
      </w:r>
      <w:r>
        <w:rPr>
          <w:rFonts w:hint="default" w:ascii="Times New Roman" w:hAnsi="Times New Roman" w:cs="Times New Roman"/>
          <w:i/>
          <w:spacing w:val="25"/>
          <w:sz w:val="24"/>
          <w:szCs w:val="24"/>
        </w:rPr>
        <w:t xml:space="preserve"> </w:t>
      </w:r>
      <w:r>
        <w:rPr>
          <w:rFonts w:hint="default" w:ascii="Times New Roman" w:hAnsi="Times New Roman" w:cs="Times New Roman"/>
          <w:i/>
          <w:sz w:val="24"/>
          <w:szCs w:val="24"/>
        </w:rPr>
        <w:t>for</w:t>
      </w:r>
      <w:r>
        <w:rPr>
          <w:rFonts w:hint="default" w:ascii="Times New Roman" w:hAnsi="Times New Roman" w:cs="Times New Roman"/>
          <w:i/>
          <w:spacing w:val="27"/>
          <w:sz w:val="24"/>
          <w:szCs w:val="24"/>
        </w:rPr>
        <w:t xml:space="preserve"> </w:t>
      </w:r>
      <w:r>
        <w:rPr>
          <w:rFonts w:hint="default" w:ascii="Times New Roman" w:hAnsi="Times New Roman" w:cs="Times New Roman"/>
          <w:i/>
          <w:sz w:val="24"/>
          <w:szCs w:val="24"/>
        </w:rPr>
        <w:t>Effective</w:t>
      </w:r>
      <w:r>
        <w:rPr>
          <w:rFonts w:hint="default" w:ascii="Times New Roman" w:hAnsi="Times New Roman" w:cs="Times New Roman"/>
          <w:i/>
          <w:spacing w:val="28"/>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i/>
          <w:spacing w:val="27"/>
          <w:sz w:val="24"/>
          <w:szCs w:val="24"/>
        </w:rPr>
        <w:t xml:space="preserve"> </w:t>
      </w:r>
      <w:r>
        <w:rPr>
          <w:rFonts w:hint="default" w:ascii="Times New Roman" w:hAnsi="Times New Roman" w:cs="Times New Roman"/>
          <w:i/>
          <w:sz w:val="24"/>
          <w:szCs w:val="24"/>
        </w:rPr>
        <w:t>and</w:t>
      </w:r>
      <w:r>
        <w:rPr>
          <w:rFonts w:hint="default" w:ascii="Times New Roman" w:hAnsi="Times New Roman" w:cs="Times New Roman"/>
          <w:i/>
          <w:spacing w:val="28"/>
          <w:sz w:val="24"/>
          <w:szCs w:val="24"/>
        </w:rPr>
        <w:t xml:space="preserve"> </w:t>
      </w:r>
      <w:r>
        <w:rPr>
          <w:rFonts w:hint="default" w:ascii="Times New Roman" w:hAnsi="Times New Roman" w:cs="Times New Roman"/>
          <w:i/>
          <w:sz w:val="24"/>
          <w:szCs w:val="24"/>
        </w:rPr>
        <w:t>Creditor/Debtor</w:t>
      </w:r>
      <w:r>
        <w:rPr>
          <w:rFonts w:hint="default" w:ascii="Times New Roman" w:hAnsi="Times New Roman" w:cs="Times New Roman"/>
          <w:i/>
          <w:spacing w:val="27"/>
          <w:sz w:val="24"/>
          <w:szCs w:val="24"/>
        </w:rPr>
        <w:t xml:space="preserve"> </w:t>
      </w:r>
      <w:r>
        <w:rPr>
          <w:rFonts w:hint="default" w:ascii="Times New Roman" w:hAnsi="Times New Roman" w:cs="Times New Roman"/>
          <w:i/>
          <w:sz w:val="24"/>
          <w:szCs w:val="24"/>
        </w:rPr>
        <w:t>Regimes</w:t>
      </w:r>
      <w:r>
        <w:rPr>
          <w:rFonts w:hint="default" w:ascii="Times New Roman" w:hAnsi="Times New Roman" w:cs="Times New Roman"/>
          <w:i/>
          <w:spacing w:val="32"/>
          <w:sz w:val="24"/>
          <w:szCs w:val="24"/>
        </w:rPr>
        <w:t xml:space="preserve"> </w:t>
      </w:r>
      <w:r>
        <w:rPr>
          <w:rFonts w:hint="default" w:ascii="Times New Roman" w:hAnsi="Times New Roman" w:cs="Times New Roman"/>
          <w:sz w:val="24"/>
          <w:szCs w:val="24"/>
        </w:rPr>
        <w:t>(ICR</w:t>
      </w:r>
      <w:r>
        <w:rPr>
          <w:rFonts w:hint="default" w:ascii="Times New Roman" w:hAnsi="Times New Roman" w:cs="Times New Roman"/>
          <w:spacing w:val="27"/>
          <w:sz w:val="24"/>
          <w:szCs w:val="24"/>
        </w:rPr>
        <w:t xml:space="preserve"> </w:t>
      </w:r>
      <w:r>
        <w:rPr>
          <w:rFonts w:hint="default" w:ascii="Times New Roman" w:hAnsi="Times New Roman" w:cs="Times New Roman"/>
          <w:spacing w:val="-2"/>
          <w:sz w:val="24"/>
          <w:szCs w:val="24"/>
        </w:rPr>
        <w:t>Standards).</w:t>
      </w:r>
    </w:p>
    <w:p>
      <w:pPr>
        <w:pStyle w:val="3"/>
        <w:spacing w:before="2"/>
        <w:ind w:left="840"/>
        <w:rPr>
          <w:rFonts w:hint="default" w:ascii="Times New Roman" w:hAnsi="Times New Roman" w:cs="Times New Roman"/>
          <w:sz w:val="24"/>
          <w:szCs w:val="24"/>
        </w:rPr>
      </w:pPr>
      <w:r>
        <w:rPr>
          <w:rFonts w:hint="default" w:ascii="Times New Roman" w:hAnsi="Times New Roman" w:cs="Times New Roman"/>
          <w:sz w:val="24"/>
          <w:szCs w:val="24"/>
        </w:rPr>
        <w:t>Washington,</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DC:</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World</w:t>
      </w:r>
      <w:r>
        <w:rPr>
          <w:rFonts w:hint="default" w:ascii="Times New Roman" w:hAnsi="Times New Roman" w:cs="Times New Roman"/>
          <w:spacing w:val="-3"/>
          <w:sz w:val="24"/>
          <w:szCs w:val="24"/>
        </w:rPr>
        <w:t xml:space="preserve"> </w:t>
      </w:r>
      <w:r>
        <w:rPr>
          <w:rFonts w:hint="default" w:ascii="Times New Roman" w:hAnsi="Times New Roman" w:cs="Times New Roman"/>
          <w:spacing w:val="-2"/>
          <w:sz w:val="24"/>
          <w:szCs w:val="24"/>
        </w:rPr>
        <w:t>Bank.</w:t>
      </w:r>
    </w:p>
    <w:p>
      <w:pPr>
        <w:spacing w:after="0"/>
        <w:rPr>
          <w:rFonts w:hint="default" w:ascii="Times New Roman" w:hAnsi="Times New Roman" w:cs="Times New Roman"/>
          <w:sz w:val="24"/>
          <w:szCs w:val="24"/>
        </w:rPr>
        <w:sectPr>
          <w:pgSz w:w="12240" w:h="15840"/>
          <w:pgMar w:top="1500" w:right="1240" w:bottom="280" w:left="1320" w:header="720" w:footer="720" w:gutter="0"/>
          <w:cols w:space="720" w:num="1"/>
        </w:sectPr>
      </w:pPr>
    </w:p>
    <w:p>
      <w:pPr>
        <w:pStyle w:val="3"/>
        <w:spacing w:before="2"/>
        <w:rPr>
          <w:rFonts w:hint="default" w:ascii="Times New Roman" w:hAnsi="Times New Roman" w:cs="Times New Roman"/>
          <w:sz w:val="24"/>
          <w:szCs w:val="24"/>
        </w:rPr>
      </w:pPr>
    </w:p>
    <w:p>
      <w:pPr>
        <w:pStyle w:val="3"/>
        <w:spacing w:line="20" w:lineRule="exact"/>
        <w:ind w:left="120"/>
        <w:rPr>
          <w:rFonts w:hint="default" w:ascii="Times New Roman" w:hAnsi="Times New Roman" w:cs="Times New Roman"/>
          <w:sz w:val="24"/>
          <w:szCs w:val="24"/>
        </w:rPr>
      </w:pPr>
      <w:r>
        <w:rPr>
          <w:rFonts w:hint="default" w:ascii="Times New Roman" w:hAnsi="Times New Roman" w:cs="Times New Roman"/>
          <w:sz w:val="24"/>
          <w:szCs w:val="24"/>
        </w:rPr>
        <mc:AlternateContent>
          <mc:Choice Requires="wpg">
            <w:drawing>
              <wp:inline distT="0" distB="0" distL="114300" distR="114300">
                <wp:extent cx="1829435" cy="9525"/>
                <wp:effectExtent l="0" t="0" r="0" b="0"/>
                <wp:docPr id="4" name="组合 4"/>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3" name="矩形 3"/>
                        <wps:cNvSpPr/>
                        <wps:spPr>
                          <a:xfrm>
                            <a:off x="0" y="0"/>
                            <a:ext cx="2881"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yg2FT1AAAAAMBAAAPAAAAAAAAAAEAIAAAACIAAABkcnMv&#10;ZG93bnJldi54bWxQSwECFAAUAAAACACHTuJAcDOqVQcCAAB+BAAADgAAAAAAAAABACAAAAAjAQAA&#10;ZHJzL2Uyb0RvYy54bWxQSwUGAAAAAAYABgBZAQAAnAUAAAAA&#10;">
                <o:lock v:ext="edit" aspectratio="f"/>
                <v:rect id="_x0000_s1026" o:spid="_x0000_s1026" o:spt="1" style="position:absolute;left:0;top:0;height:15;width:2881;"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3"/>
        <w:spacing w:before="94"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Becker</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Oehmke</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(2021);</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Ellias,</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Iverson,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Roe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(2020);</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Greenwood,</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Iverson,</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Thesmar</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pacing w:val="-2"/>
          <w:sz w:val="24"/>
          <w:szCs w:val="24"/>
          <w:vertAlign w:val="baseline"/>
        </w:rPr>
        <w:t>(2020).</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Becker</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Ivashina</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(2021);</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Consolo,</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Malfa,</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Pierluigi</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(2018);</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Menezes</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pacing w:val="-2"/>
          <w:sz w:val="24"/>
          <w:szCs w:val="24"/>
          <w:vertAlign w:val="baseline"/>
        </w:rPr>
        <w:t>(2014).</w:t>
      </w:r>
    </w:p>
    <w:p>
      <w:pPr>
        <w:pStyle w:val="3"/>
        <w:spacing w:before="1"/>
        <w:ind w:left="120" w:right="176"/>
        <w:rPr>
          <w:rFonts w:hint="default" w:ascii="Times New Roman" w:hAnsi="Times New Roman" w:cs="Times New Roman"/>
          <w:sz w:val="24"/>
          <w:szCs w:val="24"/>
        </w:rPr>
      </w:pPr>
      <w:r>
        <w:rPr>
          <w:rFonts w:hint="default" w:ascii="Times New Roman" w:hAnsi="Times New Roman" w:cs="Times New Roman"/>
          <w:sz w:val="24"/>
          <w:szCs w:val="24"/>
          <w:vertAlign w:val="superscript"/>
        </w:rPr>
        <w:t>3</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Carcea</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et</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al.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(2015);</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Cirmizi,</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Klapper,</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Uttamchandani</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(2012);</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El</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Ghoul,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Fu,</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Guedhami</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(2021). A study of 19</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years of bankruptcy data in 29</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countries</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(Lee et al. 2011) shows</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that entrepreneur-friendly bankruptcy laws are significantly correlated with the level of entrepreneurship development as measured by the rate of new firm entry.</w:t>
      </w:r>
    </w:p>
    <w:p>
      <w:pPr>
        <w:pStyle w:val="3"/>
        <w:spacing w:line="251"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4</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5"/>
          <w:sz w:val="24"/>
          <w:szCs w:val="24"/>
          <w:vertAlign w:val="baseline"/>
        </w:rPr>
        <w:t>9.</w:t>
      </w:r>
    </w:p>
    <w:p>
      <w:pPr>
        <w:pStyle w:val="3"/>
        <w:spacing w:before="1"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5</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Białkowski</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(2018);</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Hemingway</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(2020);</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McGowan,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Andrews,</w:t>
      </w:r>
      <w:r>
        <w:rPr>
          <w:rFonts w:hint="default" w:ascii="Times New Roman" w:hAnsi="Times New Roman" w:cs="Times New Roman"/>
          <w:spacing w:val="-7"/>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Millot</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(2018);</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Neira</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(2019);</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pacing w:val="-4"/>
          <w:sz w:val="24"/>
          <w:szCs w:val="24"/>
          <w:vertAlign w:val="baseline"/>
        </w:rPr>
        <w:t>Polo</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pacing w:val="-2"/>
          <w:sz w:val="24"/>
          <w:szCs w:val="24"/>
        </w:rPr>
        <w:t>(2011).</w:t>
      </w:r>
    </w:p>
    <w:p>
      <w:pPr>
        <w:pStyle w:val="3"/>
        <w:spacing w:before="2"/>
        <w:ind w:left="120" w:right="254"/>
        <w:rPr>
          <w:rFonts w:hint="default" w:ascii="Times New Roman" w:hAnsi="Times New Roman" w:cs="Times New Roman"/>
          <w:sz w:val="24"/>
          <w:szCs w:val="24"/>
        </w:rPr>
      </w:pPr>
      <w:r>
        <w:rPr>
          <w:rFonts w:hint="default" w:ascii="Times New Roman" w:hAnsi="Times New Roman" w:cs="Times New Roman"/>
          <w:sz w:val="24"/>
          <w:szCs w:val="24"/>
          <w:vertAlign w:val="superscript"/>
        </w:rPr>
        <w:t>6</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A</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recent study</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on</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Italy</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"https://ideas.repec.org/p/bdi/wptemi/td_1287_20.html"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vertAlign w:val="baseline"/>
        </w:rPr>
        <w:t>González-Torres</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pacing w:val="-1"/>
          <w:sz w:val="24"/>
          <w:szCs w:val="24"/>
          <w:vertAlign w:val="baseline"/>
        </w:rPr>
        <w:fldChar w:fldCharType="end"/>
      </w:r>
      <w:r>
        <w:rPr>
          <w:rFonts w:hint="default" w:ascii="Times New Roman" w:hAnsi="Times New Roman" w:cs="Times New Roman"/>
          <w:sz w:val="24"/>
          <w:szCs w:val="24"/>
          <w:vertAlign w:val="baseline"/>
        </w:rPr>
        <w:t>Rodano</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2020)</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shows</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that an</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increase</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in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recovery</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rate</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and a reduction in the length of proceedings would increase average productivity by about 2 percent.</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7</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ICR</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Standards,</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at</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Introduction</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(World</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Bank</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pacing w:val="-2"/>
          <w:sz w:val="24"/>
          <w:szCs w:val="24"/>
          <w:vertAlign w:val="baseline"/>
        </w:rPr>
        <w:t>2021).</w:t>
      </w:r>
    </w:p>
    <w:p>
      <w:pPr>
        <w:pStyle w:val="3"/>
        <w:spacing w:before="1"/>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8</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See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on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Insolvency</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Law</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(Part</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IV)</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(UNICTRAL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on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Directors’ obligations in the period approaching insolvency.</w:t>
      </w:r>
    </w:p>
    <w:p>
      <w:pPr>
        <w:pStyle w:val="3"/>
        <w:spacing w:before="1"/>
        <w:ind w:left="120" w:right="178"/>
        <w:rPr>
          <w:rFonts w:hint="default" w:ascii="Times New Roman" w:hAnsi="Times New Roman" w:cs="Times New Roman"/>
          <w:sz w:val="24"/>
          <w:szCs w:val="24"/>
        </w:rPr>
      </w:pPr>
      <w:r>
        <w:rPr>
          <w:rFonts w:hint="default" w:ascii="Times New Roman" w:hAnsi="Times New Roman" w:cs="Times New Roman"/>
          <w:sz w:val="24"/>
          <w:szCs w:val="24"/>
          <w:vertAlign w:val="superscript"/>
        </w:rPr>
        <w:t>9</w:t>
      </w:r>
      <w:r>
        <w:rPr>
          <w:rFonts w:hint="default" w:ascii="Times New Roman" w:hAnsi="Times New Roman" w:cs="Times New Roman"/>
          <w:spacing w:val="-14"/>
          <w:sz w:val="24"/>
          <w:szCs w:val="24"/>
          <w:vertAlign w:val="baseline"/>
        </w:rPr>
        <w:t xml:space="preserve"> </w:t>
      </w:r>
      <w:r>
        <w:rPr>
          <w:rFonts w:hint="default" w:ascii="Times New Roman" w:hAnsi="Times New Roman" w:cs="Times New Roman"/>
          <w:sz w:val="24"/>
          <w:szCs w:val="24"/>
          <w:vertAlign w:val="baseline"/>
        </w:rPr>
        <w:t>For the purposes of this indicator, an out-of-court workout is defined as an agreement made between a debtor and its creditors, with minimal or no court involvement, with the aim of easing the debtor’s debt- servicing burden, so that it can maintain its business activities and value. Guidelines introduced by any administrative</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authority</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do</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not</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entail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any</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expectation</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or</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requirements</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that</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workout</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participants</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commit</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in a legally binding manner to follow them.</w:t>
      </w:r>
    </w:p>
    <w:p>
      <w:pPr>
        <w:spacing w:before="0"/>
        <w:ind w:left="120" w:right="312" w:firstLine="0"/>
        <w:jc w:val="left"/>
        <w:rPr>
          <w:rFonts w:hint="default" w:ascii="Times New Roman" w:hAnsi="Times New Roman" w:cs="Times New Roman"/>
          <w:sz w:val="24"/>
          <w:szCs w:val="24"/>
        </w:rPr>
      </w:pPr>
      <w:r>
        <w:rPr>
          <w:rFonts w:hint="default" w:ascii="Times New Roman" w:hAnsi="Times New Roman" w:cs="Times New Roman"/>
          <w:sz w:val="24"/>
          <w:szCs w:val="24"/>
          <w:vertAlign w:val="superscript"/>
        </w:rPr>
        <w:t>10</w:t>
      </w:r>
      <w:r>
        <w:rPr>
          <w:rFonts w:hint="default" w:ascii="Times New Roman" w:hAnsi="Times New Roman" w:cs="Times New Roman"/>
          <w:sz w:val="24"/>
          <w:szCs w:val="24"/>
          <w:vertAlign w:val="baseline"/>
        </w:rPr>
        <w:t xml:space="preserve"> ICR Standards, C4, Applicability and Accessibility (World Bank 2021). See World Bank. 2021. </w:t>
      </w:r>
      <w:r>
        <w:rPr>
          <w:rFonts w:hint="default" w:ascii="Times New Roman" w:hAnsi="Times New Roman" w:cs="Times New Roman"/>
          <w:i/>
          <w:sz w:val="24"/>
          <w:szCs w:val="24"/>
          <w:vertAlign w:val="baseline"/>
        </w:rPr>
        <w:t>Principles</w:t>
      </w:r>
      <w:r>
        <w:rPr>
          <w:rFonts w:hint="default" w:ascii="Times New Roman" w:hAnsi="Times New Roman" w:cs="Times New Roman"/>
          <w:i/>
          <w:spacing w:val="-6"/>
          <w:sz w:val="24"/>
          <w:szCs w:val="24"/>
          <w:vertAlign w:val="baseline"/>
        </w:rPr>
        <w:t xml:space="preserve"> </w:t>
      </w:r>
      <w:r>
        <w:rPr>
          <w:rFonts w:hint="default" w:ascii="Times New Roman" w:hAnsi="Times New Roman" w:cs="Times New Roman"/>
          <w:i/>
          <w:sz w:val="24"/>
          <w:szCs w:val="24"/>
          <w:vertAlign w:val="baseline"/>
        </w:rPr>
        <w:t>for</w:t>
      </w:r>
      <w:r>
        <w:rPr>
          <w:rFonts w:hint="default" w:ascii="Times New Roman" w:hAnsi="Times New Roman" w:cs="Times New Roman"/>
          <w:i/>
          <w:spacing w:val="-4"/>
          <w:sz w:val="24"/>
          <w:szCs w:val="24"/>
          <w:vertAlign w:val="baseline"/>
        </w:rPr>
        <w:t xml:space="preserve"> </w:t>
      </w:r>
      <w:r>
        <w:rPr>
          <w:rFonts w:hint="default" w:ascii="Times New Roman" w:hAnsi="Times New Roman" w:cs="Times New Roman"/>
          <w:i/>
          <w:sz w:val="24"/>
          <w:szCs w:val="24"/>
          <w:vertAlign w:val="baseline"/>
        </w:rPr>
        <w:t>Effective</w:t>
      </w:r>
      <w:r>
        <w:rPr>
          <w:rFonts w:hint="default" w:ascii="Times New Roman" w:hAnsi="Times New Roman" w:cs="Times New Roman"/>
          <w:i/>
          <w:spacing w:val="-4"/>
          <w:sz w:val="24"/>
          <w:szCs w:val="24"/>
          <w:vertAlign w:val="baseline"/>
        </w:rPr>
        <w:t xml:space="preserve"> </w:t>
      </w:r>
      <w:r>
        <w:rPr>
          <w:rFonts w:hint="default" w:ascii="Times New Roman" w:hAnsi="Times New Roman" w:cs="Times New Roman"/>
          <w:i/>
          <w:sz w:val="24"/>
          <w:szCs w:val="24"/>
          <w:vertAlign w:val="baseline"/>
        </w:rPr>
        <w:t>Insolvency</w:t>
      </w:r>
      <w:r>
        <w:rPr>
          <w:rFonts w:hint="default" w:ascii="Times New Roman" w:hAnsi="Times New Roman" w:cs="Times New Roman"/>
          <w:i/>
          <w:spacing w:val="-4"/>
          <w:sz w:val="24"/>
          <w:szCs w:val="24"/>
          <w:vertAlign w:val="baseline"/>
        </w:rPr>
        <w:t xml:space="preserve"> </w:t>
      </w:r>
      <w:r>
        <w:rPr>
          <w:rFonts w:hint="default" w:ascii="Times New Roman" w:hAnsi="Times New Roman" w:cs="Times New Roman"/>
          <w:i/>
          <w:sz w:val="24"/>
          <w:szCs w:val="24"/>
          <w:vertAlign w:val="baseline"/>
        </w:rPr>
        <w:t>and</w:t>
      </w:r>
      <w:r>
        <w:rPr>
          <w:rFonts w:hint="default" w:ascii="Times New Roman" w:hAnsi="Times New Roman" w:cs="Times New Roman"/>
          <w:i/>
          <w:spacing w:val="-4"/>
          <w:sz w:val="24"/>
          <w:szCs w:val="24"/>
          <w:vertAlign w:val="baseline"/>
        </w:rPr>
        <w:t xml:space="preserve"> </w:t>
      </w:r>
      <w:r>
        <w:rPr>
          <w:rFonts w:hint="default" w:ascii="Times New Roman" w:hAnsi="Times New Roman" w:cs="Times New Roman"/>
          <w:i/>
          <w:sz w:val="24"/>
          <w:szCs w:val="24"/>
          <w:vertAlign w:val="baseline"/>
        </w:rPr>
        <w:t>Creditor/Debtor</w:t>
      </w:r>
      <w:r>
        <w:rPr>
          <w:rFonts w:hint="default" w:ascii="Times New Roman" w:hAnsi="Times New Roman" w:cs="Times New Roman"/>
          <w:i/>
          <w:spacing w:val="-4"/>
          <w:sz w:val="24"/>
          <w:szCs w:val="24"/>
          <w:vertAlign w:val="baseline"/>
        </w:rPr>
        <w:t xml:space="preserve"> </w:t>
      </w:r>
      <w:r>
        <w:rPr>
          <w:rFonts w:hint="default" w:ascii="Times New Roman" w:hAnsi="Times New Roman" w:cs="Times New Roman"/>
          <w:i/>
          <w:sz w:val="24"/>
          <w:szCs w:val="24"/>
          <w:vertAlign w:val="baseline"/>
        </w:rPr>
        <w:t>Regimes</w:t>
      </w:r>
      <w:r>
        <w:rPr>
          <w:rFonts w:hint="default" w:ascii="Times New Roman" w:hAnsi="Times New Roman" w:cs="Times New Roman"/>
          <w:i/>
          <w:spacing w:val="-6"/>
          <w:sz w:val="24"/>
          <w:szCs w:val="24"/>
          <w:vertAlign w:val="baseline"/>
        </w:rPr>
        <w:t xml:space="preserve"> </w:t>
      </w:r>
      <w:r>
        <w:rPr>
          <w:rFonts w:hint="default" w:ascii="Times New Roman" w:hAnsi="Times New Roman" w:cs="Times New Roman"/>
          <w:i/>
          <w:sz w:val="24"/>
          <w:szCs w:val="24"/>
          <w:vertAlign w:val="baseline"/>
        </w:rPr>
        <w:t>(Revised</w:t>
      </w:r>
      <w:r>
        <w:rPr>
          <w:rFonts w:hint="default" w:ascii="Times New Roman" w:hAnsi="Times New Roman" w:cs="Times New Roman"/>
          <w:i/>
          <w:spacing w:val="-4"/>
          <w:sz w:val="24"/>
          <w:szCs w:val="24"/>
          <w:vertAlign w:val="baseline"/>
        </w:rPr>
        <w:t xml:space="preserve"> </w:t>
      </w:r>
      <w:r>
        <w:rPr>
          <w:rFonts w:hint="default" w:ascii="Times New Roman" w:hAnsi="Times New Roman" w:cs="Times New Roman"/>
          <w:i/>
          <w:sz w:val="24"/>
          <w:szCs w:val="24"/>
          <w:vertAlign w:val="baseline"/>
        </w:rPr>
        <w:t>2021),</w:t>
      </w:r>
      <w:r>
        <w:rPr>
          <w:rFonts w:hint="default" w:ascii="Times New Roman" w:hAnsi="Times New Roman" w:cs="Times New Roman"/>
          <w:i/>
          <w:spacing w:val="-1"/>
          <w:sz w:val="24"/>
          <w:szCs w:val="24"/>
          <w:vertAlign w:val="baseline"/>
        </w:rPr>
        <w:t xml:space="preserve"> </w:t>
      </w:r>
      <w:r>
        <w:rPr>
          <w:rFonts w:hint="default" w:ascii="Times New Roman" w:hAnsi="Times New Roman" w:cs="Times New Roman"/>
          <w:sz w:val="24"/>
          <w:szCs w:val="24"/>
          <w:vertAlign w:val="baseline"/>
        </w:rPr>
        <w:t>C4,</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Washington,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DC: World Bank.</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11</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Cirmizi,</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Klapper,</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Uttamchandani</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2"/>
          <w:sz w:val="24"/>
          <w:szCs w:val="24"/>
          <w:vertAlign w:val="baseline"/>
        </w:rPr>
        <w:t>(2012).</w:t>
      </w:r>
    </w:p>
    <w:p>
      <w:pPr>
        <w:pStyle w:val="3"/>
        <w:spacing w:line="253"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12</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Cirmizi,</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Klapper,</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Uttamchandani</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2"/>
          <w:sz w:val="24"/>
          <w:szCs w:val="24"/>
          <w:vertAlign w:val="baseline"/>
        </w:rPr>
        <w:t>(2012).</w:t>
      </w:r>
    </w:p>
    <w:p>
      <w:pPr>
        <w:pStyle w:val="3"/>
        <w:spacing w:before="1"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13</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pp.</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2"/>
          <w:sz w:val="24"/>
          <w:szCs w:val="24"/>
          <w:vertAlign w:val="baseline"/>
        </w:rPr>
        <w:t>174–75.</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14</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5"/>
          <w:sz w:val="24"/>
          <w:szCs w:val="24"/>
          <w:vertAlign w:val="baseline"/>
        </w:rPr>
        <w:t>10.</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5"/>
          <w:sz w:val="24"/>
          <w:szCs w:val="24"/>
          <w:vertAlign w:val="baseline"/>
        </w:rPr>
        <w:t>12.</w:t>
      </w:r>
    </w:p>
    <w:p>
      <w:pPr>
        <w:pStyle w:val="3"/>
        <w:spacing w:before="1"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16</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118.</w:t>
      </w:r>
    </w:p>
    <w:p>
      <w:pPr>
        <w:pStyle w:val="3"/>
        <w:ind w:left="120" w:right="312"/>
        <w:rPr>
          <w:rFonts w:hint="default" w:ascii="Times New Roman" w:hAnsi="Times New Roman" w:cs="Times New Roman"/>
          <w:sz w:val="24"/>
          <w:szCs w:val="24"/>
        </w:rPr>
      </w:pPr>
      <w:r>
        <w:rPr>
          <w:rFonts w:hint="default" w:ascii="Times New Roman" w:hAnsi="Times New Roman" w:cs="Times New Roman"/>
          <w:sz w:val="24"/>
          <w:szCs w:val="24"/>
          <w:vertAlign w:val="superscript"/>
        </w:rPr>
        <w:t>17</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86;</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Cirmizi,</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Klapper,</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 xml:space="preserve">Uttamchandani </w:t>
      </w:r>
      <w:r>
        <w:rPr>
          <w:rFonts w:hint="default" w:ascii="Times New Roman" w:hAnsi="Times New Roman" w:cs="Times New Roman"/>
          <w:spacing w:val="-2"/>
          <w:sz w:val="24"/>
          <w:szCs w:val="24"/>
          <w:vertAlign w:val="baseline"/>
        </w:rPr>
        <w:t>(2012).</w:t>
      </w:r>
    </w:p>
    <w:p>
      <w:pPr>
        <w:pStyle w:val="3"/>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18</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7"/>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pacing w:val="-2"/>
          <w:sz w:val="24"/>
          <w:szCs w:val="24"/>
          <w:vertAlign w:val="baseline"/>
        </w:rPr>
        <w:t>p.132.</w:t>
      </w:r>
    </w:p>
    <w:p>
      <w:pPr>
        <w:pStyle w:val="3"/>
        <w:spacing w:before="2"/>
        <w:ind w:left="120" w:right="312"/>
        <w:rPr>
          <w:rFonts w:hint="default" w:ascii="Times New Roman" w:hAnsi="Times New Roman" w:cs="Times New Roman"/>
          <w:sz w:val="24"/>
          <w:szCs w:val="24"/>
        </w:rPr>
      </w:pPr>
      <w:r>
        <w:rPr>
          <w:rFonts w:hint="default" w:ascii="Times New Roman" w:hAnsi="Times New Roman" w:cs="Times New Roman"/>
          <w:sz w:val="24"/>
          <w:szCs w:val="24"/>
          <w:vertAlign w:val="superscript"/>
        </w:rPr>
        <w:t>19</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118;</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Cirmizi,</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Klapper,</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 xml:space="preserve">Uttamchandani </w:t>
      </w:r>
      <w:r>
        <w:rPr>
          <w:rFonts w:hint="default" w:ascii="Times New Roman" w:hAnsi="Times New Roman" w:cs="Times New Roman"/>
          <w:spacing w:val="-2"/>
          <w:sz w:val="24"/>
          <w:szCs w:val="24"/>
          <w:vertAlign w:val="baseline"/>
        </w:rPr>
        <w:t>(2012).</w:t>
      </w:r>
    </w:p>
    <w:p>
      <w:pPr>
        <w:pStyle w:val="3"/>
        <w:spacing w:line="251"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20</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Robert-Tissot</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2"/>
          <w:sz w:val="24"/>
          <w:szCs w:val="24"/>
          <w:vertAlign w:val="baseline"/>
        </w:rPr>
        <w:t>(2012).</w:t>
      </w:r>
    </w:p>
    <w:p>
      <w:pPr>
        <w:pStyle w:val="3"/>
        <w:spacing w:before="2"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21</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7"/>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190.</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22</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7"/>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190.</w:t>
      </w:r>
    </w:p>
    <w:p>
      <w:pPr>
        <w:pStyle w:val="3"/>
        <w:spacing w:before="1"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23</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190;</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Tomasic</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2"/>
          <w:sz w:val="24"/>
          <w:szCs w:val="24"/>
          <w:vertAlign w:val="baseline"/>
        </w:rPr>
        <w:t>(2007).</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24</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Legislative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2005),</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p.</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190;</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Tomasic</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pacing w:val="-2"/>
          <w:sz w:val="24"/>
          <w:szCs w:val="24"/>
          <w:vertAlign w:val="baseline"/>
        </w:rPr>
        <w:t>(2007).</w:t>
      </w:r>
    </w:p>
    <w:p>
      <w:pPr>
        <w:pStyle w:val="3"/>
        <w:spacing w:line="252" w:lineRule="exact"/>
        <w:ind w:left="120"/>
        <w:jc w:val="both"/>
        <w:rPr>
          <w:rFonts w:hint="default" w:ascii="Times New Roman" w:hAnsi="Times New Roman" w:cs="Times New Roman"/>
          <w:sz w:val="24"/>
          <w:szCs w:val="24"/>
        </w:rPr>
      </w:pPr>
      <w:r>
        <w:rPr>
          <w:rFonts w:hint="default" w:ascii="Times New Roman" w:hAnsi="Times New Roman" w:cs="Times New Roman"/>
          <w:sz w:val="24"/>
          <w:szCs w:val="24"/>
          <w:vertAlign w:val="superscript"/>
        </w:rPr>
        <w:t>25</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Inacio</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pacing w:val="-2"/>
          <w:sz w:val="24"/>
          <w:szCs w:val="24"/>
          <w:vertAlign w:val="baseline"/>
        </w:rPr>
        <w:t>(2020).</w:t>
      </w:r>
    </w:p>
    <w:p>
      <w:pPr>
        <w:pStyle w:val="3"/>
        <w:spacing w:before="2"/>
        <w:ind w:left="120" w:right="299"/>
        <w:jc w:val="both"/>
        <w:rPr>
          <w:rFonts w:hint="default" w:ascii="Times New Roman" w:hAnsi="Times New Roman" w:cs="Times New Roman"/>
          <w:sz w:val="24"/>
          <w:szCs w:val="24"/>
        </w:rPr>
      </w:pPr>
      <w:r>
        <w:rPr>
          <w:rFonts w:hint="default" w:ascii="Times New Roman" w:hAnsi="Times New Roman" w:cs="Times New Roman"/>
          <w:sz w:val="24"/>
          <w:szCs w:val="24"/>
          <w:vertAlign w:val="superscript"/>
        </w:rPr>
        <w:t>26</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See</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specifically</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Article</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11</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of</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C95</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Convention</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Concerning</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the</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Protection</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of</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Wages</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of</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the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International Labour Organization (ILO), Adopted: 01</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Jul 1949, Entered</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into force: 24</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 xml:space="preserve">September 1952; See also ILO </w:t>
      </w:r>
      <w:r>
        <w:rPr>
          <w:rFonts w:hint="default" w:ascii="Times New Roman" w:hAnsi="Times New Roman" w:cs="Times New Roman"/>
          <w:spacing w:val="-2"/>
          <w:sz w:val="24"/>
          <w:szCs w:val="24"/>
          <w:vertAlign w:val="baseline"/>
        </w:rPr>
        <w:t>(2020).</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27</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IMF</w:t>
      </w:r>
      <w:r>
        <w:rPr>
          <w:rFonts w:hint="default" w:ascii="Times New Roman" w:hAnsi="Times New Roman" w:cs="Times New Roman"/>
          <w:spacing w:val="-2"/>
          <w:sz w:val="24"/>
          <w:szCs w:val="24"/>
          <w:vertAlign w:val="baseline"/>
        </w:rPr>
        <w:t xml:space="preserve"> (2014).</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28</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See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Guerra-Martinez</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pacing w:val="-2"/>
          <w:sz w:val="24"/>
          <w:szCs w:val="24"/>
          <w:vertAlign w:val="baseline"/>
        </w:rPr>
        <w:t>(2021).</w:t>
      </w:r>
    </w:p>
    <w:p>
      <w:pPr>
        <w:pStyle w:val="3"/>
        <w:spacing w:before="1"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29</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Guerra-Martinez</w:t>
      </w:r>
      <w:r>
        <w:rPr>
          <w:rFonts w:hint="default" w:ascii="Times New Roman" w:hAnsi="Times New Roman" w:cs="Times New Roman"/>
          <w:spacing w:val="-8"/>
          <w:sz w:val="24"/>
          <w:szCs w:val="24"/>
          <w:vertAlign w:val="baseline"/>
        </w:rPr>
        <w:t xml:space="preserve"> </w:t>
      </w:r>
      <w:r>
        <w:rPr>
          <w:rFonts w:hint="default" w:ascii="Times New Roman" w:hAnsi="Times New Roman" w:cs="Times New Roman"/>
          <w:spacing w:val="-2"/>
          <w:sz w:val="24"/>
          <w:szCs w:val="24"/>
          <w:vertAlign w:val="baseline"/>
        </w:rPr>
        <w:t>(2021).</w:t>
      </w:r>
    </w:p>
    <w:p>
      <w:pPr>
        <w:pStyle w:val="3"/>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30</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See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UNCITRAL</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Model</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Law</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on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Cross-Border</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Insolvency</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with</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Guide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to</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Enactment</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 xml:space="preserve">Interpretation </w:t>
      </w:r>
      <w:r>
        <w:rPr>
          <w:rFonts w:hint="default" w:ascii="Times New Roman" w:hAnsi="Times New Roman" w:cs="Times New Roman"/>
          <w:spacing w:val="-2"/>
          <w:sz w:val="24"/>
          <w:szCs w:val="24"/>
          <w:vertAlign w:val="baseline"/>
        </w:rPr>
        <w:t>(2013).</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31</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Velicogna</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pacing w:val="-2"/>
          <w:sz w:val="24"/>
          <w:szCs w:val="24"/>
          <w:vertAlign w:val="baseline"/>
        </w:rPr>
        <w:t>(2007).</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32</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Frade,</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Fernando,</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Conceição</w:t>
      </w:r>
      <w:r>
        <w:rPr>
          <w:rFonts w:hint="default" w:ascii="Times New Roman" w:hAnsi="Times New Roman" w:cs="Times New Roman"/>
          <w:spacing w:val="-2"/>
          <w:sz w:val="24"/>
          <w:szCs w:val="24"/>
          <w:vertAlign w:val="baseline"/>
        </w:rPr>
        <w:t xml:space="preserve"> (2020).</w:t>
      </w:r>
    </w:p>
    <w:p>
      <w:pPr>
        <w:pStyle w:val="3"/>
        <w:spacing w:before="2"/>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33</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Byfield</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pacing w:val="-2"/>
          <w:sz w:val="24"/>
          <w:szCs w:val="24"/>
          <w:vertAlign w:val="baseline"/>
        </w:rPr>
        <w:t>(2011).</w:t>
      </w:r>
    </w:p>
    <w:p>
      <w:pPr>
        <w:spacing w:after="0"/>
        <w:rPr>
          <w:rFonts w:hint="default" w:ascii="Times New Roman" w:hAnsi="Times New Roman" w:cs="Times New Roman"/>
          <w:sz w:val="24"/>
          <w:szCs w:val="24"/>
        </w:rPr>
        <w:sectPr>
          <w:pgSz w:w="12240" w:h="15840"/>
          <w:pgMar w:top="1500" w:right="1240" w:bottom="280" w:left="1320" w:header="720" w:footer="720" w:gutter="0"/>
          <w:cols w:space="720" w:num="1"/>
        </w:sectPr>
      </w:pPr>
    </w:p>
    <w:p>
      <w:pPr>
        <w:pStyle w:val="3"/>
        <w:spacing w:before="2"/>
        <w:rPr>
          <w:rFonts w:hint="default" w:ascii="Times New Roman" w:hAnsi="Times New Roman" w:cs="Times New Roman"/>
          <w:sz w:val="24"/>
          <w:szCs w:val="24"/>
        </w:rPr>
      </w:pPr>
    </w:p>
    <w:p>
      <w:pPr>
        <w:pStyle w:val="3"/>
        <w:spacing w:line="20" w:lineRule="exact"/>
        <w:ind w:left="120"/>
        <w:rPr>
          <w:rFonts w:hint="default" w:ascii="Times New Roman" w:hAnsi="Times New Roman" w:cs="Times New Roman"/>
          <w:sz w:val="24"/>
          <w:szCs w:val="24"/>
        </w:rPr>
      </w:pPr>
      <w:r>
        <w:rPr>
          <w:rFonts w:hint="default" w:ascii="Times New Roman" w:hAnsi="Times New Roman" w:cs="Times New Roman"/>
          <w:sz w:val="24"/>
          <w:szCs w:val="24"/>
        </w:rPr>
        <mc:AlternateContent>
          <mc:Choice Requires="wpg">
            <w:drawing>
              <wp:inline distT="0" distB="0" distL="114300" distR="114300">
                <wp:extent cx="5944870" cy="9525"/>
                <wp:effectExtent l="0" t="0" r="0" b="0"/>
                <wp:docPr id="6" name="组合 6"/>
                <wp:cNvGraphicFramePr/>
                <a:graphic xmlns:a="http://schemas.openxmlformats.org/drawingml/2006/main">
                  <a:graphicData uri="http://schemas.microsoft.com/office/word/2010/wordprocessingGroup">
                    <wpg:wgp>
                      <wpg:cNvGrpSpPr/>
                      <wpg:grpSpPr>
                        <a:xfrm>
                          <a:off x="0" y="0"/>
                          <a:ext cx="5944870" cy="9525"/>
                          <a:chOff x="0" y="0"/>
                          <a:chExt cx="9362" cy="15"/>
                        </a:xfrm>
                      </wpg:grpSpPr>
                      <wps:wsp>
                        <wps:cNvPr id="5" name="矩形 5"/>
                        <wps:cNvSpPr/>
                        <wps:spPr>
                          <a:xfrm>
                            <a:off x="0" y="0"/>
                            <a:ext cx="9362"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468.1pt;" coordsize="9362,15" o:gfxdata="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GpEjb1AAAAAMBAAAPAAAAAAAAAAEAIAAAACIAAABkcnMv&#10;ZG93bnJldi54bWxQSwECFAAUAAAACACHTuJA9UFdnAcCAAB+BAAADgAAAAAAAAABACAAAAAjAQAA&#10;ZHJzL2Uyb0RvYy54bWxQSwUGAAAAAAYABgBZAQAAnAUAAAAA&#10;">
                <o:lock v:ext="edit" aspectratio="f"/>
                <v:rect id="_x0000_s1026" o:spid="_x0000_s1026" o:spt="1" style="position:absolute;left:0;top:0;height:15;width:9362;" fillcolor="#000000" filled="t" stroked="f" coordsize="21600,21600" o:gfxdata="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UEpC8AAAA&#10;2gAAAA8AAAAAAAAAAQAgAAAAIgAAAGRycy9kb3ducmV2LnhtbFBLAQIUABQAAAAIAIdO4kAzLwWe&#10;OwAAADkAAAAQAAAAAAAAAAEAIAAAAAsBAABkcnMvc2hhcGV4bWwueG1sUEsFBgAAAAAGAAYAWwEA&#10;ALUDAAAAAA==&#10;">
                  <v:fill on="t" focussize="0,0"/>
                  <v:stroke on="f"/>
                  <v:imagedata o:title=""/>
                  <o:lock v:ext="edit" aspectratio="f"/>
                </v:rect>
                <w10:wrap type="none"/>
                <w10:anchorlock/>
              </v:group>
            </w:pict>
          </mc:Fallback>
        </mc:AlternateContent>
      </w:r>
    </w:p>
    <w:p>
      <w:pPr>
        <w:pStyle w:val="3"/>
        <w:spacing w:before="94"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34</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Rodano,</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Serrano-Velarde,</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Tarantino</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pacing w:val="-2"/>
          <w:sz w:val="24"/>
          <w:szCs w:val="24"/>
          <w:vertAlign w:val="baseline"/>
        </w:rPr>
        <w:t>(2016).</w:t>
      </w:r>
    </w:p>
    <w:p>
      <w:pPr>
        <w:pStyle w:val="3"/>
        <w:spacing w:line="252" w:lineRule="exact"/>
        <w:ind w:left="120"/>
        <w:rPr>
          <w:rFonts w:hint="default" w:ascii="Times New Roman" w:hAnsi="Times New Roman" w:cs="Times New Roman"/>
          <w:sz w:val="24"/>
          <w:szCs w:val="24"/>
        </w:rPr>
      </w:pPr>
      <w:r>
        <w:rPr>
          <w:rFonts w:hint="default" w:ascii="Times New Roman" w:hAnsi="Times New Roman" w:cs="Times New Roman"/>
          <w:sz w:val="24"/>
          <w:szCs w:val="24"/>
          <w:vertAlign w:val="superscript"/>
        </w:rPr>
        <w:t>35</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Iverson</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et</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al.</w:t>
      </w:r>
      <w:r>
        <w:rPr>
          <w:rFonts w:hint="default" w:ascii="Times New Roman" w:hAnsi="Times New Roman" w:cs="Times New Roman"/>
          <w:spacing w:val="-5"/>
          <w:sz w:val="24"/>
          <w:szCs w:val="24"/>
          <w:vertAlign w:val="baseline"/>
        </w:rPr>
        <w:t xml:space="preserve"> </w:t>
      </w:r>
      <w:r>
        <w:rPr>
          <w:rFonts w:hint="default" w:ascii="Times New Roman" w:hAnsi="Times New Roman" w:cs="Times New Roman"/>
          <w:sz w:val="24"/>
          <w:szCs w:val="24"/>
          <w:vertAlign w:val="baseline"/>
        </w:rPr>
        <w:t>(2018);</w:t>
      </w:r>
      <w:r>
        <w:rPr>
          <w:rFonts w:hint="default" w:ascii="Times New Roman" w:hAnsi="Times New Roman" w:cs="Times New Roman"/>
          <w:spacing w:val="32"/>
          <w:sz w:val="24"/>
          <w:szCs w:val="24"/>
          <w:vertAlign w:val="baseline"/>
        </w:rPr>
        <w:t xml:space="preserve"> </w:t>
      </w:r>
      <w:r>
        <w:rPr>
          <w:rFonts w:hint="default" w:ascii="Times New Roman" w:hAnsi="Times New Roman" w:cs="Times New Roman"/>
          <w:sz w:val="24"/>
          <w:szCs w:val="24"/>
          <w:vertAlign w:val="baseline"/>
        </w:rPr>
        <w:t>Li</w:t>
      </w:r>
      <w:r>
        <w:rPr>
          <w:rFonts w:hint="default" w:ascii="Times New Roman" w:hAnsi="Times New Roman" w:cs="Times New Roman"/>
          <w:spacing w:val="-4"/>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Ponticelli</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pacing w:val="-2"/>
          <w:sz w:val="24"/>
          <w:szCs w:val="24"/>
          <w:vertAlign w:val="baseline"/>
        </w:rPr>
        <w:t>(2020).</w:t>
      </w:r>
    </w:p>
    <w:p>
      <w:pPr>
        <w:pStyle w:val="3"/>
        <w:spacing w:before="1"/>
        <w:ind w:left="120" w:right="323"/>
        <w:rPr>
          <w:rFonts w:hint="default" w:ascii="Times New Roman" w:hAnsi="Times New Roman" w:cs="Times New Roman"/>
          <w:sz w:val="24"/>
          <w:szCs w:val="24"/>
        </w:rPr>
      </w:pPr>
      <w:r>
        <w:rPr>
          <w:rFonts w:hint="default" w:ascii="Times New Roman" w:hAnsi="Times New Roman" w:cs="Times New Roman"/>
          <w:sz w:val="24"/>
          <w:szCs w:val="24"/>
          <w:vertAlign w:val="superscript"/>
        </w:rPr>
        <w:t>36</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Cirmizi,</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E.,</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L.</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Klapper,</w:t>
      </w:r>
      <w:r>
        <w:rPr>
          <w:rFonts w:hint="default" w:ascii="Times New Roman" w:hAnsi="Times New Roman" w:cs="Times New Roman"/>
          <w:spacing w:val="-6"/>
          <w:sz w:val="24"/>
          <w:szCs w:val="24"/>
          <w:vertAlign w:val="baseline"/>
        </w:rPr>
        <w:t xml:space="preserve"> </w:t>
      </w:r>
      <w:r>
        <w:rPr>
          <w:rFonts w:hint="default" w:ascii="Times New Roman" w:hAnsi="Times New Roman" w:cs="Times New Roman"/>
          <w:sz w:val="24"/>
          <w:szCs w:val="24"/>
          <w:vertAlign w:val="baseline"/>
        </w:rPr>
        <w:t>and</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M.</w:t>
      </w:r>
      <w:r>
        <w:rPr>
          <w:rFonts w:hint="default" w:ascii="Times New Roman" w:hAnsi="Times New Roman" w:cs="Times New Roman"/>
          <w:spacing w:val="-1"/>
          <w:sz w:val="24"/>
          <w:szCs w:val="24"/>
          <w:vertAlign w:val="baseline"/>
        </w:rPr>
        <w:t xml:space="preserve"> </w:t>
      </w:r>
      <w:r>
        <w:rPr>
          <w:rFonts w:hint="default" w:ascii="Times New Roman" w:hAnsi="Times New Roman" w:cs="Times New Roman"/>
          <w:sz w:val="24"/>
          <w:szCs w:val="24"/>
          <w:vertAlign w:val="baseline"/>
        </w:rPr>
        <w:t>Uttamchandani.</w:t>
      </w:r>
      <w:r>
        <w:rPr>
          <w:rFonts w:hint="default" w:ascii="Times New Roman" w:hAnsi="Times New Roman" w:cs="Times New Roman"/>
          <w:spacing w:val="40"/>
          <w:sz w:val="24"/>
          <w:szCs w:val="24"/>
          <w:vertAlign w:val="baseline"/>
        </w:rPr>
        <w:t xml:space="preserve"> </w:t>
      </w:r>
      <w:r>
        <w:rPr>
          <w:rFonts w:hint="default" w:ascii="Times New Roman" w:hAnsi="Times New Roman" w:cs="Times New Roman"/>
          <w:sz w:val="24"/>
          <w:szCs w:val="24"/>
          <w:vertAlign w:val="baseline"/>
        </w:rPr>
        <w:t>2012.</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“The</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Challenges</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of</w:t>
      </w:r>
      <w:r>
        <w:rPr>
          <w:rFonts w:hint="default" w:ascii="Times New Roman" w:hAnsi="Times New Roman" w:cs="Times New Roman"/>
          <w:spacing w:val="-2"/>
          <w:sz w:val="24"/>
          <w:szCs w:val="24"/>
          <w:vertAlign w:val="baseline"/>
        </w:rPr>
        <w:t xml:space="preserve"> </w:t>
      </w:r>
      <w:r>
        <w:rPr>
          <w:rFonts w:hint="default" w:ascii="Times New Roman" w:hAnsi="Times New Roman" w:cs="Times New Roman"/>
          <w:sz w:val="24"/>
          <w:szCs w:val="24"/>
          <w:vertAlign w:val="baseline"/>
        </w:rPr>
        <w:t>Bankruptcy</w:t>
      </w:r>
      <w:r>
        <w:rPr>
          <w:rFonts w:hint="default" w:ascii="Times New Roman" w:hAnsi="Times New Roman" w:cs="Times New Roman"/>
          <w:spacing w:val="-3"/>
          <w:sz w:val="24"/>
          <w:szCs w:val="24"/>
          <w:vertAlign w:val="baseline"/>
        </w:rPr>
        <w:t xml:space="preserve"> </w:t>
      </w:r>
      <w:r>
        <w:rPr>
          <w:rFonts w:hint="default" w:ascii="Times New Roman" w:hAnsi="Times New Roman" w:cs="Times New Roman"/>
          <w:sz w:val="24"/>
          <w:szCs w:val="24"/>
          <w:vertAlign w:val="baseline"/>
        </w:rPr>
        <w:t>Reform.” World Bank Research Observer 27 (2): 185–203.</w:t>
      </w:r>
    </w:p>
    <w:p>
      <w:pPr>
        <w:pStyle w:val="3"/>
        <w:spacing w:before="1"/>
        <w:ind w:left="120" w:right="323"/>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37Kruczalak-Jankowska J., M. Maśnicka, and A. Machnikowska. 2020. “The Relation between Duration of Insolvency Proceedings and their Efficiency.” International Insolvency Review 29 (3, Winter): 379–92.</w:t>
      </w:r>
    </w:p>
    <w:p>
      <w:pPr>
        <w:spacing w:line="400" w:lineRule="exact"/>
        <w:ind w:firstLine="560" w:firstLineChars="200"/>
        <w:jc w:val="both"/>
        <w:rPr>
          <w:rFonts w:eastAsia="宋体"/>
          <w:sz w:val="28"/>
        </w:rPr>
        <w:sectPr>
          <w:pgSz w:w="12240" w:h="15840"/>
          <w:pgMar w:top="1500" w:right="1240" w:bottom="280" w:left="1320" w:header="720" w:footer="720" w:gutter="0"/>
          <w:cols w:space="720" w:num="1"/>
        </w:sectPr>
      </w:pPr>
    </w:p>
    <w:p>
      <w:pPr>
        <w:pStyle w:val="3"/>
        <w:spacing w:line="400" w:lineRule="exact"/>
        <w:ind w:firstLine="560" w:firstLineChars="200"/>
        <w:jc w:val="both"/>
        <w:rPr>
          <w:rFonts w:eastAsia="宋体"/>
          <w:sz w:val="28"/>
        </w:rPr>
      </w:pPr>
    </w:p>
    <w:p>
      <w:pPr>
        <w:spacing w:before="92" w:line="400" w:lineRule="exact"/>
        <w:ind w:left="4481" w:right="4498" w:firstLine="562" w:firstLineChars="200"/>
        <w:jc w:val="both"/>
        <w:rPr>
          <w:rFonts w:eastAsia="宋体"/>
          <w:b/>
          <w:sz w:val="28"/>
          <w:lang w:eastAsia="zh-CN"/>
        </w:rPr>
      </w:pPr>
      <w:r>
        <w:rPr>
          <w:rFonts w:eastAsia="宋体" w:cs="宋体"/>
          <w:b/>
          <w:sz w:val="28"/>
          <w:lang w:eastAsia="zh-CN"/>
        </w:rPr>
        <w:t>附件A.《企业破产计分表》</w:t>
      </w:r>
    </w:p>
    <w:p>
      <w:pPr>
        <w:pStyle w:val="3"/>
        <w:spacing w:line="400" w:lineRule="exact"/>
        <w:ind w:firstLine="562" w:firstLineChars="200"/>
        <w:jc w:val="both"/>
        <w:rPr>
          <w:rFonts w:eastAsia="宋体"/>
          <w:b/>
          <w:sz w:val="28"/>
          <w:lang w:eastAsia="zh-CN"/>
        </w:rPr>
      </w:pPr>
    </w:p>
    <w:p>
      <w:pPr>
        <w:pStyle w:val="3"/>
        <w:spacing w:line="400" w:lineRule="exact"/>
        <w:ind w:left="100" w:right="114" w:firstLine="560" w:firstLineChars="200"/>
        <w:jc w:val="both"/>
        <w:rPr>
          <w:rFonts w:eastAsia="宋体"/>
          <w:sz w:val="28"/>
          <w:lang w:eastAsia="zh-CN"/>
        </w:rPr>
      </w:pPr>
      <w:r>
        <w:rPr>
          <w:rFonts w:eastAsia="宋体" w:cs="宋体"/>
          <w:sz w:val="28"/>
          <w:lang w:eastAsia="zh-CN"/>
        </w:rPr>
        <w:t>本文件概述了企业破产主题的评分方法。对于每个指标，指定了企业灵活</w:t>
      </w:r>
      <w:r>
        <w:rPr>
          <w:rFonts w:hint="eastAsia" w:eastAsia="宋体" w:cs="宋体"/>
          <w:sz w:val="28"/>
          <w:lang w:val="en-US" w:eastAsia="zh-CN"/>
        </w:rPr>
        <w:t>度得</w:t>
      </w:r>
      <w:r>
        <w:rPr>
          <w:rFonts w:hint="eastAsia" w:eastAsia="宋体" w:cs="宋体"/>
          <w:sz w:val="28"/>
          <w:lang w:eastAsia="zh-CN"/>
        </w:rPr>
        <w:t>分</w:t>
      </w:r>
      <w:r>
        <w:rPr>
          <w:rFonts w:eastAsia="宋体" w:cs="宋体"/>
          <w:sz w:val="28"/>
          <w:lang w:eastAsia="zh-CN"/>
        </w:rPr>
        <w:t>(FFP)和/或社会效益</w:t>
      </w:r>
      <w:r>
        <w:rPr>
          <w:rFonts w:hint="eastAsia" w:eastAsia="宋体" w:cs="宋体"/>
          <w:sz w:val="28"/>
          <w:lang w:val="en-US" w:eastAsia="zh-CN"/>
        </w:rPr>
        <w:t>得</w:t>
      </w:r>
      <w:r>
        <w:rPr>
          <w:rFonts w:hint="eastAsia" w:eastAsia="宋体" w:cs="宋体"/>
          <w:sz w:val="28"/>
          <w:lang w:eastAsia="zh-CN"/>
        </w:rPr>
        <w:t>分</w:t>
      </w:r>
      <w:r>
        <w:rPr>
          <w:rFonts w:eastAsia="宋体" w:cs="宋体"/>
          <w:sz w:val="28"/>
          <w:lang w:eastAsia="zh-CN"/>
        </w:rPr>
        <w:t>(SBP)，并对每个此类指标的详细评分进行了</w:t>
      </w:r>
      <w:r>
        <w:rPr>
          <w:rFonts w:hint="eastAsia" w:eastAsia="宋体" w:cs="宋体"/>
          <w:sz w:val="28"/>
          <w:lang w:val="en-US" w:eastAsia="zh-CN"/>
        </w:rPr>
        <w:t>说明</w:t>
      </w:r>
      <w:r>
        <w:rPr>
          <w:rFonts w:eastAsia="宋体" w:cs="宋体"/>
          <w:sz w:val="28"/>
          <w:lang w:eastAsia="zh-CN"/>
        </w:rPr>
        <w:t>，并对相关背景文献进行了</w:t>
      </w:r>
      <w:r>
        <w:rPr>
          <w:rFonts w:hint="eastAsia" w:eastAsia="宋体" w:cs="宋体"/>
          <w:sz w:val="28"/>
          <w:lang w:val="en-US" w:eastAsia="zh-CN"/>
        </w:rPr>
        <w:t>阐释</w:t>
      </w:r>
      <w:r>
        <w:rPr>
          <w:rFonts w:eastAsia="宋体" w:cs="宋体"/>
          <w:sz w:val="28"/>
          <w:lang w:eastAsia="zh-CN"/>
        </w:rPr>
        <w:t>。</w:t>
      </w:r>
    </w:p>
    <w:p>
      <w:pPr>
        <w:pStyle w:val="3"/>
        <w:spacing w:before="5" w:line="400" w:lineRule="exact"/>
        <w:ind w:firstLine="560" w:firstLineChars="200"/>
        <w:jc w:val="both"/>
        <w:rPr>
          <w:rFonts w:eastAsia="宋体"/>
          <w:sz w:val="28"/>
          <w:lang w:eastAsia="zh-CN"/>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30"/>
        <w:gridCol w:w="996"/>
        <w:gridCol w:w="867"/>
        <w:gridCol w:w="666"/>
        <w:gridCol w:w="1035"/>
        <w:gridCol w:w="39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52" w:type="dxa"/>
            <w:gridSpan w:val="6"/>
            <w:shd w:val="clear" w:color="auto" w:fill="0F6EC5"/>
          </w:tcPr>
          <w:p>
            <w:pPr>
              <w:pStyle w:val="10"/>
              <w:spacing w:line="400" w:lineRule="exact"/>
              <w:jc w:val="both"/>
              <w:rPr>
                <w:rFonts w:eastAsia="宋体" w:cs="宋体"/>
                <w:sz w:val="24"/>
                <w:szCs w:val="24"/>
                <w:lang w:eastAsia="zh-CN"/>
              </w:rPr>
            </w:pPr>
            <w:r>
              <w:rPr>
                <w:rFonts w:hint="eastAsia" w:eastAsia="宋体" w:cs="宋体"/>
                <w:b/>
                <w:bCs/>
                <w:color w:val="FFFFFF" w:themeColor="background1"/>
                <w:sz w:val="24"/>
                <w:szCs w:val="24"/>
                <w:lang w:eastAsia="zh-CN"/>
                <w14:textFill>
                  <w14:solidFill>
                    <w14:schemeClr w14:val="bg1"/>
                  </w14:solidFill>
                </w14:textFill>
              </w:rPr>
              <w:t>维度I-监管框架:破产程序法规的质量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52" w:type="dxa"/>
            <w:gridSpan w:val="6"/>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1.1法律和程序标准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1.1.1破产程序的启动前和启动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996" w:type="dxa"/>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企业</w:t>
            </w:r>
          </w:p>
          <w:p>
            <w:pPr>
              <w:pStyle w:val="10"/>
              <w:spacing w:line="400" w:lineRule="exact"/>
              <w:ind w:left="107" w:leftChars="0"/>
              <w:jc w:val="center"/>
              <w:rPr>
                <w:rFonts w:ascii="Times New Roman" w:hAnsi="Times New Roman" w:eastAsia="宋体" w:cs="宋体"/>
                <w:b/>
                <w:bCs/>
                <w:sz w:val="24"/>
                <w:szCs w:val="24"/>
                <w:lang w:val="en-US" w:eastAsia="zh-CN" w:bidi="ar-SA"/>
              </w:rPr>
            </w:pPr>
            <w:r>
              <w:rPr>
                <w:rFonts w:hint="eastAsia" w:eastAsia="宋体" w:cs="宋体"/>
                <w:b/>
                <w:bCs/>
                <w:sz w:val="24"/>
                <w:szCs w:val="24"/>
                <w:lang w:eastAsia="zh-CN"/>
              </w:rPr>
              <w:t>灵活</w:t>
            </w:r>
            <w:r>
              <w:rPr>
                <w:rFonts w:hint="eastAsia" w:eastAsia="宋体" w:cs="宋体"/>
                <w:b/>
                <w:bCs/>
                <w:sz w:val="24"/>
                <w:szCs w:val="24"/>
                <w:lang w:val="en-US" w:eastAsia="zh-CN"/>
              </w:rPr>
              <w:t>度得分</w:t>
            </w:r>
          </w:p>
        </w:tc>
        <w:tc>
          <w:tcPr>
            <w:tcW w:w="867" w:type="dxa"/>
            <w:vAlign w:val="center"/>
          </w:tcPr>
          <w:p>
            <w:pPr>
              <w:pStyle w:val="10"/>
              <w:spacing w:line="400" w:lineRule="exact"/>
              <w:jc w:val="center"/>
              <w:rPr>
                <w:rFonts w:ascii="Times New Roman" w:hAnsi="Times New Roman" w:eastAsia="宋体" w:cs="宋体"/>
                <w:b/>
                <w:bCs/>
                <w:sz w:val="24"/>
                <w:szCs w:val="24"/>
                <w:lang w:val="en-US" w:eastAsia="zh-CN" w:bidi="ar-SA"/>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666" w:type="dxa"/>
            <w:vAlign w:val="center"/>
          </w:tcPr>
          <w:p>
            <w:pPr>
              <w:pStyle w:val="10"/>
              <w:spacing w:line="400" w:lineRule="exact"/>
              <w:ind w:left="107" w:leftChars="0"/>
              <w:jc w:val="center"/>
              <w:rPr>
                <w:rFonts w:ascii="Times New Roman" w:hAnsi="Times New Roman" w:eastAsia="宋体" w:cs="宋体"/>
                <w:b/>
                <w:bCs/>
                <w:sz w:val="24"/>
                <w:szCs w:val="24"/>
                <w:lang w:val="en-US" w:eastAsia="zh-CN" w:bidi="ar-SA"/>
              </w:rPr>
            </w:pPr>
            <w:r>
              <w:rPr>
                <w:rFonts w:hint="eastAsia" w:eastAsia="宋体" w:cs="宋体"/>
                <w:b/>
                <w:bCs/>
                <w:sz w:val="24"/>
                <w:szCs w:val="24"/>
                <w:lang w:eastAsia="zh-CN"/>
              </w:rPr>
              <w:t>总分</w:t>
            </w:r>
          </w:p>
        </w:tc>
        <w:tc>
          <w:tcPr>
            <w:tcW w:w="1035" w:type="dxa"/>
            <w:vAlign w:val="center"/>
          </w:tcPr>
          <w:p>
            <w:pPr>
              <w:pStyle w:val="10"/>
              <w:spacing w:line="400" w:lineRule="exact"/>
              <w:ind w:left="107" w:leftChars="0"/>
              <w:jc w:val="center"/>
              <w:rPr>
                <w:rFonts w:hint="eastAsia" w:eastAsia="宋体" w:cs="宋体"/>
                <w:b/>
                <w:bCs/>
                <w:sz w:val="24"/>
                <w:szCs w:val="24"/>
                <w:lang w:val="en-US" w:eastAsia="zh-CN"/>
              </w:rPr>
            </w:pPr>
            <w:r>
              <w:rPr>
                <w:rFonts w:hint="eastAsia" w:eastAsia="宋体" w:cs="宋体"/>
                <w:b/>
                <w:bCs/>
                <w:sz w:val="24"/>
                <w:szCs w:val="24"/>
                <w:lang w:val="en-US" w:eastAsia="zh-CN"/>
              </w:rPr>
              <w:t>调整后</w:t>
            </w:r>
          </w:p>
          <w:p>
            <w:pPr>
              <w:pStyle w:val="10"/>
              <w:spacing w:line="400" w:lineRule="exact"/>
              <w:ind w:left="107" w:leftChars="0"/>
              <w:jc w:val="center"/>
              <w:rPr>
                <w:rFonts w:hint="default" w:eastAsia="宋体" w:cs="宋体"/>
                <w:b/>
                <w:bCs/>
                <w:sz w:val="24"/>
                <w:szCs w:val="24"/>
                <w:lang w:val="en-US" w:eastAsia="zh-CN"/>
              </w:rPr>
            </w:pPr>
            <w:r>
              <w:rPr>
                <w:rFonts w:hint="eastAsia" w:eastAsia="宋体" w:cs="宋体"/>
                <w:b/>
                <w:bCs/>
                <w:sz w:val="24"/>
                <w:szCs w:val="24"/>
                <w:lang w:val="en-US" w:eastAsia="zh-CN"/>
              </w:rPr>
              <w:t>得分</w:t>
            </w:r>
          </w:p>
        </w:tc>
        <w:tc>
          <w:tcPr>
            <w:tcW w:w="3958" w:type="dxa"/>
            <w:vAlign w:val="center"/>
          </w:tcPr>
          <w:p>
            <w:pPr>
              <w:pStyle w:val="10"/>
              <w:spacing w:line="400" w:lineRule="exact"/>
              <w:jc w:val="center"/>
              <w:rPr>
                <w:rFonts w:hint="default" w:eastAsia="宋体" w:cs="宋体"/>
                <w:b/>
                <w:bCs/>
                <w:sz w:val="24"/>
                <w:szCs w:val="24"/>
                <w:lang w:val="en-US" w:eastAsia="zh-CN"/>
              </w:rPr>
            </w:pPr>
            <w:r>
              <w:rPr>
                <w:rFonts w:hint="eastAsia" w:eastAsia="宋体" w:cs="宋体"/>
                <w:b/>
                <w:bCs/>
                <w:sz w:val="24"/>
                <w:szCs w:val="24"/>
                <w:lang w:eastAsia="zh-CN"/>
              </w:rPr>
              <w:t>文献</w:t>
            </w:r>
            <w:r>
              <w:rPr>
                <w:rFonts w:hint="eastAsia" w:eastAsia="宋体" w:cs="宋体"/>
                <w:b/>
                <w:bCs/>
                <w:sz w:val="24"/>
                <w:szCs w:val="24"/>
                <w:lang w:val="en-US" w:eastAsia="zh-CN"/>
              </w:rPr>
              <w:t>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公司管理层在破产前的义务</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Menezes,Mocheva,and Shankar (2020); </w:t>
            </w:r>
          </w:p>
          <w:p>
            <w:pPr>
              <w:pStyle w:val="10"/>
              <w:spacing w:line="400" w:lineRule="exact"/>
              <w:jc w:val="both"/>
              <w:rPr>
                <w:rFonts w:eastAsia="宋体" w:cs="宋体"/>
                <w:sz w:val="24"/>
                <w:szCs w:val="24"/>
                <w:lang w:eastAsia="zh-CN"/>
              </w:rPr>
            </w:pPr>
            <w:r>
              <w:rPr>
                <w:rFonts w:hint="eastAsia" w:eastAsia="宋体" w:cs="宋体"/>
                <w:sz w:val="24"/>
                <w:szCs w:val="24"/>
                <w:lang w:eastAsia="zh-CN"/>
              </w:rPr>
              <w:t>Menezes</w:t>
            </w:r>
            <w:r>
              <w:rPr>
                <w:rFonts w:hint="eastAsia" w:eastAsia="宋体" w:cs="宋体"/>
                <w:sz w:val="24"/>
                <w:szCs w:val="24"/>
                <w:lang w:val="en-US" w:eastAsia="zh-CN"/>
              </w:rPr>
              <w:t xml:space="preserve"> </w:t>
            </w:r>
            <w:r>
              <w:rPr>
                <w:rFonts w:hint="eastAsia" w:eastAsia="宋体" w:cs="宋体"/>
                <w:sz w:val="24"/>
                <w:szCs w:val="24"/>
                <w:lang w:eastAsia="zh-CN"/>
              </w:rPr>
              <w:t>et al. (2022); UNCITRAL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庭外重组机制</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Dancausa, Muro, and Uttamchandani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(2020); Menezes et al. (2022); WB-ICR </w:t>
            </w:r>
          </w:p>
          <w:p>
            <w:pPr>
              <w:pStyle w:val="10"/>
              <w:spacing w:line="400" w:lineRule="exact"/>
              <w:jc w:val="both"/>
              <w:rPr>
                <w:rFonts w:eastAsia="宋体" w:cs="宋体"/>
                <w:sz w:val="24"/>
                <w:szCs w:val="24"/>
                <w:lang w:eastAsia="zh-CN"/>
              </w:rPr>
            </w:pPr>
            <w:r>
              <w:rPr>
                <w:rFonts w:hint="eastAsia" w:eastAsia="宋体" w:cs="宋体"/>
                <w:sz w:val="24"/>
                <w:szCs w:val="24"/>
                <w:lang w:eastAsia="zh-CN"/>
              </w:rPr>
              <w:t>Task Force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正式重组程序的启动</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keepNext w:val="0"/>
              <w:keepLines w:val="0"/>
              <w:widowControl/>
              <w:suppressLineNumbers w:val="0"/>
              <w:jc w:val="both"/>
              <w:rPr>
                <w:rFonts w:hint="eastAsia" w:ascii="Times New Roman" w:hAnsi="Times New Roman" w:eastAsia="宋体" w:cs="宋体"/>
                <w:sz w:val="24"/>
                <w:szCs w:val="24"/>
                <w:lang w:val="en-US" w:eastAsia="zh-CN" w:bidi="ar-SA"/>
              </w:rPr>
            </w:pPr>
            <w:r>
              <w:rPr>
                <w:rFonts w:hint="default" w:ascii="Times New Roman" w:hAnsi="Times New Roman" w:eastAsia="宋体" w:cs="宋体"/>
                <w:sz w:val="24"/>
                <w:szCs w:val="24"/>
                <w:lang w:val="en-US" w:eastAsia="zh-CN" w:bidi="ar-SA"/>
              </w:rPr>
              <w:t xml:space="preserve">Faber et al. (2012); UNCITRAL (2005)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正式清算程序的启动</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keepNext w:val="0"/>
              <w:keepLines w:val="0"/>
              <w:widowControl/>
              <w:suppressLineNumbers w:val="0"/>
              <w:jc w:val="both"/>
              <w:rPr>
                <w:rFonts w:hint="eastAsia" w:ascii="Times New Roman" w:hAnsi="Times New Roman" w:eastAsia="宋体" w:cs="宋体"/>
                <w:sz w:val="24"/>
                <w:szCs w:val="24"/>
                <w:lang w:val="en-US" w:eastAsia="zh-CN" w:bidi="ar-SA"/>
              </w:rPr>
            </w:pPr>
            <w:r>
              <w:rPr>
                <w:rFonts w:hint="default" w:ascii="Times New Roman" w:hAnsi="Times New Roman" w:eastAsia="宋体" w:cs="宋体"/>
                <w:sz w:val="24"/>
                <w:szCs w:val="24"/>
                <w:lang w:val="en-US" w:eastAsia="zh-CN" w:bidi="ar-SA"/>
              </w:rPr>
              <w:t xml:space="preserve">Faber et al. (2012); UNCITRAL (2005)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启动正式破产程序的依据</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keepNext w:val="0"/>
              <w:keepLines w:val="0"/>
              <w:widowControl/>
              <w:suppressLineNumbers w:val="0"/>
              <w:jc w:val="both"/>
              <w:rPr>
                <w:rFonts w:hint="eastAsia" w:ascii="Times New Roman" w:hAnsi="Times New Roman" w:eastAsia="宋体" w:cs="宋体"/>
                <w:sz w:val="24"/>
                <w:szCs w:val="24"/>
                <w:lang w:val="en-US" w:eastAsia="zh-CN" w:bidi="ar-SA"/>
              </w:rPr>
            </w:pPr>
            <w:r>
              <w:rPr>
                <w:rFonts w:hint="default" w:ascii="Times New Roman" w:hAnsi="Times New Roman" w:eastAsia="宋体" w:cs="宋体"/>
                <w:sz w:val="24"/>
                <w:szCs w:val="24"/>
                <w:lang w:val="en-US" w:eastAsia="zh-CN" w:bidi="ar-SA"/>
              </w:rPr>
              <w:t xml:space="preserve">Faber et al. (2012); UNCITRAL (2005)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子类别1.1.1的总分</w:t>
            </w:r>
          </w:p>
        </w:tc>
        <w:tc>
          <w:tcPr>
            <w:tcW w:w="99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5</w:t>
            </w:r>
          </w:p>
        </w:tc>
        <w:tc>
          <w:tcPr>
            <w:tcW w:w="867"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5</w:t>
            </w:r>
          </w:p>
        </w:tc>
        <w:tc>
          <w:tcPr>
            <w:tcW w:w="66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10</w:t>
            </w:r>
          </w:p>
        </w:tc>
        <w:tc>
          <w:tcPr>
            <w:tcW w:w="103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18.85</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1.1.2清算和重组程序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债权人索赔证明的通知</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Fletcher (2017; Klapper (2011); </w:t>
            </w:r>
          </w:p>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重组方案的表决方式</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Fletcher (2017; Klapper (2011); </w:t>
            </w:r>
          </w:p>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重组计划的表决方式</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Fletcher (2017; Klapper (2011); </w:t>
            </w:r>
          </w:p>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重整中对持异议债权人的保护</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Fletcher (2017; Klapper (2011); </w:t>
            </w:r>
          </w:p>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从重组到清算的转换</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Fletcher (2017; Klapper (2011); </w:t>
            </w:r>
          </w:p>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子类别1.2.1的总分</w:t>
            </w:r>
          </w:p>
        </w:tc>
        <w:tc>
          <w:tcPr>
            <w:tcW w:w="99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5</w:t>
            </w:r>
          </w:p>
        </w:tc>
        <w:tc>
          <w:tcPr>
            <w:tcW w:w="867"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5</w:t>
            </w:r>
          </w:p>
        </w:tc>
        <w:tc>
          <w:tcPr>
            <w:tcW w:w="66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10</w:t>
            </w:r>
          </w:p>
        </w:tc>
        <w:tc>
          <w:tcPr>
            <w:tcW w:w="103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18.85</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1.1.3破产管理人的专业知识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资格要求</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Feiden and Wielenberg (2017);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UNCITRAL(2005); World Bank Group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取消资格的条件</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Feiden and Wielenberg (2017);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UNCITRAL(2005); World Bank Group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选拔和解聘机制</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Feiden and Wielenberg (2017);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UNCITRAL(2005); World Bank Group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子类别1.3.1的总分</w:t>
            </w:r>
          </w:p>
        </w:tc>
        <w:tc>
          <w:tcPr>
            <w:tcW w:w="99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3.</w:t>
            </w:r>
          </w:p>
        </w:tc>
        <w:tc>
          <w:tcPr>
            <w:tcW w:w="867"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3.</w:t>
            </w:r>
          </w:p>
        </w:tc>
        <w:tc>
          <w:tcPr>
            <w:tcW w:w="66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6</w:t>
            </w:r>
          </w:p>
        </w:tc>
        <w:tc>
          <w:tcPr>
            <w:tcW w:w="103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11.31</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1.1类总分</w:t>
            </w:r>
          </w:p>
        </w:tc>
        <w:tc>
          <w:tcPr>
            <w:tcW w:w="996"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w:t>
            </w:r>
          </w:p>
        </w:tc>
        <w:tc>
          <w:tcPr>
            <w:tcW w:w="867"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w:t>
            </w:r>
          </w:p>
        </w:tc>
        <w:tc>
          <w:tcPr>
            <w:tcW w:w="666"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26</w:t>
            </w:r>
          </w:p>
        </w:tc>
        <w:tc>
          <w:tcPr>
            <w:tcW w:w="1035"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49.01</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CCD4E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1.2资产和利益相关者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1.2.1债务人资产管理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诉讼程序自动中止</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1.89</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García-Posada (2021);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自动停止诉讼程序的例外和救济</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García-Posada (2021);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现有基本合同的延续</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García-Posada (2021);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拒绝现有的繁重合同和资产</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1.89</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García-Posada (2021);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取消优先和低估交易</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García-Posada (2021);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开庭后信贷可用性和优先权</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García-Posada (2021);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子类别1.2.1的总分</w:t>
            </w:r>
          </w:p>
        </w:tc>
        <w:tc>
          <w:tcPr>
            <w:tcW w:w="99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6</w:t>
            </w:r>
          </w:p>
        </w:tc>
        <w:tc>
          <w:tcPr>
            <w:tcW w:w="867"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4</w:t>
            </w:r>
          </w:p>
        </w:tc>
        <w:tc>
          <w:tcPr>
            <w:tcW w:w="66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10</w:t>
            </w:r>
          </w:p>
        </w:tc>
        <w:tc>
          <w:tcPr>
            <w:tcW w:w="103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18.86</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52" w:type="dxa"/>
            <w:gridSpan w:val="6"/>
            <w:shd w:val="clear" w:color="auto" w:fill="E7EBF5"/>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1.2.2债权人参与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债权人代表</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Block-Lieb et al. (2013);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债权人要求提供资料</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Block-Lieb et al. (2013);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担保索赔的优先权</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Block-Lieb et al. (2013); UNCITRAL </w:t>
            </w:r>
          </w:p>
          <w:p>
            <w:pPr>
              <w:pStyle w:val="10"/>
              <w:spacing w:line="400" w:lineRule="exact"/>
              <w:jc w:val="both"/>
              <w:rPr>
                <w:rFonts w:eastAsia="宋体" w:cs="宋体"/>
                <w:sz w:val="24"/>
                <w:szCs w:val="24"/>
                <w:lang w:eastAsia="zh-CN"/>
              </w:rPr>
            </w:pPr>
            <w:r>
              <w:rPr>
                <w:rFonts w:hint="eastAsia" w:eastAsia="宋体" w:cs="宋体"/>
                <w:sz w:val="24"/>
                <w:szCs w:val="24"/>
                <w:lang w:eastAsia="zh-CN"/>
              </w:rPr>
              <w:t>(2005);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劳动和环境索赔的优先权</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ILO (2020); Inacio et al.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劳动索赔特别制度</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1.89</w:t>
            </w:r>
          </w:p>
        </w:tc>
        <w:tc>
          <w:tcPr>
            <w:tcW w:w="395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ILO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子类别1.2.2总分</w:t>
            </w:r>
          </w:p>
        </w:tc>
        <w:tc>
          <w:tcPr>
            <w:tcW w:w="99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4</w:t>
            </w:r>
          </w:p>
        </w:tc>
        <w:tc>
          <w:tcPr>
            <w:tcW w:w="867"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5</w:t>
            </w:r>
          </w:p>
        </w:tc>
        <w:tc>
          <w:tcPr>
            <w:tcW w:w="66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9</w:t>
            </w:r>
          </w:p>
        </w:tc>
        <w:tc>
          <w:tcPr>
            <w:tcW w:w="103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16.97</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1.2类总分</w:t>
            </w:r>
          </w:p>
        </w:tc>
        <w:tc>
          <w:tcPr>
            <w:tcW w:w="996"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w:t>
            </w:r>
          </w:p>
        </w:tc>
        <w:tc>
          <w:tcPr>
            <w:tcW w:w="867"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9</w:t>
            </w:r>
          </w:p>
        </w:tc>
        <w:tc>
          <w:tcPr>
            <w:tcW w:w="666"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19</w:t>
            </w:r>
          </w:p>
        </w:tc>
        <w:tc>
          <w:tcPr>
            <w:tcW w:w="1035"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35.83</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CCD4E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1.3专门程序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1.3.1微型和小型企业(MSEs)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可用性和资格</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Guerra-Martinez (2021); IMF (2021);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UNCITRAL(2021,2022); World Bank </w:t>
            </w:r>
          </w:p>
          <w:p>
            <w:pPr>
              <w:pStyle w:val="10"/>
              <w:spacing w:line="400" w:lineRule="exact"/>
              <w:jc w:val="both"/>
              <w:rPr>
                <w:rFonts w:eastAsia="宋体" w:cs="宋体"/>
                <w:sz w:val="24"/>
                <w:szCs w:val="24"/>
                <w:lang w:eastAsia="zh-CN"/>
              </w:rPr>
            </w:pPr>
            <w:r>
              <w:rPr>
                <w:rFonts w:hint="eastAsia" w:eastAsia="宋体" w:cs="宋体"/>
                <w:sz w:val="24"/>
                <w:szCs w:val="24"/>
                <w:lang w:eastAsia="zh-CN"/>
              </w:rPr>
              <w:t>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诉讼程序的转换</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Guerra-Martinez (2021); IMF (2021);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UNCITRAL(2021,2022); World Bank </w:t>
            </w:r>
          </w:p>
          <w:p>
            <w:pPr>
              <w:pStyle w:val="10"/>
              <w:spacing w:line="400" w:lineRule="exact"/>
              <w:jc w:val="both"/>
              <w:rPr>
                <w:rFonts w:eastAsia="宋体" w:cs="宋体"/>
                <w:sz w:val="24"/>
                <w:szCs w:val="24"/>
                <w:lang w:eastAsia="zh-CN"/>
              </w:rPr>
            </w:pPr>
            <w:r>
              <w:rPr>
                <w:rFonts w:hint="eastAsia" w:eastAsia="宋体" w:cs="宋体"/>
                <w:sz w:val="24"/>
                <w:szCs w:val="24"/>
                <w:lang w:eastAsia="zh-CN"/>
              </w:rPr>
              <w:t>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债务清偿</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3.77</w:t>
            </w:r>
          </w:p>
        </w:tc>
        <w:tc>
          <w:tcPr>
            <w:tcW w:w="3958"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Guerra-Martinez (2021); IMF (2021); </w:t>
            </w:r>
          </w:p>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UNCITRAL(2021,2022); World Bank </w:t>
            </w:r>
          </w:p>
          <w:p>
            <w:pPr>
              <w:pStyle w:val="10"/>
              <w:spacing w:line="400" w:lineRule="exact"/>
              <w:jc w:val="both"/>
              <w:rPr>
                <w:rFonts w:eastAsia="宋体" w:cs="宋体"/>
                <w:sz w:val="24"/>
                <w:szCs w:val="24"/>
                <w:lang w:eastAsia="zh-CN"/>
              </w:rPr>
            </w:pPr>
            <w:r>
              <w:rPr>
                <w:rFonts w:hint="eastAsia" w:eastAsia="宋体" w:cs="宋体"/>
                <w:sz w:val="24"/>
                <w:szCs w:val="24"/>
                <w:lang w:eastAsia="zh-CN"/>
              </w:rPr>
              <w:t>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子类别1.3.1的总分</w:t>
            </w:r>
          </w:p>
        </w:tc>
        <w:tc>
          <w:tcPr>
            <w:tcW w:w="99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3.</w:t>
            </w:r>
          </w:p>
        </w:tc>
        <w:tc>
          <w:tcPr>
            <w:tcW w:w="867"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3.</w:t>
            </w:r>
          </w:p>
        </w:tc>
        <w:tc>
          <w:tcPr>
            <w:tcW w:w="666"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6</w:t>
            </w:r>
          </w:p>
        </w:tc>
        <w:tc>
          <w:tcPr>
            <w:tcW w:w="103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11.31</w:t>
            </w:r>
          </w:p>
        </w:tc>
        <w:tc>
          <w:tcPr>
            <w:tcW w:w="3958"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2" w:type="dxa"/>
            <w:gridSpan w:val="6"/>
            <w:shd w:val="clear" w:color="auto" w:fill="E7EBF5"/>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1.3.2跨境破产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外国破产程序框架的存在与承认</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1.89</w:t>
            </w:r>
          </w:p>
        </w:tc>
        <w:tc>
          <w:tcPr>
            <w:tcW w:w="395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(2014);World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3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有与其他国家或地区的法院和代表合作的法律框架</w:t>
            </w:r>
          </w:p>
        </w:tc>
        <w:tc>
          <w:tcPr>
            <w:tcW w:w="99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8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1.89</w:t>
            </w:r>
          </w:p>
        </w:tc>
        <w:tc>
          <w:tcPr>
            <w:tcW w:w="395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UNCITRAL (2014);World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子类别1.3.2的总分</w:t>
            </w:r>
          </w:p>
        </w:tc>
        <w:tc>
          <w:tcPr>
            <w:tcW w:w="996"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867"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6"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035"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3.78</w:t>
            </w:r>
          </w:p>
        </w:tc>
        <w:tc>
          <w:tcPr>
            <w:tcW w:w="3958" w:type="dxa"/>
            <w:shd w:val="clear" w:color="auto" w:fill="FFC000"/>
            <w:vAlign w:val="center"/>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1.3类总分</w:t>
            </w:r>
          </w:p>
        </w:tc>
        <w:tc>
          <w:tcPr>
            <w:tcW w:w="996"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w:t>
            </w:r>
          </w:p>
        </w:tc>
        <w:tc>
          <w:tcPr>
            <w:tcW w:w="86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w:t>
            </w:r>
          </w:p>
        </w:tc>
        <w:tc>
          <w:tcPr>
            <w:tcW w:w="666"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8</w:t>
            </w:r>
          </w:p>
        </w:tc>
        <w:tc>
          <w:tcPr>
            <w:tcW w:w="1035"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15.09</w:t>
            </w:r>
          </w:p>
        </w:tc>
        <w:tc>
          <w:tcPr>
            <w:tcW w:w="3958" w:type="dxa"/>
            <w:shd w:val="clear" w:color="auto" w:fill="FFC000"/>
            <w:vAlign w:val="center"/>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30"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维度 I总分</w:t>
            </w:r>
          </w:p>
        </w:tc>
        <w:tc>
          <w:tcPr>
            <w:tcW w:w="996"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28</w:t>
            </w:r>
          </w:p>
        </w:tc>
        <w:tc>
          <w:tcPr>
            <w:tcW w:w="86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25</w:t>
            </w:r>
          </w:p>
        </w:tc>
        <w:tc>
          <w:tcPr>
            <w:tcW w:w="666"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53</w:t>
            </w:r>
          </w:p>
        </w:tc>
        <w:tc>
          <w:tcPr>
            <w:tcW w:w="1035"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3958" w:type="dxa"/>
            <w:shd w:val="clear" w:color="auto" w:fill="FFC000"/>
            <w:vAlign w:val="center"/>
          </w:tcPr>
          <w:p>
            <w:pPr>
              <w:pStyle w:val="10"/>
              <w:spacing w:line="400" w:lineRule="exact"/>
              <w:jc w:val="both"/>
              <w:rPr>
                <w:rFonts w:eastAsia="宋体" w:cs="宋体"/>
                <w:sz w:val="24"/>
                <w:szCs w:val="24"/>
                <w:lang w:eastAsia="zh-CN"/>
              </w:rPr>
            </w:pPr>
          </w:p>
        </w:tc>
      </w:tr>
    </w:tbl>
    <w:p>
      <w:pPr>
        <w:spacing w:before="6" w:line="400" w:lineRule="exact"/>
        <w:ind w:left="100" w:right="239" w:firstLine="420" w:firstLineChars="200"/>
        <w:jc w:val="both"/>
        <w:rPr>
          <w:rFonts w:eastAsia="宋体"/>
          <w:sz w:val="21"/>
          <w:szCs w:val="21"/>
          <w:lang w:eastAsia="zh-CN"/>
        </w:rPr>
      </w:pPr>
      <w:r>
        <w:rPr>
          <w:rFonts w:eastAsia="宋体" w:cs="宋体"/>
          <w:i/>
          <w:sz w:val="21"/>
          <w:szCs w:val="21"/>
          <w:lang w:eastAsia="zh-CN"/>
        </w:rPr>
        <w:t>注:</w:t>
      </w:r>
      <w:r>
        <w:rPr>
          <w:rFonts w:eastAsia="宋体" w:cs="宋体"/>
          <w:sz w:val="21"/>
          <w:szCs w:val="21"/>
          <w:lang w:eastAsia="zh-CN"/>
        </w:rPr>
        <w:t>n.a. =不适用(指对企业或社会的影响不明确或不存在的情况)。FFP =</w:t>
      </w:r>
      <w:r>
        <w:rPr>
          <w:rFonts w:hint="eastAsia" w:eastAsia="宋体" w:cs="宋体"/>
          <w:sz w:val="21"/>
          <w:szCs w:val="21"/>
          <w:lang w:eastAsia="zh-CN"/>
        </w:rPr>
        <w:t>企业灵活</w:t>
      </w:r>
      <w:r>
        <w:rPr>
          <w:rFonts w:hint="eastAsia" w:eastAsia="宋体" w:cs="宋体"/>
          <w:sz w:val="21"/>
          <w:szCs w:val="21"/>
          <w:lang w:val="en-US" w:eastAsia="zh-CN"/>
        </w:rPr>
        <w:t>度得</w:t>
      </w:r>
      <w:r>
        <w:rPr>
          <w:rFonts w:hint="eastAsia" w:eastAsia="宋体" w:cs="宋体"/>
          <w:sz w:val="21"/>
          <w:szCs w:val="21"/>
          <w:lang w:eastAsia="zh-CN"/>
        </w:rPr>
        <w:t>分</w:t>
      </w:r>
      <w:r>
        <w:rPr>
          <w:rFonts w:eastAsia="宋体" w:cs="宋体"/>
          <w:sz w:val="21"/>
          <w:szCs w:val="21"/>
          <w:lang w:eastAsia="zh-CN"/>
        </w:rPr>
        <w:t>;SBP =社会效益</w:t>
      </w:r>
      <w:r>
        <w:rPr>
          <w:rFonts w:hint="eastAsia" w:eastAsia="宋体" w:cs="宋体"/>
          <w:sz w:val="21"/>
          <w:szCs w:val="21"/>
          <w:lang w:val="en-US" w:eastAsia="zh-CN"/>
        </w:rPr>
        <w:t>得</w:t>
      </w:r>
      <w:r>
        <w:rPr>
          <w:rFonts w:eastAsia="宋体" w:cs="宋体"/>
          <w:sz w:val="21"/>
          <w:szCs w:val="21"/>
          <w:lang w:eastAsia="zh-CN"/>
        </w:rPr>
        <w:t>分。</w:t>
      </w:r>
    </w:p>
    <w:p>
      <w:pPr>
        <w:spacing w:before="4" w:line="400" w:lineRule="exact"/>
        <w:ind w:left="100" w:right="239" w:firstLine="560" w:firstLineChars="200"/>
        <w:jc w:val="both"/>
        <w:rPr>
          <w:rFonts w:eastAsia="宋体"/>
          <w:sz w:val="28"/>
          <w:lang w:eastAsia="zh-CN"/>
        </w:rPr>
        <w:sectPr>
          <w:pgSz w:w="15840" w:h="12240" w:orient="landscape"/>
          <w:pgMar w:top="1140" w:right="1320" w:bottom="280" w:left="1340" w:header="720" w:footer="720" w:gutter="0"/>
          <w:cols w:space="720" w:num="1"/>
        </w:sectPr>
      </w:pPr>
    </w:p>
    <w:p>
      <w:pPr>
        <w:pStyle w:val="3"/>
        <w:spacing w:before="1" w:line="400" w:lineRule="exact"/>
        <w:jc w:val="both"/>
        <w:rPr>
          <w:rFonts w:eastAsia="宋体"/>
          <w:sz w:val="28"/>
          <w:lang w:eastAsia="zh-CN"/>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1"/>
        <w:gridCol w:w="982"/>
        <w:gridCol w:w="782"/>
        <w:gridCol w:w="645"/>
        <w:gridCol w:w="1164"/>
        <w:gridCol w:w="3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55" w:type="dxa"/>
            <w:gridSpan w:val="6"/>
            <w:shd w:val="clear" w:color="auto" w:fill="0F6EC5"/>
          </w:tcPr>
          <w:p>
            <w:pPr>
              <w:pStyle w:val="10"/>
              <w:spacing w:line="400" w:lineRule="exact"/>
              <w:jc w:val="both"/>
              <w:rPr>
                <w:rFonts w:eastAsia="宋体" w:cs="宋体"/>
                <w:b/>
                <w:bCs/>
                <w:sz w:val="24"/>
                <w:szCs w:val="24"/>
                <w:lang w:eastAsia="zh-CN"/>
              </w:rPr>
            </w:pPr>
            <w:r>
              <w:rPr>
                <w:rFonts w:hint="eastAsia" w:eastAsia="宋体" w:cs="宋体"/>
                <w:b/>
                <w:bCs/>
                <w:color w:val="FFFFFF" w:themeColor="background1"/>
                <w:sz w:val="24"/>
                <w:szCs w:val="24"/>
                <w:lang w:eastAsia="zh-CN"/>
                <w14:textFill>
                  <w14:solidFill>
                    <w14:schemeClr w14:val="bg1"/>
                  </w14:solidFill>
                </w14:textFill>
              </w:rPr>
              <w:t>维度II——公共服务:破产程序的体制和业务基础设施的质量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5" w:type="dxa"/>
            <w:gridSpan w:val="6"/>
            <w:shd w:val="clear" w:color="auto" w:fill="CCD4E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2.1数字化和在线服务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55" w:type="dxa"/>
            <w:gridSpan w:val="6"/>
            <w:shd w:val="clear" w:color="auto" w:fill="E7EBF5"/>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2.1.1 e-Courts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421" w:type="dx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982" w:type="dxa"/>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企业</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灵活</w:t>
            </w:r>
            <w:r>
              <w:rPr>
                <w:rFonts w:hint="eastAsia" w:eastAsia="宋体" w:cs="宋体"/>
                <w:b/>
                <w:bCs/>
                <w:sz w:val="24"/>
                <w:szCs w:val="24"/>
                <w:lang w:val="en-US" w:eastAsia="zh-CN"/>
              </w:rPr>
              <w:t>度得分</w:t>
            </w:r>
          </w:p>
        </w:tc>
        <w:tc>
          <w:tcPr>
            <w:tcW w:w="782" w:type="dxa"/>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社会</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效益</w:t>
            </w:r>
            <w:r>
              <w:rPr>
                <w:rFonts w:hint="eastAsia" w:eastAsia="宋体" w:cs="宋体"/>
                <w:b/>
                <w:bCs/>
                <w:sz w:val="24"/>
                <w:szCs w:val="24"/>
                <w:lang w:val="en-US" w:eastAsia="zh-CN"/>
              </w:rPr>
              <w:t>得分</w:t>
            </w:r>
          </w:p>
        </w:tc>
        <w:tc>
          <w:tcPr>
            <w:tcW w:w="645"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c>
          <w:tcPr>
            <w:tcW w:w="1164" w:type="dxa"/>
            <w:vAlign w:val="center"/>
          </w:tcPr>
          <w:p>
            <w:pPr>
              <w:pStyle w:val="10"/>
              <w:spacing w:line="400" w:lineRule="exact"/>
              <w:ind w:left="107" w:leftChars="0"/>
              <w:jc w:val="center"/>
              <w:rPr>
                <w:rFonts w:hint="eastAsia" w:eastAsia="宋体" w:cs="宋体"/>
                <w:b/>
                <w:bCs/>
                <w:sz w:val="24"/>
                <w:szCs w:val="24"/>
                <w:lang w:val="en-US" w:eastAsia="zh-CN"/>
              </w:rPr>
            </w:pPr>
            <w:r>
              <w:rPr>
                <w:rFonts w:hint="eastAsia" w:eastAsia="宋体" w:cs="宋体"/>
                <w:b/>
                <w:bCs/>
                <w:sz w:val="24"/>
                <w:szCs w:val="24"/>
                <w:lang w:val="en-US" w:eastAsia="zh-CN"/>
              </w:rPr>
              <w:t>调整后</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val="en-US" w:eastAsia="zh-CN"/>
              </w:rPr>
              <w:t>得分</w:t>
            </w:r>
          </w:p>
        </w:tc>
        <w:tc>
          <w:tcPr>
            <w:tcW w:w="3961"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文献</w:t>
            </w:r>
            <w:r>
              <w:rPr>
                <w:rFonts w:hint="eastAsia" w:eastAsia="宋体" w:cs="宋体"/>
                <w:b/>
                <w:bCs/>
                <w:sz w:val="24"/>
                <w:szCs w:val="24"/>
                <w:lang w:val="en-US" w:eastAsia="zh-CN"/>
              </w:rPr>
              <w:t>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电子文件</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Cabral et al. (2012); CEPEJ (2021a, 2021b); Cordella et al. (2020); Frade et al. (2020); UNCITRAL (2021); World Bank Group (2021); Zorza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以电子方式支付法庭费用</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Cabral et al. (2012); CEPEJ (2021a, 2021b); Cordella et al. (2020); Frade et al. (2020); UNCITRAL (2021); World Bank Group (2021); Zorza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法官和律师的电子案件管理</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Cabral et al. (2012); CEPEJ (2021a, 2021b); Cordella et al. (2020); Frade et al. (2020); UNCITRAL (2021); World Bank Group (2021); Zorza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破产管理人的电子案件管理</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Cabral et al. (2012); CEPEJ (2021a, 2021b); Cordella et al. (2020); Frade et al. (2020); UNCITRAL (2021); World Bank Group (2021); Zorza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电子拍卖</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Cabral et al. (2012); CEPEJ (2021a, 2021b); Cordella et al. (2020); Frade et al. (2020); UNCITRAL (2021); World Bank Group (2021); Zorza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网上听证会</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Cabral et al. (2012); CEPEJ (2021a, 2021b); Cordella et al. (2020); Frade et al. (2020); UNCITRAL (2021); World Bank Group (2021); Zorza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子类别2.1.1总分</w:t>
            </w:r>
          </w:p>
        </w:tc>
        <w:tc>
          <w:tcPr>
            <w:tcW w:w="9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6</w:t>
            </w:r>
          </w:p>
        </w:tc>
        <w:tc>
          <w:tcPr>
            <w:tcW w:w="7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6</w:t>
            </w:r>
          </w:p>
        </w:tc>
        <w:tc>
          <w:tcPr>
            <w:tcW w:w="64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12</w:t>
            </w:r>
          </w:p>
        </w:tc>
        <w:tc>
          <w:tcPr>
            <w:tcW w:w="1164"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49.98</w:t>
            </w:r>
          </w:p>
        </w:tc>
        <w:tc>
          <w:tcPr>
            <w:tcW w:w="3961"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5" w:type="dxa"/>
            <w:gridSpan w:val="6"/>
            <w:shd w:val="clear" w:color="auto" w:fill="E7EBF5"/>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2.1.2破产程序服务(电子服务)的互操作性和信息的公开可用性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与外部系统的互操作性</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Byfield (2011); CEPEJ (2021a, 2021b); </w:t>
            </w:r>
          </w:p>
          <w:p>
            <w:pPr>
              <w:pStyle w:val="10"/>
              <w:spacing w:line="400" w:lineRule="exact"/>
              <w:jc w:val="both"/>
              <w:rPr>
                <w:rFonts w:eastAsia="宋体" w:cs="宋体"/>
                <w:sz w:val="24"/>
                <w:szCs w:val="24"/>
                <w:lang w:eastAsia="zh-CN"/>
              </w:rPr>
            </w:pPr>
            <w:r>
              <w:rPr>
                <w:rFonts w:hint="eastAsia" w:eastAsia="宋体" w:cs="宋体"/>
                <w:sz w:val="24"/>
                <w:szCs w:val="24"/>
                <w:lang w:eastAsia="zh-CN"/>
              </w:rPr>
              <w:t>INSOL International (2019); OECD (2020);UNCITRAL(2021);World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破产程序判决书的公布</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Byfield (2011); CEPEJ (2021a, 2021b); </w:t>
            </w:r>
          </w:p>
          <w:p>
            <w:pPr>
              <w:pStyle w:val="10"/>
              <w:spacing w:line="400" w:lineRule="exact"/>
              <w:jc w:val="both"/>
              <w:rPr>
                <w:rFonts w:eastAsia="宋体" w:cs="宋体"/>
                <w:sz w:val="24"/>
                <w:szCs w:val="24"/>
                <w:lang w:eastAsia="zh-CN"/>
              </w:rPr>
            </w:pPr>
            <w:r>
              <w:rPr>
                <w:rFonts w:hint="eastAsia" w:eastAsia="宋体" w:cs="宋体"/>
                <w:sz w:val="24"/>
                <w:szCs w:val="24"/>
                <w:lang w:eastAsia="zh-CN"/>
              </w:rPr>
              <w:t>INSOL International (2019); OECD (2020);UNCITRAL(2021);World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公布破产程序</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Byfield (2011); CEPEJ (2021a, 2021b); </w:t>
            </w:r>
          </w:p>
          <w:p>
            <w:pPr>
              <w:pStyle w:val="10"/>
              <w:spacing w:line="400" w:lineRule="exact"/>
              <w:jc w:val="both"/>
              <w:rPr>
                <w:rFonts w:eastAsia="宋体" w:cs="宋体"/>
                <w:sz w:val="24"/>
                <w:szCs w:val="24"/>
                <w:lang w:eastAsia="zh-CN"/>
              </w:rPr>
            </w:pPr>
            <w:r>
              <w:rPr>
                <w:rFonts w:hint="eastAsia" w:eastAsia="宋体" w:cs="宋体"/>
                <w:sz w:val="24"/>
                <w:szCs w:val="24"/>
                <w:lang w:eastAsia="zh-CN"/>
              </w:rPr>
              <w:t>INSOL International (2019); OECD (2020);UNCITRAL(2021);World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公布破产从业员登记册</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Byfield (2011); CEPEJ (2021a, 2021b); </w:t>
            </w:r>
          </w:p>
          <w:p>
            <w:pPr>
              <w:pStyle w:val="10"/>
              <w:spacing w:line="400" w:lineRule="exact"/>
              <w:jc w:val="both"/>
              <w:rPr>
                <w:rFonts w:eastAsia="宋体" w:cs="宋体"/>
                <w:sz w:val="24"/>
                <w:szCs w:val="24"/>
                <w:lang w:eastAsia="zh-CN"/>
              </w:rPr>
            </w:pPr>
            <w:r>
              <w:rPr>
                <w:rFonts w:hint="eastAsia" w:eastAsia="宋体" w:cs="宋体"/>
                <w:sz w:val="24"/>
                <w:szCs w:val="24"/>
                <w:lang w:eastAsia="zh-CN"/>
              </w:rPr>
              <w:t>INSOL International (2019); OECD (2020);UNCITRAL(2021);World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子类别2.1.2的总分</w:t>
            </w:r>
          </w:p>
        </w:tc>
        <w:tc>
          <w:tcPr>
            <w:tcW w:w="9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4</w:t>
            </w:r>
          </w:p>
        </w:tc>
        <w:tc>
          <w:tcPr>
            <w:tcW w:w="7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4</w:t>
            </w:r>
          </w:p>
        </w:tc>
        <w:tc>
          <w:tcPr>
            <w:tcW w:w="64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8</w:t>
            </w:r>
          </w:p>
        </w:tc>
        <w:tc>
          <w:tcPr>
            <w:tcW w:w="1164"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33.32</w:t>
            </w:r>
          </w:p>
        </w:tc>
        <w:tc>
          <w:tcPr>
            <w:tcW w:w="3961"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2.1类总分</w:t>
            </w:r>
          </w:p>
        </w:tc>
        <w:tc>
          <w:tcPr>
            <w:tcW w:w="98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w:t>
            </w:r>
          </w:p>
        </w:tc>
        <w:tc>
          <w:tcPr>
            <w:tcW w:w="78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w:t>
            </w:r>
          </w:p>
        </w:tc>
        <w:tc>
          <w:tcPr>
            <w:tcW w:w="645"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20.</w:t>
            </w:r>
          </w:p>
        </w:tc>
        <w:tc>
          <w:tcPr>
            <w:tcW w:w="1164"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83.30</w:t>
            </w:r>
          </w:p>
        </w:tc>
        <w:tc>
          <w:tcPr>
            <w:tcW w:w="3961" w:type="dxa"/>
            <w:shd w:val="clear" w:color="auto" w:fill="FFC000"/>
          </w:tcPr>
          <w:p>
            <w:pPr>
              <w:pStyle w:val="10"/>
              <w:spacing w:line="400" w:lineRule="exact"/>
              <w:jc w:val="both"/>
              <w:rPr>
                <w:rFonts w:eastAsia="宋体" w:cs="宋体"/>
                <w:b/>
                <w:bCs/>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55" w:type="dxa"/>
            <w:gridSpan w:val="6"/>
            <w:shd w:val="clear" w:color="auto" w:fill="CCD4E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2.2公职人员和破产管理人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5" w:type="dxa"/>
            <w:gridSpan w:val="6"/>
            <w:shd w:val="clear" w:color="auto" w:fill="E7EBF5"/>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2.2.1破产法院或破产法官的专业化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专门法院</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Anderson, Bernstein, and Gray (2005); </w:t>
            </w:r>
          </w:p>
          <w:p>
            <w:pPr>
              <w:pStyle w:val="10"/>
              <w:spacing w:line="400" w:lineRule="exact"/>
              <w:jc w:val="both"/>
              <w:rPr>
                <w:rFonts w:eastAsia="宋体" w:cs="宋体"/>
                <w:sz w:val="24"/>
                <w:szCs w:val="24"/>
                <w:lang w:eastAsia="zh-CN"/>
              </w:rPr>
            </w:pPr>
            <w:r>
              <w:rPr>
                <w:rFonts w:hint="eastAsia" w:eastAsia="宋体" w:cs="宋体"/>
                <w:sz w:val="24"/>
                <w:szCs w:val="24"/>
                <w:lang w:eastAsia="zh-CN"/>
              </w:rPr>
              <w:t>Detotto, Serra, and Vannini (2019); Iverson et al. (2018); Li and Ponticelli (2020);</w:t>
            </w:r>
            <w:r>
              <w:rPr>
                <w:rFonts w:hint="eastAsia" w:eastAsia="宋体" w:cs="宋体"/>
                <w:sz w:val="24"/>
                <w:szCs w:val="24"/>
                <w:lang w:val="en-US" w:eastAsia="zh-CN"/>
              </w:rPr>
              <w:t xml:space="preserve"> </w:t>
            </w:r>
            <w:r>
              <w:rPr>
                <w:rFonts w:hint="eastAsia" w:eastAsia="宋体" w:cs="宋体"/>
                <w:sz w:val="24"/>
                <w:szCs w:val="24"/>
                <w:lang w:eastAsia="zh-CN"/>
              </w:rPr>
              <w:t>Rodano, Serrano-Velarde, and Tarantino (2016); Visaria (2009)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子类别2.2.1总分</w:t>
            </w:r>
          </w:p>
        </w:tc>
        <w:tc>
          <w:tcPr>
            <w:tcW w:w="9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5" w:type="dxa"/>
            <w:gridSpan w:val="6"/>
            <w:shd w:val="clear" w:color="auto" w:fill="E7EBF5"/>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2.2.2破产管理人的实务专长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资格要求</w:t>
            </w:r>
          </w:p>
        </w:tc>
        <w:tc>
          <w:tcPr>
            <w:tcW w:w="9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vAlign w:val="center"/>
          </w:tcPr>
          <w:p>
            <w:pPr>
              <w:pStyle w:val="10"/>
              <w:spacing w:line="400" w:lineRule="exact"/>
              <w:jc w:val="left"/>
              <w:rPr>
                <w:rFonts w:eastAsia="宋体" w:cs="宋体"/>
                <w:sz w:val="24"/>
                <w:szCs w:val="24"/>
                <w:lang w:eastAsia="zh-CN"/>
              </w:rPr>
            </w:pPr>
            <w:r>
              <w:rPr>
                <w:rFonts w:hint="eastAsia" w:eastAsia="宋体" w:cs="宋体"/>
                <w:sz w:val="24"/>
                <w:szCs w:val="24"/>
                <w:lang w:eastAsia="zh-CN"/>
              </w:rPr>
              <w:t>Fieden</w:t>
            </w:r>
            <w:r>
              <w:rPr>
                <w:rFonts w:hint="eastAsia" w:eastAsia="宋体" w:cs="宋体"/>
                <w:sz w:val="24"/>
                <w:szCs w:val="24"/>
                <w:lang w:val="en-US" w:eastAsia="zh-CN"/>
              </w:rPr>
              <w:t xml:space="preserve"> </w:t>
            </w:r>
            <w:r>
              <w:rPr>
                <w:rFonts w:hint="eastAsia" w:eastAsia="宋体" w:cs="宋体"/>
                <w:sz w:val="24"/>
                <w:szCs w:val="24"/>
                <w:lang w:eastAsia="zh-CN"/>
              </w:rPr>
              <w:t>and</w:t>
            </w:r>
            <w:r>
              <w:rPr>
                <w:rFonts w:hint="eastAsia" w:eastAsia="宋体" w:cs="宋体"/>
                <w:sz w:val="24"/>
                <w:szCs w:val="24"/>
                <w:lang w:val="en-US" w:eastAsia="zh-CN"/>
              </w:rPr>
              <w:t xml:space="preserve"> </w:t>
            </w:r>
            <w:r>
              <w:rPr>
                <w:rFonts w:hint="eastAsia" w:eastAsia="宋体" w:cs="宋体"/>
                <w:sz w:val="24"/>
                <w:szCs w:val="24"/>
                <w:lang w:eastAsia="zh-CN"/>
              </w:rPr>
              <w:t>Wielenberg(2017); UNCITRAL(2021); World Bank Group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子类别2.2.2的总分</w:t>
            </w:r>
          </w:p>
        </w:tc>
        <w:tc>
          <w:tcPr>
            <w:tcW w:w="9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782"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645"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c>
          <w:tcPr>
            <w:tcW w:w="1164" w:type="dxa"/>
            <w:shd w:val="clear" w:color="auto" w:fill="FFC000"/>
          </w:tcPr>
          <w:p>
            <w:pPr>
              <w:pStyle w:val="10"/>
              <w:spacing w:line="400" w:lineRule="exact"/>
              <w:jc w:val="both"/>
              <w:rPr>
                <w:rFonts w:eastAsia="宋体" w:cs="宋体"/>
                <w:sz w:val="24"/>
                <w:szCs w:val="24"/>
                <w:lang w:eastAsia="zh-CN"/>
              </w:rPr>
            </w:pPr>
            <w:r>
              <w:rPr>
                <w:rFonts w:hint="eastAsia" w:eastAsia="宋体" w:cs="宋体"/>
                <w:sz w:val="24"/>
                <w:szCs w:val="24"/>
                <w:lang w:eastAsia="zh-CN"/>
              </w:rPr>
              <w:t>8.33</w:t>
            </w:r>
          </w:p>
        </w:tc>
        <w:tc>
          <w:tcPr>
            <w:tcW w:w="3961"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2.2类总分</w:t>
            </w:r>
          </w:p>
        </w:tc>
        <w:tc>
          <w:tcPr>
            <w:tcW w:w="98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w:t>
            </w:r>
          </w:p>
        </w:tc>
        <w:tc>
          <w:tcPr>
            <w:tcW w:w="78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w:t>
            </w:r>
          </w:p>
        </w:tc>
        <w:tc>
          <w:tcPr>
            <w:tcW w:w="645"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4</w:t>
            </w:r>
          </w:p>
        </w:tc>
        <w:tc>
          <w:tcPr>
            <w:tcW w:w="1164"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16.66</w:t>
            </w:r>
          </w:p>
        </w:tc>
        <w:tc>
          <w:tcPr>
            <w:tcW w:w="3961" w:type="dxa"/>
            <w:shd w:val="clear" w:color="auto" w:fill="FFC000"/>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维度II总分</w:t>
            </w:r>
          </w:p>
        </w:tc>
        <w:tc>
          <w:tcPr>
            <w:tcW w:w="98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w:t>
            </w:r>
          </w:p>
        </w:tc>
        <w:tc>
          <w:tcPr>
            <w:tcW w:w="78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w:t>
            </w:r>
          </w:p>
        </w:tc>
        <w:tc>
          <w:tcPr>
            <w:tcW w:w="645"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24</w:t>
            </w:r>
          </w:p>
        </w:tc>
        <w:tc>
          <w:tcPr>
            <w:tcW w:w="1164"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3961" w:type="dxa"/>
            <w:shd w:val="clear" w:color="auto" w:fill="FFC000"/>
          </w:tcPr>
          <w:p>
            <w:pPr>
              <w:pStyle w:val="10"/>
              <w:spacing w:line="400" w:lineRule="exact"/>
              <w:jc w:val="both"/>
              <w:rPr>
                <w:rFonts w:eastAsia="宋体" w:cs="宋体"/>
                <w:sz w:val="24"/>
                <w:szCs w:val="24"/>
                <w:lang w:eastAsia="zh-CN"/>
              </w:rPr>
            </w:pPr>
          </w:p>
        </w:tc>
      </w:tr>
    </w:tbl>
    <w:p>
      <w:pPr>
        <w:spacing w:before="6" w:line="400" w:lineRule="exact"/>
        <w:ind w:left="100" w:right="239" w:firstLine="420" w:firstLineChars="200"/>
        <w:jc w:val="both"/>
        <w:rPr>
          <w:rFonts w:eastAsia="宋体"/>
          <w:sz w:val="21"/>
          <w:szCs w:val="21"/>
          <w:lang w:eastAsia="zh-CN"/>
        </w:rPr>
      </w:pPr>
      <w:r>
        <w:rPr>
          <w:rFonts w:eastAsia="宋体" w:cs="宋体"/>
          <w:i/>
          <w:sz w:val="21"/>
          <w:szCs w:val="21"/>
          <w:lang w:eastAsia="zh-CN"/>
        </w:rPr>
        <w:t>注:</w:t>
      </w:r>
      <w:r>
        <w:rPr>
          <w:rFonts w:eastAsia="宋体" w:cs="宋体"/>
          <w:sz w:val="21"/>
          <w:szCs w:val="21"/>
          <w:lang w:eastAsia="zh-CN"/>
        </w:rPr>
        <w:t>n.a. =不适用(指对企业或社会的影响不明确或不存在的情况)。FFP =</w:t>
      </w:r>
      <w:r>
        <w:rPr>
          <w:rFonts w:hint="eastAsia" w:eastAsia="宋体" w:cs="宋体"/>
          <w:sz w:val="21"/>
          <w:szCs w:val="21"/>
          <w:lang w:eastAsia="zh-CN"/>
        </w:rPr>
        <w:t>企业灵活</w:t>
      </w:r>
      <w:r>
        <w:rPr>
          <w:rFonts w:hint="eastAsia" w:eastAsia="宋体" w:cs="宋体"/>
          <w:sz w:val="21"/>
          <w:szCs w:val="21"/>
          <w:lang w:val="en-US" w:eastAsia="zh-CN"/>
        </w:rPr>
        <w:t>度得</w:t>
      </w:r>
      <w:r>
        <w:rPr>
          <w:rFonts w:hint="eastAsia" w:eastAsia="宋体" w:cs="宋体"/>
          <w:sz w:val="21"/>
          <w:szCs w:val="21"/>
          <w:lang w:eastAsia="zh-CN"/>
        </w:rPr>
        <w:t>分</w:t>
      </w:r>
      <w:r>
        <w:rPr>
          <w:rFonts w:eastAsia="宋体" w:cs="宋体"/>
          <w:sz w:val="21"/>
          <w:szCs w:val="21"/>
          <w:lang w:eastAsia="zh-CN"/>
        </w:rPr>
        <w:t>;SBP =社会效益</w:t>
      </w:r>
      <w:r>
        <w:rPr>
          <w:rFonts w:hint="eastAsia" w:eastAsia="宋体" w:cs="宋体"/>
          <w:sz w:val="21"/>
          <w:szCs w:val="21"/>
          <w:lang w:val="en-US" w:eastAsia="zh-CN"/>
        </w:rPr>
        <w:t>得</w:t>
      </w:r>
      <w:r>
        <w:rPr>
          <w:rFonts w:eastAsia="宋体" w:cs="宋体"/>
          <w:sz w:val="21"/>
          <w:szCs w:val="21"/>
          <w:lang w:eastAsia="zh-CN"/>
        </w:rPr>
        <w:t>分。</w:t>
      </w:r>
    </w:p>
    <w:p>
      <w:pPr>
        <w:spacing w:before="5" w:line="400" w:lineRule="exact"/>
        <w:ind w:left="100" w:right="239" w:firstLine="560" w:firstLineChars="200"/>
        <w:jc w:val="both"/>
        <w:rPr>
          <w:rFonts w:eastAsia="宋体"/>
          <w:sz w:val="28"/>
          <w:lang w:eastAsia="zh-CN"/>
        </w:rPr>
        <w:sectPr>
          <w:pgSz w:w="15840" w:h="12240" w:orient="landscape"/>
          <w:pgMar w:top="1140" w:right="1320" w:bottom="280" w:left="1340" w:header="720" w:footer="720" w:gutter="0"/>
          <w:cols w:space="720" w:num="1"/>
        </w:sect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1"/>
        <w:gridCol w:w="973"/>
        <w:gridCol w:w="954"/>
        <w:gridCol w:w="667"/>
        <w:gridCol w:w="1052"/>
        <w:gridCol w:w="38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50" w:type="dxa"/>
            <w:gridSpan w:val="6"/>
            <w:shd w:val="clear" w:color="auto" w:fill="0F6EC5"/>
          </w:tcPr>
          <w:p>
            <w:pPr>
              <w:pStyle w:val="10"/>
              <w:spacing w:line="400" w:lineRule="exact"/>
              <w:jc w:val="both"/>
              <w:rPr>
                <w:rFonts w:eastAsia="宋体" w:cs="宋体"/>
                <w:b/>
                <w:bCs/>
                <w:sz w:val="24"/>
                <w:szCs w:val="24"/>
                <w:lang w:eastAsia="zh-CN"/>
              </w:rPr>
            </w:pPr>
            <w:r>
              <w:rPr>
                <w:rFonts w:hint="eastAsia" w:eastAsia="宋体" w:cs="宋体"/>
                <w:b/>
                <w:bCs/>
                <w:color w:val="FFFFFF" w:themeColor="background1"/>
                <w:sz w:val="24"/>
                <w:szCs w:val="24"/>
                <w:lang w:eastAsia="zh-CN"/>
                <w14:textFill>
                  <w14:solidFill>
                    <w14:schemeClr w14:val="bg1"/>
                  </w14:solidFill>
                </w14:textFill>
              </w:rPr>
              <w:t>维度III -效率:在实践中解决司法破产程序的效率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0" w:type="dxa"/>
            <w:gridSpan w:val="6"/>
            <w:shd w:val="clear" w:color="auto" w:fill="CCD4E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3.1清算程序在实践中的应用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2950" w:type="dxa"/>
            <w:gridSpan w:val="6"/>
            <w:shd w:val="clear" w:color="auto" w:fill="E7EBF5"/>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3.1.1解决庭内清算程序的时间和成本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1"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973" w:type="dxa"/>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企业</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灵活</w:t>
            </w:r>
            <w:r>
              <w:rPr>
                <w:rFonts w:hint="eastAsia" w:eastAsia="宋体" w:cs="宋体"/>
                <w:b/>
                <w:bCs/>
                <w:sz w:val="24"/>
                <w:szCs w:val="24"/>
                <w:lang w:val="en-US" w:eastAsia="zh-CN"/>
              </w:rPr>
              <w:t>度得分</w:t>
            </w:r>
          </w:p>
        </w:tc>
        <w:tc>
          <w:tcPr>
            <w:tcW w:w="954" w:type="dxa"/>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社会</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效益</w:t>
            </w:r>
            <w:r>
              <w:rPr>
                <w:rFonts w:hint="eastAsia" w:eastAsia="宋体" w:cs="宋体"/>
                <w:b/>
                <w:bCs/>
                <w:sz w:val="24"/>
                <w:szCs w:val="24"/>
                <w:lang w:val="en-US" w:eastAsia="zh-CN"/>
              </w:rPr>
              <w:t>得分</w:t>
            </w:r>
          </w:p>
        </w:tc>
        <w:tc>
          <w:tcPr>
            <w:tcW w:w="667"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c>
          <w:tcPr>
            <w:tcW w:w="1052" w:type="dxa"/>
            <w:tcBorders>
              <w:right w:val="single" w:color="000000" w:sz="6" w:space="0"/>
            </w:tcBorders>
            <w:vAlign w:val="center"/>
          </w:tcPr>
          <w:p>
            <w:pPr>
              <w:pStyle w:val="10"/>
              <w:spacing w:line="400" w:lineRule="exact"/>
              <w:ind w:left="107" w:leftChars="0"/>
              <w:jc w:val="center"/>
              <w:rPr>
                <w:rFonts w:hint="eastAsia" w:eastAsia="宋体" w:cs="宋体"/>
                <w:b/>
                <w:bCs/>
                <w:sz w:val="24"/>
                <w:szCs w:val="24"/>
                <w:lang w:val="en-US" w:eastAsia="zh-CN"/>
              </w:rPr>
            </w:pPr>
            <w:r>
              <w:rPr>
                <w:rFonts w:hint="eastAsia" w:eastAsia="宋体" w:cs="宋体"/>
                <w:b/>
                <w:bCs/>
                <w:sz w:val="24"/>
                <w:szCs w:val="24"/>
                <w:lang w:val="en-US" w:eastAsia="zh-CN"/>
              </w:rPr>
              <w:t>调整后</w:t>
            </w:r>
          </w:p>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val="en-US" w:eastAsia="zh-CN"/>
              </w:rPr>
              <w:t>得分</w:t>
            </w:r>
          </w:p>
        </w:tc>
        <w:tc>
          <w:tcPr>
            <w:tcW w:w="3883" w:type="dxa"/>
            <w:tcBorders>
              <w:left w:val="single" w:color="000000" w:sz="6" w:space="0"/>
            </w:tcBorders>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文献</w:t>
            </w:r>
            <w:r>
              <w:rPr>
                <w:rFonts w:hint="eastAsia" w:eastAsia="宋体" w:cs="宋体"/>
                <w:b/>
                <w:bCs/>
                <w:sz w:val="24"/>
                <w:szCs w:val="24"/>
                <w:lang w:val="en-US" w:eastAsia="zh-CN"/>
              </w:rPr>
              <w:t>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解决庭内清算程序的时间</w:t>
            </w:r>
          </w:p>
        </w:tc>
        <w:tc>
          <w:tcPr>
            <w:tcW w:w="97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9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1052" w:type="dxa"/>
            <w:tcBorders>
              <w:right w:val="single" w:color="000000" w:sz="6" w:space="0"/>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25</w:t>
            </w:r>
          </w:p>
        </w:tc>
        <w:tc>
          <w:tcPr>
            <w:tcW w:w="3883" w:type="dxa"/>
            <w:tcBorders>
              <w:left w:val="single" w:color="000000" w:sz="6" w:space="0"/>
            </w:tcBorders>
            <w:vAlign w:val="center"/>
          </w:tcPr>
          <w:p>
            <w:pPr>
              <w:pStyle w:val="10"/>
              <w:spacing w:line="400" w:lineRule="exact"/>
              <w:jc w:val="left"/>
              <w:rPr>
                <w:rFonts w:eastAsia="宋体" w:cs="宋体"/>
                <w:sz w:val="24"/>
                <w:szCs w:val="24"/>
                <w:lang w:eastAsia="zh-CN"/>
              </w:rPr>
            </w:pPr>
            <w:r>
              <w:rPr>
                <w:rFonts w:hint="eastAsia" w:eastAsia="宋体" w:cs="宋体"/>
                <w:sz w:val="24"/>
                <w:szCs w:val="24"/>
                <w:lang w:eastAsia="zh-CN"/>
              </w:rPr>
              <w:t>Cirmizi, Klapper, and Uttanchandani (2012);Kruczalak-Jankowska, Maśnicka, and Machnikowska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21" w:type="dxa"/>
            <w:vAlign w:val="center"/>
          </w:tcPr>
          <w:p>
            <w:pPr>
              <w:pStyle w:val="10"/>
              <w:spacing w:line="400" w:lineRule="exact"/>
              <w:jc w:val="both"/>
              <w:rPr>
                <w:rFonts w:eastAsia="宋体" w:cs="宋体"/>
                <w:sz w:val="24"/>
                <w:szCs w:val="24"/>
                <w:lang w:eastAsia="zh-CN"/>
              </w:rPr>
            </w:pPr>
          </w:p>
          <w:p>
            <w:pPr>
              <w:pStyle w:val="10"/>
              <w:spacing w:line="400" w:lineRule="exact"/>
              <w:jc w:val="both"/>
              <w:rPr>
                <w:rFonts w:eastAsia="宋体" w:cs="宋体"/>
                <w:sz w:val="24"/>
                <w:szCs w:val="24"/>
                <w:lang w:eastAsia="zh-CN"/>
              </w:rPr>
            </w:pPr>
            <w:r>
              <w:rPr>
                <w:rFonts w:hint="eastAsia" w:eastAsia="宋体" w:cs="宋体"/>
                <w:sz w:val="24"/>
                <w:szCs w:val="24"/>
                <w:lang w:eastAsia="zh-CN"/>
              </w:rPr>
              <w:t>庭内清算程序的解决费用</w:t>
            </w:r>
          </w:p>
        </w:tc>
        <w:tc>
          <w:tcPr>
            <w:tcW w:w="97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9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1052" w:type="dxa"/>
            <w:tcBorders>
              <w:right w:val="single" w:color="000000" w:sz="6" w:space="0"/>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25</w:t>
            </w:r>
          </w:p>
        </w:tc>
        <w:tc>
          <w:tcPr>
            <w:tcW w:w="3883" w:type="dxa"/>
            <w:tcBorders>
              <w:left w:val="single" w:color="000000" w:sz="6" w:space="0"/>
            </w:tcBorders>
            <w:vAlign w:val="center"/>
          </w:tcPr>
          <w:p>
            <w:pPr>
              <w:pStyle w:val="10"/>
              <w:spacing w:line="400" w:lineRule="exact"/>
              <w:ind w:left="107" w:leftChars="0"/>
              <w:jc w:val="left"/>
              <w:rPr>
                <w:rFonts w:ascii="Times New Roman" w:hAnsi="Times New Roman" w:eastAsia="宋体" w:cs="宋体"/>
                <w:sz w:val="24"/>
                <w:szCs w:val="24"/>
                <w:lang w:val="en-US" w:eastAsia="zh-CN" w:bidi="ar-SA"/>
              </w:rPr>
            </w:pPr>
            <w:r>
              <w:rPr>
                <w:rFonts w:hint="eastAsia" w:eastAsia="宋体" w:cs="宋体"/>
                <w:sz w:val="24"/>
                <w:szCs w:val="24"/>
                <w:lang w:eastAsia="zh-CN"/>
              </w:rPr>
              <w:t>Cirmizi, Klapper, and Uttanchandani (2012);Kruczalak-Jankowska, Maśnicka, and Machnikowska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3.1类总分</w:t>
            </w:r>
          </w:p>
        </w:tc>
        <w:tc>
          <w:tcPr>
            <w:tcW w:w="97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954"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不适用</w:t>
            </w:r>
          </w:p>
        </w:tc>
        <w:tc>
          <w:tcPr>
            <w:tcW w:w="66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1052" w:type="dxa"/>
            <w:tcBorders>
              <w:right w:val="single" w:color="000000" w:sz="6" w:space="0"/>
            </w:tcBorders>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50</w:t>
            </w:r>
          </w:p>
        </w:tc>
        <w:tc>
          <w:tcPr>
            <w:tcW w:w="3883" w:type="dxa"/>
            <w:tcBorders>
              <w:left w:val="single" w:color="000000" w:sz="6" w:space="0"/>
            </w:tcBorders>
            <w:shd w:val="clear" w:color="auto" w:fill="FFC000"/>
            <w:vAlign w:val="center"/>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50" w:type="dxa"/>
            <w:gridSpan w:val="6"/>
            <w:shd w:val="clear" w:color="auto" w:fill="CCD4EA"/>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3.2实践中的重整程序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0" w:type="dxa"/>
            <w:gridSpan w:val="6"/>
            <w:shd w:val="clear" w:color="auto" w:fill="E7EBF5"/>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3.2.1解决庭内重整程序的时间和成本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2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解决庭内重组程序的时间</w:t>
            </w:r>
          </w:p>
        </w:tc>
        <w:tc>
          <w:tcPr>
            <w:tcW w:w="97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9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1052" w:type="dxa"/>
            <w:tcBorders>
              <w:right w:val="single" w:color="000000" w:sz="6" w:space="0"/>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25</w:t>
            </w:r>
          </w:p>
        </w:tc>
        <w:tc>
          <w:tcPr>
            <w:tcW w:w="3883" w:type="dxa"/>
            <w:tcBorders>
              <w:left w:val="single" w:color="000000" w:sz="6" w:space="0"/>
            </w:tcBorders>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Kruczalak-Jankowska, Maśnicka, and </w:t>
            </w:r>
          </w:p>
          <w:p>
            <w:pPr>
              <w:pStyle w:val="10"/>
              <w:spacing w:line="400" w:lineRule="exact"/>
              <w:jc w:val="both"/>
              <w:rPr>
                <w:rFonts w:eastAsia="宋体" w:cs="宋体"/>
                <w:sz w:val="24"/>
                <w:szCs w:val="24"/>
                <w:lang w:eastAsia="zh-CN"/>
              </w:rPr>
            </w:pPr>
            <w:r>
              <w:rPr>
                <w:rFonts w:hint="eastAsia" w:eastAsia="宋体" w:cs="宋体"/>
                <w:sz w:val="24"/>
                <w:szCs w:val="24"/>
                <w:lang w:eastAsia="zh-CN"/>
              </w:rPr>
              <w:t>Machnikowska (2020); World Bank Group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21" w:type="dxa"/>
            <w:vAlign w:val="center"/>
          </w:tcPr>
          <w:p>
            <w:pPr>
              <w:pStyle w:val="10"/>
              <w:spacing w:line="400" w:lineRule="exact"/>
              <w:jc w:val="both"/>
              <w:rPr>
                <w:rFonts w:eastAsia="宋体" w:cs="宋体"/>
                <w:sz w:val="24"/>
                <w:szCs w:val="24"/>
                <w:lang w:eastAsia="zh-CN"/>
              </w:rPr>
            </w:pPr>
          </w:p>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解决庭内重整程序的费用</w:t>
            </w:r>
          </w:p>
        </w:tc>
        <w:tc>
          <w:tcPr>
            <w:tcW w:w="97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95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66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50</w:t>
            </w:r>
          </w:p>
        </w:tc>
        <w:tc>
          <w:tcPr>
            <w:tcW w:w="1052" w:type="dxa"/>
            <w:tcBorders>
              <w:right w:val="single" w:color="000000" w:sz="6" w:space="0"/>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25</w:t>
            </w:r>
          </w:p>
        </w:tc>
        <w:tc>
          <w:tcPr>
            <w:tcW w:w="3883" w:type="dxa"/>
            <w:tcBorders>
              <w:left w:val="single" w:color="000000" w:sz="6" w:space="0"/>
            </w:tcBorders>
            <w:vAlign w:val="center"/>
          </w:tcPr>
          <w:p>
            <w:pPr>
              <w:pStyle w:val="10"/>
              <w:spacing w:line="400" w:lineRule="exact"/>
              <w:jc w:val="both"/>
              <w:rPr>
                <w:rFonts w:hint="eastAsia" w:eastAsia="宋体" w:cs="宋体"/>
                <w:sz w:val="24"/>
                <w:szCs w:val="24"/>
                <w:lang w:eastAsia="zh-CN"/>
              </w:rPr>
            </w:pPr>
            <w:r>
              <w:rPr>
                <w:rFonts w:hint="eastAsia" w:eastAsia="宋体" w:cs="宋体"/>
                <w:sz w:val="24"/>
                <w:szCs w:val="24"/>
                <w:lang w:eastAsia="zh-CN"/>
              </w:rPr>
              <w:t xml:space="preserve">Kruczalak-Jankowska, Maśnicka, and </w:t>
            </w:r>
          </w:p>
          <w:p>
            <w:pPr>
              <w:pStyle w:val="10"/>
              <w:spacing w:line="400" w:lineRule="exact"/>
              <w:jc w:val="both"/>
              <w:rPr>
                <w:rFonts w:eastAsia="宋体" w:cs="宋体"/>
                <w:sz w:val="24"/>
                <w:szCs w:val="24"/>
                <w:lang w:eastAsia="zh-CN"/>
              </w:rPr>
            </w:pPr>
            <w:r>
              <w:rPr>
                <w:rFonts w:hint="eastAsia" w:eastAsia="宋体" w:cs="宋体"/>
                <w:sz w:val="24"/>
                <w:szCs w:val="24"/>
                <w:lang w:eastAsia="zh-CN"/>
              </w:rPr>
              <w:t>Machnikowska (2020); World Bank Group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3.2类总分</w:t>
            </w:r>
          </w:p>
        </w:tc>
        <w:tc>
          <w:tcPr>
            <w:tcW w:w="97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954"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不适用</w:t>
            </w:r>
          </w:p>
        </w:tc>
        <w:tc>
          <w:tcPr>
            <w:tcW w:w="667" w:type="dxa"/>
            <w:shd w:val="clear" w:color="auto" w:fill="FFC000"/>
            <w:vAlign w:val="center"/>
          </w:tcPr>
          <w:p>
            <w:pPr>
              <w:pStyle w:val="10"/>
              <w:spacing w:line="400" w:lineRule="exact"/>
              <w:jc w:val="both"/>
              <w:rPr>
                <w:rFonts w:eastAsia="宋体" w:cs="宋体"/>
                <w:b/>
                <w:bCs/>
                <w:sz w:val="24"/>
                <w:szCs w:val="24"/>
              </w:rPr>
            </w:pPr>
            <w:r>
              <w:rPr>
                <w:rFonts w:hint="eastAsia" w:eastAsia="宋体" w:cs="宋体"/>
                <w:b/>
                <w:bCs/>
                <w:sz w:val="24"/>
                <w:szCs w:val="24"/>
                <w:lang w:eastAsia="zh-CN"/>
              </w:rPr>
              <w:t>100</w:t>
            </w:r>
          </w:p>
        </w:tc>
        <w:tc>
          <w:tcPr>
            <w:tcW w:w="1052" w:type="dxa"/>
            <w:tcBorders>
              <w:right w:val="single" w:color="000000" w:sz="6" w:space="0"/>
            </w:tcBorders>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50</w:t>
            </w:r>
          </w:p>
        </w:tc>
        <w:tc>
          <w:tcPr>
            <w:tcW w:w="3883" w:type="dxa"/>
            <w:tcBorders>
              <w:left w:val="single" w:color="000000" w:sz="6" w:space="0"/>
            </w:tcBorders>
            <w:shd w:val="clear" w:color="auto" w:fill="FFC000"/>
            <w:vAlign w:val="center"/>
          </w:tcPr>
          <w:p>
            <w:pPr>
              <w:pStyle w:val="10"/>
              <w:spacing w:line="400" w:lineRule="exact"/>
              <w:jc w:val="both"/>
              <w:rPr>
                <w:rFonts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21"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维度III总分</w:t>
            </w:r>
          </w:p>
        </w:tc>
        <w:tc>
          <w:tcPr>
            <w:tcW w:w="97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954"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不适用</w:t>
            </w:r>
          </w:p>
        </w:tc>
        <w:tc>
          <w:tcPr>
            <w:tcW w:w="667" w:type="dxa"/>
            <w:shd w:val="clear" w:color="auto" w:fill="FFC000"/>
            <w:vAlign w:val="center"/>
          </w:tcPr>
          <w:p>
            <w:pPr>
              <w:pStyle w:val="10"/>
              <w:spacing w:line="400" w:lineRule="exact"/>
              <w:jc w:val="both"/>
              <w:rPr>
                <w:rFonts w:eastAsia="宋体" w:cs="宋体"/>
                <w:b/>
                <w:bCs/>
                <w:sz w:val="24"/>
                <w:szCs w:val="24"/>
              </w:rPr>
            </w:pPr>
            <w:r>
              <w:rPr>
                <w:rFonts w:hint="eastAsia" w:eastAsia="宋体" w:cs="宋体"/>
                <w:b/>
                <w:bCs/>
                <w:sz w:val="24"/>
                <w:szCs w:val="24"/>
                <w:lang w:eastAsia="zh-CN"/>
              </w:rPr>
              <w:t>100</w:t>
            </w:r>
          </w:p>
        </w:tc>
        <w:tc>
          <w:tcPr>
            <w:tcW w:w="1052" w:type="dxa"/>
            <w:tcBorders>
              <w:right w:val="single" w:color="000000" w:sz="6" w:space="0"/>
            </w:tcBorders>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3883" w:type="dxa"/>
            <w:tcBorders>
              <w:left w:val="single" w:color="000000" w:sz="6" w:space="0"/>
            </w:tcBorders>
            <w:shd w:val="clear" w:color="auto" w:fill="FFC000"/>
            <w:vAlign w:val="center"/>
          </w:tcPr>
          <w:p>
            <w:pPr>
              <w:pStyle w:val="10"/>
              <w:spacing w:line="400" w:lineRule="exact"/>
              <w:jc w:val="both"/>
              <w:rPr>
                <w:rFonts w:eastAsia="宋体" w:cs="宋体"/>
                <w:sz w:val="24"/>
                <w:szCs w:val="24"/>
                <w:lang w:eastAsia="zh-CN"/>
              </w:rPr>
            </w:pPr>
          </w:p>
        </w:tc>
      </w:tr>
    </w:tbl>
    <w:p>
      <w:pPr>
        <w:spacing w:before="6" w:line="400" w:lineRule="exact"/>
        <w:ind w:left="100" w:right="239" w:firstLine="420" w:firstLineChars="200"/>
        <w:jc w:val="both"/>
        <w:rPr>
          <w:rFonts w:eastAsia="宋体"/>
          <w:sz w:val="21"/>
          <w:szCs w:val="21"/>
          <w:lang w:eastAsia="zh-CN"/>
        </w:rPr>
      </w:pPr>
      <w:r>
        <w:rPr>
          <w:rFonts w:eastAsia="宋体" w:cs="宋体"/>
          <w:i/>
          <w:sz w:val="21"/>
          <w:szCs w:val="21"/>
          <w:lang w:eastAsia="zh-CN"/>
        </w:rPr>
        <w:t>注:</w:t>
      </w:r>
      <w:r>
        <w:rPr>
          <w:rFonts w:eastAsia="宋体" w:cs="宋体"/>
          <w:sz w:val="21"/>
          <w:szCs w:val="21"/>
          <w:lang w:eastAsia="zh-CN"/>
        </w:rPr>
        <w:t>n.a. =不适用(指对企业或社会的影响不明确或不存在的情况)。FFP =</w:t>
      </w:r>
      <w:r>
        <w:rPr>
          <w:rFonts w:hint="eastAsia" w:eastAsia="宋体" w:cs="宋体"/>
          <w:sz w:val="21"/>
          <w:szCs w:val="21"/>
          <w:lang w:eastAsia="zh-CN"/>
        </w:rPr>
        <w:t>企业灵活</w:t>
      </w:r>
      <w:r>
        <w:rPr>
          <w:rFonts w:hint="eastAsia" w:eastAsia="宋体" w:cs="宋体"/>
          <w:sz w:val="21"/>
          <w:szCs w:val="21"/>
          <w:lang w:val="en-US" w:eastAsia="zh-CN"/>
        </w:rPr>
        <w:t>度得</w:t>
      </w:r>
      <w:r>
        <w:rPr>
          <w:rFonts w:hint="eastAsia" w:eastAsia="宋体" w:cs="宋体"/>
          <w:sz w:val="21"/>
          <w:szCs w:val="21"/>
          <w:lang w:eastAsia="zh-CN"/>
        </w:rPr>
        <w:t>分</w:t>
      </w:r>
      <w:r>
        <w:rPr>
          <w:rFonts w:eastAsia="宋体" w:cs="宋体"/>
          <w:sz w:val="21"/>
          <w:szCs w:val="21"/>
          <w:lang w:eastAsia="zh-CN"/>
        </w:rPr>
        <w:t>;SBP =社会效益</w:t>
      </w:r>
      <w:r>
        <w:rPr>
          <w:rFonts w:hint="eastAsia" w:eastAsia="宋体" w:cs="宋体"/>
          <w:sz w:val="21"/>
          <w:szCs w:val="21"/>
          <w:lang w:val="en-US" w:eastAsia="zh-CN"/>
        </w:rPr>
        <w:t>得</w:t>
      </w:r>
      <w:r>
        <w:rPr>
          <w:rFonts w:eastAsia="宋体" w:cs="宋体"/>
          <w:sz w:val="21"/>
          <w:szCs w:val="21"/>
          <w:lang w:eastAsia="zh-CN"/>
        </w:rPr>
        <w:t>分。</w:t>
      </w:r>
    </w:p>
    <w:p>
      <w:pPr>
        <w:spacing w:line="400" w:lineRule="exact"/>
        <w:ind w:firstLine="420" w:firstLineChars="200"/>
        <w:jc w:val="both"/>
        <w:rPr>
          <w:rFonts w:eastAsia="宋体"/>
          <w:sz w:val="21"/>
          <w:szCs w:val="21"/>
          <w:lang w:eastAsia="zh-CN"/>
        </w:rPr>
        <w:sectPr>
          <w:pgSz w:w="15840" w:h="12240" w:orient="landscape"/>
          <w:pgMar w:top="1140" w:right="1320" w:bottom="280" w:left="1340" w:header="720" w:footer="720" w:gutter="0"/>
          <w:cols w:space="720" w:num="1"/>
        </w:sectPr>
      </w:pPr>
    </w:p>
    <w:p>
      <w:pPr>
        <w:spacing w:before="79" w:line="400" w:lineRule="exact"/>
        <w:ind w:left="200" w:firstLine="554" w:firstLineChars="200"/>
        <w:jc w:val="both"/>
        <w:rPr>
          <w:rFonts w:eastAsia="宋体"/>
          <w:b/>
          <w:sz w:val="28"/>
        </w:rPr>
      </w:pPr>
      <w:r>
        <w:rPr>
          <w:rFonts w:eastAsia="宋体" w:cs="宋体"/>
          <w:b/>
          <w:spacing w:val="-2"/>
          <w:sz w:val="28"/>
        </w:rPr>
        <w:t>参考文献</w:t>
      </w:r>
    </w:p>
    <w:p>
      <w:pPr>
        <w:pStyle w:val="3"/>
        <w:spacing w:line="400" w:lineRule="exact"/>
        <w:ind w:firstLine="562" w:firstLineChars="200"/>
        <w:jc w:val="both"/>
        <w:rPr>
          <w:rFonts w:eastAsia="宋体"/>
          <w:b/>
          <w:sz w:val="28"/>
        </w:rPr>
      </w:pPr>
    </w:p>
    <w:p>
      <w:pPr>
        <w:spacing w:before="0"/>
        <w:ind w:left="920" w:right="196"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Anderson, J., D. Bernstein, and C. Gray. 2005. </w:t>
      </w:r>
      <w:r>
        <w:rPr>
          <w:rFonts w:hint="default" w:ascii="Times New Roman" w:hAnsi="Times New Roman" w:cs="Times New Roman"/>
          <w:i/>
          <w:sz w:val="24"/>
          <w:szCs w:val="24"/>
        </w:rPr>
        <w:t>Judicial System in Transition Economies: Assessing the Past, Looking to the Future</w:t>
      </w:r>
      <w:r>
        <w:rPr>
          <w:rFonts w:hint="default" w:ascii="Times New Roman" w:hAnsi="Times New Roman" w:cs="Times New Roman"/>
          <w:sz w:val="24"/>
          <w:szCs w:val="24"/>
        </w:rPr>
        <w:t>. Washington, DC: World Bank.</w:t>
      </w:r>
    </w:p>
    <w:p>
      <w:pPr>
        <w:pStyle w:val="3"/>
        <w:spacing w:before="11"/>
        <w:rPr>
          <w:rFonts w:hint="default" w:ascii="Times New Roman" w:hAnsi="Times New Roman" w:cs="Times New Roman"/>
          <w:sz w:val="24"/>
          <w:szCs w:val="24"/>
        </w:rPr>
      </w:pPr>
    </w:p>
    <w:p>
      <w:pPr>
        <w:pStyle w:val="3"/>
        <w:ind w:left="920" w:right="196" w:hanging="720"/>
        <w:jc w:val="both"/>
        <w:rPr>
          <w:rFonts w:hint="default" w:ascii="Times New Roman" w:hAnsi="Times New Roman" w:cs="Times New Roman"/>
          <w:sz w:val="24"/>
          <w:szCs w:val="24"/>
        </w:rPr>
      </w:pPr>
      <w:r>
        <w:rPr>
          <w:rFonts w:hint="default" w:ascii="Times New Roman" w:hAnsi="Times New Roman" w:cs="Times New Roman"/>
          <w:sz w:val="24"/>
          <w:szCs w:val="24"/>
        </w:rPr>
        <w:t>Block-Lieb,</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S.,</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Alexander,</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E.</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Kovalenko.</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2013.</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"Representing</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Interests</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Unsecured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 xml:space="preserve">Creditors: A Comparative Look at UNCITRAL's Legislative Guide on Insolvency Law." Chapter 11 in </w:t>
      </w:r>
      <w:r>
        <w:rPr>
          <w:rFonts w:hint="default" w:ascii="Times New Roman" w:hAnsi="Times New Roman" w:cs="Times New Roman"/>
          <w:i/>
          <w:sz w:val="24"/>
          <w:szCs w:val="24"/>
        </w:rPr>
        <w:t>International Insolvency Law, 1</w:t>
      </w:r>
      <w:r>
        <w:rPr>
          <w:rFonts w:hint="default" w:ascii="Times New Roman" w:hAnsi="Times New Roman" w:cs="Times New Roman"/>
          <w:i/>
          <w:sz w:val="24"/>
          <w:szCs w:val="24"/>
          <w:vertAlign w:val="superscript"/>
        </w:rPr>
        <w:t>st</w:t>
      </w:r>
      <w:r>
        <w:rPr>
          <w:rFonts w:hint="default" w:ascii="Times New Roman" w:hAnsi="Times New Roman" w:cs="Times New Roman"/>
          <w:i/>
          <w:sz w:val="24"/>
          <w:szCs w:val="24"/>
          <w:vertAlign w:val="baseline"/>
        </w:rPr>
        <w:t xml:space="preserve"> edition. </w:t>
      </w:r>
      <w:r>
        <w:rPr>
          <w:rFonts w:hint="default" w:ascii="Times New Roman" w:hAnsi="Times New Roman" w:cs="Times New Roman"/>
          <w:sz w:val="24"/>
          <w:szCs w:val="24"/>
          <w:vertAlign w:val="baseline"/>
        </w:rPr>
        <w:t>London: Routledge.</w:t>
      </w:r>
    </w:p>
    <w:p>
      <w:pPr>
        <w:pStyle w:val="3"/>
        <w:spacing w:before="1"/>
        <w:rPr>
          <w:rFonts w:hint="default" w:ascii="Times New Roman" w:hAnsi="Times New Roman" w:cs="Times New Roman"/>
          <w:sz w:val="24"/>
          <w:szCs w:val="24"/>
        </w:rPr>
      </w:pPr>
    </w:p>
    <w:p>
      <w:pPr>
        <w:pStyle w:val="3"/>
        <w:ind w:left="920" w:right="195" w:hanging="720"/>
        <w:jc w:val="both"/>
        <w:rPr>
          <w:rFonts w:hint="default" w:ascii="Times New Roman" w:hAnsi="Times New Roman" w:cs="Times New Roman"/>
          <w:sz w:val="24"/>
          <w:szCs w:val="24"/>
        </w:rPr>
      </w:pPr>
      <w:r>
        <w:rPr>
          <w:rFonts w:hint="default" w:ascii="Times New Roman" w:hAnsi="Times New Roman" w:cs="Times New Roman"/>
          <w:sz w:val="24"/>
          <w:szCs w:val="24"/>
        </w:rPr>
        <w:t>Byfield, P. 2011. “The Publication of Commercial Court Decisions in the Western Commonwealth of Independent</w:t>
      </w:r>
      <w:r>
        <w:rPr>
          <w:rFonts w:hint="default" w:ascii="Times New Roman" w:hAnsi="Times New Roman" w:cs="Times New Roman"/>
          <w:spacing w:val="-16"/>
          <w:sz w:val="24"/>
          <w:szCs w:val="24"/>
        </w:rPr>
        <w:t xml:space="preserve"> </w:t>
      </w:r>
      <w:r>
        <w:rPr>
          <w:rFonts w:hint="default" w:ascii="Times New Roman" w:hAnsi="Times New Roman" w:cs="Times New Roman"/>
          <w:sz w:val="24"/>
          <w:szCs w:val="24"/>
        </w:rPr>
        <w:t>States.”</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14"/>
          <w:sz w:val="24"/>
          <w:szCs w:val="24"/>
        </w:rPr>
        <w:t xml:space="preserve"> </w:t>
      </w:r>
      <w:r>
        <w:rPr>
          <w:rFonts w:hint="default" w:ascii="Times New Roman" w:hAnsi="Times New Roman" w:cs="Times New Roman"/>
          <w:i/>
          <w:sz w:val="24"/>
          <w:szCs w:val="24"/>
        </w:rPr>
        <w:t>Law</w:t>
      </w:r>
      <w:r>
        <w:rPr>
          <w:rFonts w:hint="default" w:ascii="Times New Roman" w:hAnsi="Times New Roman" w:cs="Times New Roman"/>
          <w:i/>
          <w:spacing w:val="-13"/>
          <w:sz w:val="24"/>
          <w:szCs w:val="24"/>
        </w:rPr>
        <w:t xml:space="preserve"> </w:t>
      </w:r>
      <w:r>
        <w:rPr>
          <w:rFonts w:hint="default" w:ascii="Times New Roman" w:hAnsi="Times New Roman" w:cs="Times New Roman"/>
          <w:i/>
          <w:sz w:val="24"/>
          <w:szCs w:val="24"/>
        </w:rPr>
        <w:t>in</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Transition</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2011:</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Towards</w:t>
      </w:r>
      <w:r>
        <w:rPr>
          <w:rFonts w:hint="default" w:ascii="Times New Roman" w:hAnsi="Times New Roman" w:cs="Times New Roman"/>
          <w:i/>
          <w:spacing w:val="-13"/>
          <w:sz w:val="24"/>
          <w:szCs w:val="24"/>
        </w:rPr>
        <w:t xml:space="preserve"> </w:t>
      </w:r>
      <w:r>
        <w:rPr>
          <w:rFonts w:hint="default" w:ascii="Times New Roman" w:hAnsi="Times New Roman" w:cs="Times New Roman"/>
          <w:i/>
          <w:sz w:val="24"/>
          <w:szCs w:val="24"/>
        </w:rPr>
        <w:t>Better</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Courts</w:t>
      </w:r>
      <w:r>
        <w:rPr>
          <w:rFonts w:hint="default" w:ascii="Times New Roman" w:hAnsi="Times New Roman" w:cs="Times New Roman"/>
          <w:sz w:val="24"/>
          <w:szCs w:val="24"/>
        </w:rPr>
        <w:t>.</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London: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EBRD</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(European Bank for Reconstruction and Development).</w:t>
      </w:r>
    </w:p>
    <w:p>
      <w:pPr>
        <w:pStyle w:val="3"/>
        <w:spacing w:before="10"/>
        <w:rPr>
          <w:rFonts w:hint="default" w:ascii="Times New Roman" w:hAnsi="Times New Roman" w:cs="Times New Roman"/>
          <w:sz w:val="24"/>
          <w:szCs w:val="24"/>
        </w:rPr>
      </w:pPr>
    </w:p>
    <w:p>
      <w:pPr>
        <w:pStyle w:val="3"/>
        <w:spacing w:before="1"/>
        <w:ind w:left="920" w:right="195"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Cabral, J. E., A. Chavan, T. M. Clarke, J. Greacen, B. R. Hough, L. Rexer, J. Ribadeneyra, and R. Zorza. 2012. “Using Technology to Enhance Access to Justice.” </w:t>
      </w:r>
      <w:r>
        <w:rPr>
          <w:rFonts w:hint="default" w:ascii="Times New Roman" w:hAnsi="Times New Roman" w:cs="Times New Roman"/>
          <w:i/>
          <w:sz w:val="24"/>
          <w:szCs w:val="24"/>
        </w:rPr>
        <w:t xml:space="preserve">Harvard Journal of Law &amp; Technology </w:t>
      </w:r>
      <w:r>
        <w:rPr>
          <w:rFonts w:hint="default" w:ascii="Times New Roman" w:hAnsi="Times New Roman" w:cs="Times New Roman"/>
          <w:sz w:val="24"/>
          <w:szCs w:val="24"/>
        </w:rPr>
        <w:t>26 (1, Fall): 243–324.</w:t>
      </w:r>
    </w:p>
    <w:p>
      <w:pPr>
        <w:pStyle w:val="3"/>
        <w:rPr>
          <w:rFonts w:hint="default" w:ascii="Times New Roman" w:hAnsi="Times New Roman" w:cs="Times New Roman"/>
          <w:sz w:val="24"/>
          <w:szCs w:val="24"/>
        </w:rPr>
      </w:pPr>
    </w:p>
    <w:p>
      <w:pPr>
        <w:pStyle w:val="3"/>
        <w:ind w:left="920" w:right="196" w:hanging="720"/>
        <w:jc w:val="both"/>
        <w:rPr>
          <w:rFonts w:hint="default" w:ascii="Times New Roman" w:hAnsi="Times New Roman" w:cs="Times New Roman"/>
          <w:sz w:val="24"/>
          <w:szCs w:val="24"/>
        </w:rPr>
      </w:pPr>
      <w:r>
        <w:rPr>
          <w:rFonts w:hint="default" w:ascii="Times New Roman" w:hAnsi="Times New Roman" w:cs="Times New Roman"/>
          <w:sz w:val="24"/>
          <w:szCs w:val="24"/>
        </w:rPr>
        <w:t>CEPEJ</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(European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Commission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Efficiency</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Justice).</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2021a.</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“Guidelines</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Electronic</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Court</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Filing (e-filing) and Digitalization of Courts.” Document adopted at the 37</w:t>
      </w:r>
      <w:r>
        <w:rPr>
          <w:rFonts w:hint="default" w:ascii="Times New Roman" w:hAnsi="Times New Roman" w:cs="Times New Roman"/>
          <w:sz w:val="24"/>
          <w:szCs w:val="24"/>
          <w:vertAlign w:val="superscript"/>
        </w:rPr>
        <w:t>th</w:t>
      </w:r>
      <w:r>
        <w:rPr>
          <w:rFonts w:hint="default" w:ascii="Times New Roman" w:hAnsi="Times New Roman" w:cs="Times New Roman"/>
          <w:sz w:val="24"/>
          <w:szCs w:val="24"/>
          <w:vertAlign w:val="baseline"/>
        </w:rPr>
        <w:t xml:space="preserve"> plenary meeting of the CEPEJ, Strasbourg and online, 8 and 9 December 2021.</w:t>
      </w:r>
    </w:p>
    <w:p>
      <w:pPr>
        <w:pStyle w:val="3"/>
        <w:spacing w:before="1"/>
        <w:rPr>
          <w:rFonts w:hint="default" w:ascii="Times New Roman" w:hAnsi="Times New Roman" w:cs="Times New Roman"/>
          <w:sz w:val="24"/>
          <w:szCs w:val="24"/>
        </w:rPr>
      </w:pPr>
    </w:p>
    <w:p>
      <w:pPr>
        <w:pStyle w:val="3"/>
        <w:ind w:left="920" w:right="198" w:hanging="720"/>
        <w:jc w:val="both"/>
        <w:rPr>
          <w:rFonts w:hint="default" w:ascii="Times New Roman" w:hAnsi="Times New Roman" w:cs="Times New Roman"/>
          <w:sz w:val="24"/>
          <w:szCs w:val="24"/>
        </w:rPr>
      </w:pPr>
      <w:r>
        <w:rPr>
          <w:rFonts w:hint="default" w:ascii="Times New Roman" w:hAnsi="Times New Roman" w:cs="Times New Roman"/>
          <w:sz w:val="24"/>
          <w:szCs w:val="24"/>
        </w:rPr>
        <w:t>CEPEJ</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(European</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Commission</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Efficiency</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Justice).</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2021b.</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“Guidelines</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on</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Videoconferencing</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in Judicial Proceedings.” Document adopted by the CEPEJ at its 36th plenary meeting (June 2021).</w:t>
      </w:r>
    </w:p>
    <w:p>
      <w:pPr>
        <w:spacing w:before="0"/>
        <w:ind w:left="92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Cirmizi, E., L. Klapper, and M. Uttamchandani.</w:t>
      </w:r>
      <w:r>
        <w:rPr>
          <w:rFonts w:hint="default" w:ascii="Times New Roman" w:hAnsi="Times New Roman" w:cs="Times New Roman"/>
          <w:spacing w:val="40"/>
          <w:sz w:val="24"/>
          <w:szCs w:val="24"/>
        </w:rPr>
        <w:t xml:space="preserve"> </w:t>
      </w:r>
      <w:r>
        <w:rPr>
          <w:rFonts w:hint="default" w:ascii="Times New Roman" w:hAnsi="Times New Roman" w:cs="Times New Roman"/>
          <w:sz w:val="24"/>
          <w:szCs w:val="24"/>
        </w:rPr>
        <w:t xml:space="preserve">2012. “The Challenges of Bankruptcy Reform.” </w:t>
      </w:r>
      <w:r>
        <w:rPr>
          <w:rFonts w:hint="default" w:ascii="Times New Roman" w:hAnsi="Times New Roman" w:cs="Times New Roman"/>
          <w:i/>
          <w:sz w:val="24"/>
          <w:szCs w:val="24"/>
        </w:rPr>
        <w:t xml:space="preserve">World Bank Research Observer </w:t>
      </w:r>
      <w:r>
        <w:rPr>
          <w:rFonts w:hint="default" w:ascii="Times New Roman" w:hAnsi="Times New Roman" w:cs="Times New Roman"/>
          <w:sz w:val="24"/>
          <w:szCs w:val="24"/>
        </w:rPr>
        <w:t>27 (2): 185–203.</w:t>
      </w:r>
    </w:p>
    <w:p>
      <w:pPr>
        <w:pStyle w:val="3"/>
        <w:rPr>
          <w:rFonts w:hint="default" w:ascii="Times New Roman" w:hAnsi="Times New Roman" w:cs="Times New Roman"/>
          <w:sz w:val="24"/>
          <w:szCs w:val="24"/>
        </w:rPr>
      </w:pPr>
    </w:p>
    <w:p>
      <w:pPr>
        <w:spacing w:before="1" w:line="252" w:lineRule="exact"/>
        <w:ind w:left="200" w:right="0" w:firstLine="0"/>
        <w:jc w:val="left"/>
        <w:rPr>
          <w:rFonts w:hint="default" w:ascii="Times New Roman" w:hAnsi="Times New Roman" w:cs="Times New Roman"/>
          <w:sz w:val="24"/>
          <w:szCs w:val="24"/>
        </w:rPr>
      </w:pPr>
      <w:r>
        <w:rPr>
          <w:rFonts w:hint="default" w:ascii="Times New Roman" w:hAnsi="Times New Roman" w:cs="Times New Roman"/>
          <w:sz w:val="24"/>
          <w:szCs w:val="24"/>
        </w:rPr>
        <w:t>Cordella,</w:t>
      </w:r>
      <w:r>
        <w:rPr>
          <w:rFonts w:hint="default" w:ascii="Times New Roman" w:hAnsi="Times New Roman" w:cs="Times New Roman"/>
          <w:spacing w:val="57"/>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59"/>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9"/>
          <w:sz w:val="24"/>
          <w:szCs w:val="24"/>
        </w:rPr>
        <w:t xml:space="preserve"> </w:t>
      </w:r>
      <w:r>
        <w:rPr>
          <w:rFonts w:hint="default" w:ascii="Times New Roman" w:hAnsi="Times New Roman" w:cs="Times New Roman"/>
          <w:sz w:val="24"/>
          <w:szCs w:val="24"/>
        </w:rPr>
        <w:t>F.</w:t>
      </w:r>
      <w:r>
        <w:rPr>
          <w:rFonts w:hint="default" w:ascii="Times New Roman" w:hAnsi="Times New Roman" w:cs="Times New Roman"/>
          <w:spacing w:val="59"/>
          <w:sz w:val="24"/>
          <w:szCs w:val="24"/>
        </w:rPr>
        <w:t xml:space="preserve"> </w:t>
      </w:r>
      <w:r>
        <w:rPr>
          <w:rFonts w:hint="default" w:ascii="Times New Roman" w:hAnsi="Times New Roman" w:cs="Times New Roman"/>
          <w:sz w:val="24"/>
          <w:szCs w:val="24"/>
        </w:rPr>
        <w:t>Contini.</w:t>
      </w:r>
      <w:r>
        <w:rPr>
          <w:rFonts w:hint="default" w:ascii="Times New Roman" w:hAnsi="Times New Roman" w:cs="Times New Roman"/>
          <w:spacing w:val="59"/>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61"/>
          <w:sz w:val="24"/>
          <w:szCs w:val="24"/>
        </w:rPr>
        <w:t xml:space="preserve"> </w:t>
      </w:r>
      <w:r>
        <w:rPr>
          <w:rFonts w:hint="default" w:ascii="Times New Roman" w:hAnsi="Times New Roman" w:cs="Times New Roman"/>
          <w:i/>
          <w:sz w:val="24"/>
          <w:szCs w:val="24"/>
        </w:rPr>
        <w:t>Digital</w:t>
      </w:r>
      <w:r>
        <w:rPr>
          <w:rFonts w:hint="default" w:ascii="Times New Roman" w:hAnsi="Times New Roman" w:cs="Times New Roman"/>
          <w:i/>
          <w:spacing w:val="60"/>
          <w:sz w:val="24"/>
          <w:szCs w:val="24"/>
        </w:rPr>
        <w:t xml:space="preserve"> </w:t>
      </w:r>
      <w:r>
        <w:rPr>
          <w:rFonts w:hint="default" w:ascii="Times New Roman" w:hAnsi="Times New Roman" w:cs="Times New Roman"/>
          <w:i/>
          <w:sz w:val="24"/>
          <w:szCs w:val="24"/>
        </w:rPr>
        <w:t>Technologies</w:t>
      </w:r>
      <w:r>
        <w:rPr>
          <w:rFonts w:hint="default" w:ascii="Times New Roman" w:hAnsi="Times New Roman" w:cs="Times New Roman"/>
          <w:i/>
          <w:spacing w:val="60"/>
          <w:sz w:val="24"/>
          <w:szCs w:val="24"/>
        </w:rPr>
        <w:t xml:space="preserve"> </w:t>
      </w:r>
      <w:r>
        <w:rPr>
          <w:rFonts w:hint="default" w:ascii="Times New Roman" w:hAnsi="Times New Roman" w:cs="Times New Roman"/>
          <w:i/>
          <w:sz w:val="24"/>
          <w:szCs w:val="24"/>
        </w:rPr>
        <w:t>for</w:t>
      </w:r>
      <w:r>
        <w:rPr>
          <w:rFonts w:hint="default" w:ascii="Times New Roman" w:hAnsi="Times New Roman" w:cs="Times New Roman"/>
          <w:i/>
          <w:spacing w:val="59"/>
          <w:sz w:val="24"/>
          <w:szCs w:val="24"/>
        </w:rPr>
        <w:t xml:space="preserve"> </w:t>
      </w:r>
      <w:r>
        <w:rPr>
          <w:rFonts w:hint="default" w:ascii="Times New Roman" w:hAnsi="Times New Roman" w:cs="Times New Roman"/>
          <w:i/>
          <w:sz w:val="24"/>
          <w:szCs w:val="24"/>
        </w:rPr>
        <w:t>Better</w:t>
      </w:r>
      <w:r>
        <w:rPr>
          <w:rFonts w:hint="default" w:ascii="Times New Roman" w:hAnsi="Times New Roman" w:cs="Times New Roman"/>
          <w:i/>
          <w:spacing w:val="59"/>
          <w:sz w:val="24"/>
          <w:szCs w:val="24"/>
        </w:rPr>
        <w:t xml:space="preserve"> </w:t>
      </w:r>
      <w:r>
        <w:rPr>
          <w:rFonts w:hint="default" w:ascii="Times New Roman" w:hAnsi="Times New Roman" w:cs="Times New Roman"/>
          <w:i/>
          <w:sz w:val="24"/>
          <w:szCs w:val="24"/>
        </w:rPr>
        <w:t>Justice:</w:t>
      </w:r>
      <w:r>
        <w:rPr>
          <w:rFonts w:hint="default" w:ascii="Times New Roman" w:hAnsi="Times New Roman" w:cs="Times New Roman"/>
          <w:i/>
          <w:spacing w:val="60"/>
          <w:sz w:val="24"/>
          <w:szCs w:val="24"/>
        </w:rPr>
        <w:t xml:space="preserve"> </w:t>
      </w:r>
      <w:r>
        <w:rPr>
          <w:rFonts w:hint="default" w:ascii="Times New Roman" w:hAnsi="Times New Roman" w:cs="Times New Roman"/>
          <w:i/>
          <w:sz w:val="24"/>
          <w:szCs w:val="24"/>
        </w:rPr>
        <w:t>A</w:t>
      </w:r>
      <w:r>
        <w:rPr>
          <w:rFonts w:hint="default" w:ascii="Times New Roman" w:hAnsi="Times New Roman" w:cs="Times New Roman"/>
          <w:i/>
          <w:spacing w:val="59"/>
          <w:sz w:val="24"/>
          <w:szCs w:val="24"/>
        </w:rPr>
        <w:t xml:space="preserve"> </w:t>
      </w:r>
      <w:r>
        <w:rPr>
          <w:rFonts w:hint="default" w:ascii="Times New Roman" w:hAnsi="Times New Roman" w:cs="Times New Roman"/>
          <w:i/>
          <w:sz w:val="24"/>
          <w:szCs w:val="24"/>
        </w:rPr>
        <w:t>Toolkit</w:t>
      </w:r>
      <w:r>
        <w:rPr>
          <w:rFonts w:hint="default" w:ascii="Times New Roman" w:hAnsi="Times New Roman" w:cs="Times New Roman"/>
          <w:i/>
          <w:spacing w:val="59"/>
          <w:sz w:val="24"/>
          <w:szCs w:val="24"/>
        </w:rPr>
        <w:t xml:space="preserve"> </w:t>
      </w:r>
      <w:r>
        <w:rPr>
          <w:rFonts w:hint="default" w:ascii="Times New Roman" w:hAnsi="Times New Roman" w:cs="Times New Roman"/>
          <w:i/>
          <w:sz w:val="24"/>
          <w:szCs w:val="24"/>
        </w:rPr>
        <w:t>for</w:t>
      </w:r>
      <w:r>
        <w:rPr>
          <w:rFonts w:hint="default" w:ascii="Times New Roman" w:hAnsi="Times New Roman" w:cs="Times New Roman"/>
          <w:i/>
          <w:spacing w:val="60"/>
          <w:sz w:val="24"/>
          <w:szCs w:val="24"/>
        </w:rPr>
        <w:t xml:space="preserve"> </w:t>
      </w:r>
      <w:r>
        <w:rPr>
          <w:rFonts w:hint="default" w:ascii="Times New Roman" w:hAnsi="Times New Roman" w:cs="Times New Roman"/>
          <w:i/>
          <w:spacing w:val="-2"/>
          <w:sz w:val="24"/>
          <w:szCs w:val="24"/>
        </w:rPr>
        <w:t>Action</w:t>
      </w:r>
      <w:r>
        <w:rPr>
          <w:rFonts w:hint="default" w:ascii="Times New Roman" w:hAnsi="Times New Roman" w:cs="Times New Roman"/>
          <w:spacing w:val="-2"/>
          <w:sz w:val="24"/>
          <w:szCs w:val="24"/>
        </w:rPr>
        <w:t>.</w:t>
      </w:r>
    </w:p>
    <w:p>
      <w:pPr>
        <w:pStyle w:val="3"/>
        <w:spacing w:line="252" w:lineRule="exact"/>
        <w:ind w:left="920"/>
        <w:rPr>
          <w:rFonts w:hint="default" w:ascii="Times New Roman" w:hAnsi="Times New Roman" w:cs="Times New Roman"/>
          <w:sz w:val="24"/>
          <w:szCs w:val="24"/>
        </w:rPr>
      </w:pPr>
      <w:r>
        <w:rPr>
          <w:rFonts w:hint="default" w:ascii="Times New Roman" w:hAnsi="Times New Roman" w:cs="Times New Roman"/>
          <w:sz w:val="24"/>
          <w:szCs w:val="24"/>
        </w:rPr>
        <w:t>Washington,</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DC:</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Inter-American</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Development</w:t>
      </w:r>
      <w:r>
        <w:rPr>
          <w:rFonts w:hint="default" w:ascii="Times New Roman" w:hAnsi="Times New Roman" w:cs="Times New Roman"/>
          <w:spacing w:val="-5"/>
          <w:sz w:val="24"/>
          <w:szCs w:val="24"/>
        </w:rPr>
        <w:t xml:space="preserve"> </w:t>
      </w:r>
      <w:r>
        <w:rPr>
          <w:rFonts w:hint="default" w:ascii="Times New Roman" w:hAnsi="Times New Roman" w:cs="Times New Roman"/>
          <w:spacing w:val="-2"/>
          <w:sz w:val="24"/>
          <w:szCs w:val="24"/>
        </w:rPr>
        <w:t>Bank.</w:t>
      </w:r>
    </w:p>
    <w:p>
      <w:pPr>
        <w:pStyle w:val="3"/>
        <w:rPr>
          <w:rFonts w:hint="default" w:ascii="Times New Roman" w:hAnsi="Times New Roman" w:cs="Times New Roman"/>
          <w:sz w:val="24"/>
          <w:szCs w:val="24"/>
        </w:rPr>
      </w:pPr>
    </w:p>
    <w:p>
      <w:pPr>
        <w:spacing w:before="0"/>
        <w:ind w:left="920" w:right="198"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Dancausa, F, S. Muro, and M. Uttamchandani. 2020. </w:t>
      </w:r>
      <w:r>
        <w:rPr>
          <w:rFonts w:hint="default" w:ascii="Times New Roman" w:hAnsi="Times New Roman" w:cs="Times New Roman"/>
          <w:i/>
          <w:sz w:val="24"/>
          <w:szCs w:val="24"/>
        </w:rPr>
        <w:t>COVID-19 Outbreak: Corporate Insolvency: How Can</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Out-of-Court</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Workouts</w:t>
      </w:r>
      <w:r>
        <w:rPr>
          <w:rFonts w:hint="default" w:ascii="Times New Roman" w:hAnsi="Times New Roman" w:cs="Times New Roman"/>
          <w:i/>
          <w:spacing w:val="-14"/>
          <w:sz w:val="24"/>
          <w:szCs w:val="24"/>
        </w:rPr>
        <w:t xml:space="preserve"> </w:t>
      </w:r>
      <w:r>
        <w:rPr>
          <w:rFonts w:hint="default" w:ascii="Times New Roman" w:hAnsi="Times New Roman" w:cs="Times New Roman"/>
          <w:i/>
          <w:sz w:val="24"/>
          <w:szCs w:val="24"/>
        </w:rPr>
        <w:t>Help?</w:t>
      </w:r>
      <w:r>
        <w:rPr>
          <w:rFonts w:hint="default" w:ascii="Times New Roman" w:hAnsi="Times New Roman" w:cs="Times New Roman"/>
          <w:i/>
          <w:spacing w:val="-13"/>
          <w:sz w:val="24"/>
          <w:szCs w:val="24"/>
        </w:rPr>
        <w:t xml:space="preserve"> </w:t>
      </w:r>
      <w:r>
        <w:rPr>
          <w:rFonts w:hint="default" w:ascii="Times New Roman" w:hAnsi="Times New Roman" w:cs="Times New Roman"/>
          <w:sz w:val="24"/>
          <w:szCs w:val="24"/>
        </w:rPr>
        <w:t>Guidance</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Notes</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COVID-19</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Pandemic.</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Washington,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DC: World Bank Group.</w:t>
      </w:r>
    </w:p>
    <w:p>
      <w:pPr>
        <w:pStyle w:val="3"/>
        <w:spacing w:before="10"/>
        <w:rPr>
          <w:rFonts w:hint="default" w:ascii="Times New Roman" w:hAnsi="Times New Roman" w:cs="Times New Roman"/>
          <w:sz w:val="24"/>
          <w:szCs w:val="24"/>
        </w:rPr>
      </w:pPr>
    </w:p>
    <w:p>
      <w:pPr>
        <w:spacing w:before="0"/>
        <w:ind w:left="920" w:right="200"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Detotto, C., L. Serra, and M. Vannini. 2019. "Did Specialized Courts Affect the Frequency of Business Bankruptcy Petitions in Spain?" </w:t>
      </w:r>
      <w:r>
        <w:rPr>
          <w:rFonts w:hint="default" w:ascii="Times New Roman" w:hAnsi="Times New Roman" w:cs="Times New Roman"/>
          <w:i/>
          <w:sz w:val="24"/>
          <w:szCs w:val="24"/>
        </w:rPr>
        <w:t xml:space="preserve">European Journal of Law and Economics </w:t>
      </w:r>
      <w:r>
        <w:rPr>
          <w:rFonts w:hint="default" w:ascii="Times New Roman" w:hAnsi="Times New Roman" w:cs="Times New Roman"/>
          <w:sz w:val="24"/>
          <w:szCs w:val="24"/>
        </w:rPr>
        <w:t>47: 125–45.</w:t>
      </w:r>
    </w:p>
    <w:p>
      <w:pPr>
        <w:pStyle w:val="3"/>
        <w:spacing w:before="2"/>
        <w:rPr>
          <w:rFonts w:hint="default" w:ascii="Times New Roman" w:hAnsi="Times New Roman" w:cs="Times New Roman"/>
          <w:sz w:val="24"/>
          <w:szCs w:val="24"/>
        </w:rPr>
      </w:pPr>
    </w:p>
    <w:p>
      <w:pPr>
        <w:spacing w:before="1" w:line="252" w:lineRule="exact"/>
        <w:ind w:left="200" w:right="0" w:firstLine="0"/>
        <w:jc w:val="left"/>
        <w:rPr>
          <w:rFonts w:hint="default" w:ascii="Times New Roman" w:hAnsi="Times New Roman" w:cs="Times New Roman"/>
          <w:sz w:val="24"/>
          <w:szCs w:val="24"/>
        </w:rPr>
      </w:pPr>
      <w:r>
        <w:rPr>
          <w:rFonts w:hint="default" w:ascii="Times New Roman" w:hAnsi="Times New Roman" w:cs="Times New Roman"/>
          <w:sz w:val="24"/>
          <w:szCs w:val="24"/>
        </w:rPr>
        <w:t>Faber,</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D.,</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N.</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Vermunt,</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Kilborn,</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T.</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Richter,</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eds.</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2012.</w:t>
      </w:r>
      <w:r>
        <w:rPr>
          <w:rFonts w:hint="default" w:ascii="Times New Roman" w:hAnsi="Times New Roman" w:cs="Times New Roman"/>
          <w:spacing w:val="8"/>
          <w:sz w:val="24"/>
          <w:szCs w:val="24"/>
        </w:rPr>
        <w:t xml:space="preserve"> </w:t>
      </w:r>
      <w:r>
        <w:rPr>
          <w:rFonts w:hint="default" w:ascii="Times New Roman" w:hAnsi="Times New Roman" w:cs="Times New Roman"/>
          <w:i/>
          <w:sz w:val="24"/>
          <w:szCs w:val="24"/>
        </w:rPr>
        <w:t>Commencement</w:t>
      </w:r>
      <w:r>
        <w:rPr>
          <w:rFonts w:hint="default" w:ascii="Times New Roman" w:hAnsi="Times New Roman" w:cs="Times New Roman"/>
          <w:i/>
          <w:spacing w:val="5"/>
          <w:sz w:val="24"/>
          <w:szCs w:val="24"/>
        </w:rPr>
        <w:t xml:space="preserve"> </w:t>
      </w:r>
      <w:r>
        <w:rPr>
          <w:rFonts w:hint="default" w:ascii="Times New Roman" w:hAnsi="Times New Roman" w:cs="Times New Roman"/>
          <w:i/>
          <w:sz w:val="24"/>
          <w:szCs w:val="24"/>
        </w:rPr>
        <w:t>of</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i/>
          <w:spacing w:val="5"/>
          <w:sz w:val="24"/>
          <w:szCs w:val="24"/>
        </w:rPr>
        <w:t xml:space="preserve"> </w:t>
      </w:r>
      <w:r>
        <w:rPr>
          <w:rFonts w:hint="default" w:ascii="Times New Roman" w:hAnsi="Times New Roman" w:cs="Times New Roman"/>
          <w:i/>
          <w:spacing w:val="-2"/>
          <w:sz w:val="24"/>
          <w:szCs w:val="24"/>
        </w:rPr>
        <w:t>Proceedings</w:t>
      </w:r>
      <w:r>
        <w:rPr>
          <w:rFonts w:hint="default" w:ascii="Times New Roman" w:hAnsi="Times New Roman" w:cs="Times New Roman"/>
          <w:spacing w:val="-2"/>
          <w:sz w:val="24"/>
          <w:szCs w:val="24"/>
        </w:rPr>
        <w:t>.</w:t>
      </w:r>
    </w:p>
    <w:p>
      <w:pPr>
        <w:pStyle w:val="3"/>
        <w:spacing w:line="252" w:lineRule="exact"/>
        <w:ind w:left="920"/>
        <w:rPr>
          <w:rFonts w:hint="default" w:ascii="Times New Roman" w:hAnsi="Times New Roman" w:cs="Times New Roman"/>
          <w:sz w:val="24"/>
          <w:szCs w:val="24"/>
        </w:rPr>
      </w:pPr>
      <w:r>
        <w:rPr>
          <w:rFonts w:hint="default" w:ascii="Times New Roman" w:hAnsi="Times New Roman" w:cs="Times New Roman"/>
          <w:sz w:val="24"/>
          <w:szCs w:val="24"/>
        </w:rPr>
        <w:t>Oxford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International</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Comparative</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Law</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Series.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Oxford</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University</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Press.</w:t>
      </w:r>
    </w:p>
    <w:p>
      <w:pPr>
        <w:pStyle w:val="3"/>
        <w:rPr>
          <w:rFonts w:hint="default" w:ascii="Times New Roman" w:hAnsi="Times New Roman" w:cs="Times New Roman"/>
          <w:sz w:val="24"/>
          <w:szCs w:val="24"/>
        </w:rPr>
      </w:pPr>
    </w:p>
    <w:p>
      <w:pPr>
        <w:pStyle w:val="3"/>
        <w:ind w:left="92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Fieden, M., and E. Wielenberg. 2017. “Insolvency Administrator’s Incentives and the Tradeoff between Creditor Satisfaction and Efficiency in Bankruptcy Procedures.” </w:t>
      </w:r>
      <w:r>
        <w:rPr>
          <w:rFonts w:hint="default" w:ascii="Times New Roman" w:hAnsi="Times New Roman" w:cs="Times New Roman"/>
          <w:i/>
          <w:sz w:val="24"/>
          <w:szCs w:val="24"/>
        </w:rPr>
        <w:t xml:space="preserve">Business Research </w:t>
      </w:r>
      <w:r>
        <w:rPr>
          <w:rFonts w:hint="default" w:ascii="Times New Roman" w:hAnsi="Times New Roman" w:cs="Times New Roman"/>
          <w:sz w:val="24"/>
          <w:szCs w:val="24"/>
        </w:rPr>
        <w:t>10 (2, October): 159–87.</w:t>
      </w:r>
    </w:p>
    <w:p>
      <w:pPr>
        <w:pStyle w:val="3"/>
        <w:spacing w:before="1"/>
        <w:rPr>
          <w:rFonts w:hint="default" w:ascii="Times New Roman" w:hAnsi="Times New Roman" w:cs="Times New Roman"/>
          <w:sz w:val="24"/>
          <w:szCs w:val="24"/>
        </w:rPr>
      </w:pPr>
    </w:p>
    <w:p>
      <w:pPr>
        <w:spacing w:before="0"/>
        <w:ind w:left="200" w:right="0" w:firstLine="0"/>
        <w:jc w:val="left"/>
        <w:rPr>
          <w:rFonts w:hint="default" w:ascii="Times New Roman" w:hAnsi="Times New Roman" w:cs="Times New Roman"/>
          <w:sz w:val="24"/>
          <w:szCs w:val="24"/>
        </w:rPr>
      </w:pPr>
      <w:r>
        <w:rPr>
          <w:rFonts w:hint="default" w:ascii="Times New Roman" w:hAnsi="Times New Roman" w:cs="Times New Roman"/>
          <w:sz w:val="24"/>
          <w:szCs w:val="24"/>
        </w:rPr>
        <w:t>Fletcher</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I.</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2017.</w:t>
      </w:r>
      <w:r>
        <w:rPr>
          <w:rFonts w:hint="default" w:ascii="Times New Roman" w:hAnsi="Times New Roman" w:cs="Times New Roman"/>
          <w:spacing w:val="-3"/>
          <w:sz w:val="24"/>
          <w:szCs w:val="24"/>
        </w:rPr>
        <w:t xml:space="preserve"> </w:t>
      </w:r>
      <w:r>
        <w:rPr>
          <w:rFonts w:hint="default" w:ascii="Times New Roman" w:hAnsi="Times New Roman" w:cs="Times New Roman"/>
          <w:i/>
          <w:sz w:val="24"/>
          <w:szCs w:val="24"/>
        </w:rPr>
        <w:t>The</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Law</w:t>
      </w:r>
      <w:r>
        <w:rPr>
          <w:rFonts w:hint="default" w:ascii="Times New Roman" w:hAnsi="Times New Roman" w:cs="Times New Roman"/>
          <w:i/>
          <w:spacing w:val="-4"/>
          <w:sz w:val="24"/>
          <w:szCs w:val="24"/>
        </w:rPr>
        <w:t xml:space="preserve"> </w:t>
      </w:r>
      <w:r>
        <w:rPr>
          <w:rFonts w:hint="default" w:ascii="Times New Roman" w:hAnsi="Times New Roman" w:cs="Times New Roman"/>
          <w:i/>
          <w:sz w:val="24"/>
          <w:szCs w:val="24"/>
        </w:rPr>
        <w:t>of</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sz w:val="24"/>
          <w:szCs w:val="24"/>
        </w:rPr>
        <w:t>.</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Thomson</w:t>
      </w:r>
      <w:r>
        <w:rPr>
          <w:rFonts w:hint="default" w:ascii="Times New Roman" w:hAnsi="Times New Roman" w:cs="Times New Roman"/>
          <w:spacing w:val="-2"/>
          <w:sz w:val="24"/>
          <w:szCs w:val="24"/>
        </w:rPr>
        <w:t xml:space="preserve"> Reuters.</w:t>
      </w:r>
    </w:p>
    <w:p>
      <w:pPr>
        <w:pStyle w:val="3"/>
        <w:spacing w:before="9"/>
        <w:rPr>
          <w:rFonts w:hint="default" w:ascii="Times New Roman" w:hAnsi="Times New Roman" w:cs="Times New Roman"/>
          <w:sz w:val="24"/>
          <w:szCs w:val="24"/>
        </w:rPr>
      </w:pPr>
    </w:p>
    <w:p>
      <w:pPr>
        <w:pStyle w:val="3"/>
        <w:ind w:left="920" w:hanging="720"/>
        <w:rPr>
          <w:rFonts w:hint="default" w:ascii="Times New Roman" w:hAnsi="Times New Roman" w:cs="Times New Roman"/>
          <w:sz w:val="24"/>
          <w:szCs w:val="24"/>
        </w:rPr>
      </w:pPr>
      <w:r>
        <w:rPr>
          <w:rFonts w:hint="default" w:ascii="Times New Roman" w:hAnsi="Times New Roman" w:cs="Times New Roman"/>
          <w:sz w:val="24"/>
          <w:szCs w:val="24"/>
        </w:rPr>
        <w:t>Frade, C., P. Fernando, and A. Conceição. 2020. “The Performance of the Courts in the Digital Era: The Case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Restructuring</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Proceedings</w:t>
      </w:r>
      <w:r>
        <w:rPr>
          <w:rFonts w:hint="default" w:ascii="Times New Roman" w:hAnsi="Times New Roman" w:cs="Times New Roman"/>
          <w:i/>
          <w:sz w:val="24"/>
          <w:szCs w:val="24"/>
        </w:rPr>
        <w:t>.</w:t>
      </w:r>
      <w:r>
        <w:rPr>
          <w:rFonts w:hint="default" w:ascii="Times New Roman" w:hAnsi="Times New Roman" w:cs="Times New Roman"/>
          <w:sz w:val="24"/>
          <w:szCs w:val="24"/>
        </w:rPr>
        <w:t>”</w:t>
      </w:r>
      <w:r>
        <w:rPr>
          <w:rFonts w:hint="default" w:ascii="Times New Roman" w:hAnsi="Times New Roman" w:cs="Times New Roman"/>
          <w:spacing w:val="-3"/>
          <w:sz w:val="24"/>
          <w:szCs w:val="24"/>
        </w:rPr>
        <w:t xml:space="preserve"> </w:t>
      </w:r>
      <w:r>
        <w:rPr>
          <w:rFonts w:hint="default" w:ascii="Times New Roman" w:hAnsi="Times New Roman" w:cs="Times New Roman"/>
          <w:i/>
          <w:sz w:val="24"/>
          <w:szCs w:val="24"/>
        </w:rPr>
        <w:t>International</w:t>
      </w:r>
      <w:r>
        <w:rPr>
          <w:rFonts w:hint="default" w:ascii="Times New Roman" w:hAnsi="Times New Roman" w:cs="Times New Roman"/>
          <w:i/>
          <w:spacing w:val="-5"/>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i/>
          <w:spacing w:val="-3"/>
          <w:sz w:val="24"/>
          <w:szCs w:val="24"/>
        </w:rPr>
        <w:t xml:space="preserve"> </w:t>
      </w:r>
      <w:r>
        <w:rPr>
          <w:rFonts w:hint="default" w:ascii="Times New Roman" w:hAnsi="Times New Roman" w:cs="Times New Roman"/>
          <w:i/>
          <w:sz w:val="24"/>
          <w:szCs w:val="24"/>
        </w:rPr>
        <w:t>Review</w:t>
      </w:r>
      <w:r>
        <w:rPr>
          <w:rFonts w:hint="default" w:ascii="Times New Roman" w:hAnsi="Times New Roman" w:cs="Times New Roman"/>
          <w:i/>
          <w:spacing w:val="-1"/>
          <w:sz w:val="24"/>
          <w:szCs w:val="24"/>
        </w:rPr>
        <w:t xml:space="preserve"> </w:t>
      </w:r>
      <w:r>
        <w:rPr>
          <w:rFonts w:hint="default" w:ascii="Times New Roman" w:hAnsi="Times New Roman" w:cs="Times New Roman"/>
          <w:sz w:val="24"/>
          <w:szCs w:val="24"/>
        </w:rPr>
        <w:t>29</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(3):</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 xml:space="preserve">346– </w:t>
      </w:r>
      <w:r>
        <w:rPr>
          <w:rFonts w:hint="default" w:ascii="Times New Roman" w:hAnsi="Times New Roman" w:cs="Times New Roman"/>
          <w:spacing w:val="-4"/>
          <w:sz w:val="24"/>
          <w:szCs w:val="24"/>
        </w:rPr>
        <w:t>59.</w:t>
      </w:r>
    </w:p>
    <w:p>
      <w:pPr>
        <w:pStyle w:val="3"/>
        <w:spacing w:before="2"/>
        <w:rPr>
          <w:rFonts w:hint="default" w:ascii="Times New Roman" w:hAnsi="Times New Roman" w:cs="Times New Roman"/>
          <w:sz w:val="24"/>
          <w:szCs w:val="24"/>
        </w:rPr>
      </w:pPr>
    </w:p>
    <w:p>
      <w:pPr>
        <w:pStyle w:val="3"/>
        <w:spacing w:before="79" w:line="252" w:lineRule="exact"/>
        <w:ind w:left="200"/>
        <w:rPr>
          <w:rFonts w:hint="default" w:ascii="Times New Roman" w:hAnsi="Times New Roman" w:cs="Times New Roman"/>
          <w:sz w:val="24"/>
          <w:szCs w:val="24"/>
        </w:rPr>
      </w:pPr>
      <w:r>
        <w:rPr>
          <w:rFonts w:hint="default" w:ascii="Times New Roman" w:hAnsi="Times New Roman" w:cs="Times New Roman"/>
          <w:sz w:val="24"/>
          <w:szCs w:val="24"/>
        </w:rPr>
        <w:t xml:space="preserve">García-Posada, M. 2021. “Insolvency Institutions, Pledgeable Assets, and Efficiency.” </w:t>
      </w:r>
      <w:r>
        <w:rPr>
          <w:rFonts w:hint="default" w:ascii="Times New Roman" w:hAnsi="Times New Roman" w:cs="Times New Roman"/>
          <w:i/>
          <w:sz w:val="24"/>
          <w:szCs w:val="24"/>
        </w:rPr>
        <w:t xml:space="preserve">Journal of Legal Studies </w:t>
      </w:r>
      <w:r>
        <w:rPr>
          <w:rFonts w:hint="default" w:ascii="Times New Roman" w:hAnsi="Times New Roman" w:cs="Times New Roman"/>
          <w:sz w:val="24"/>
          <w:szCs w:val="24"/>
        </w:rPr>
        <w:t>50 (2): 331–78</w:t>
      </w:r>
    </w:p>
    <w:p>
      <w:pPr>
        <w:pStyle w:val="3"/>
        <w:spacing w:before="79" w:line="252" w:lineRule="exact"/>
        <w:ind w:left="200"/>
        <w:rPr>
          <w:rFonts w:hint="default" w:ascii="Times New Roman" w:hAnsi="Times New Roman" w:cs="Times New Roman"/>
          <w:sz w:val="24"/>
          <w:szCs w:val="24"/>
        </w:rPr>
      </w:pPr>
    </w:p>
    <w:p>
      <w:pPr>
        <w:pStyle w:val="3"/>
        <w:spacing w:before="79" w:line="252" w:lineRule="exact"/>
        <w:ind w:left="200"/>
        <w:rPr>
          <w:rFonts w:hint="default" w:ascii="Times New Roman" w:hAnsi="Times New Roman" w:cs="Times New Roman"/>
          <w:sz w:val="24"/>
          <w:szCs w:val="24"/>
        </w:rPr>
      </w:pPr>
      <w:r>
        <w:rPr>
          <w:rFonts w:hint="default" w:ascii="Times New Roman" w:hAnsi="Times New Roman" w:cs="Times New Roman"/>
          <w:sz w:val="24"/>
          <w:szCs w:val="24"/>
        </w:rPr>
        <w:t>Guerra-Martinez,</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et</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al.</w:t>
      </w:r>
      <w:r>
        <w:rPr>
          <w:rFonts w:hint="default" w:ascii="Times New Roman" w:hAnsi="Times New Roman" w:cs="Times New Roman"/>
          <w:spacing w:val="46"/>
          <w:sz w:val="24"/>
          <w:szCs w:val="24"/>
        </w:rPr>
        <w:t xml:space="preserve"> </w:t>
      </w:r>
      <w:r>
        <w:rPr>
          <w:rFonts w:hint="default" w:ascii="Times New Roman" w:hAnsi="Times New Roman" w:cs="Times New Roman"/>
          <w:sz w:val="24"/>
          <w:szCs w:val="24"/>
        </w:rPr>
        <w:t>2021.</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“Implementing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Framework</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Micro</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Small</w:t>
      </w:r>
      <w:r>
        <w:rPr>
          <w:rFonts w:hint="default" w:ascii="Times New Roman" w:hAnsi="Times New Roman" w:cs="Times New Roman"/>
          <w:spacing w:val="-2"/>
          <w:sz w:val="24"/>
          <w:szCs w:val="24"/>
        </w:rPr>
        <w:t xml:space="preserve"> Firms.”</w:t>
      </w:r>
    </w:p>
    <w:p>
      <w:pPr>
        <w:spacing w:before="0" w:line="252" w:lineRule="exact"/>
        <w:ind w:left="920" w:right="0" w:firstLine="0"/>
        <w:jc w:val="left"/>
        <w:rPr>
          <w:rFonts w:hint="default" w:ascii="Times New Roman" w:hAnsi="Times New Roman" w:cs="Times New Roman"/>
          <w:sz w:val="24"/>
          <w:szCs w:val="24"/>
        </w:rPr>
      </w:pPr>
      <w:r>
        <w:rPr>
          <w:rFonts w:hint="default" w:ascii="Times New Roman" w:hAnsi="Times New Roman" w:cs="Times New Roman"/>
          <w:i/>
          <w:sz w:val="24"/>
          <w:szCs w:val="24"/>
        </w:rPr>
        <w:t>International</w:t>
      </w:r>
      <w:r>
        <w:rPr>
          <w:rFonts w:hint="default" w:ascii="Times New Roman" w:hAnsi="Times New Roman" w:cs="Times New Roman"/>
          <w:i/>
          <w:spacing w:val="-6"/>
          <w:sz w:val="24"/>
          <w:szCs w:val="24"/>
        </w:rPr>
        <w:t xml:space="preserve"> </w:t>
      </w:r>
      <w:r>
        <w:rPr>
          <w:rFonts w:hint="default" w:ascii="Times New Roman" w:hAnsi="Times New Roman" w:cs="Times New Roman"/>
          <w:i/>
          <w:sz w:val="24"/>
          <w:szCs w:val="24"/>
        </w:rPr>
        <w:t>Insolvency</w:t>
      </w:r>
      <w:r>
        <w:rPr>
          <w:rFonts w:hint="default" w:ascii="Times New Roman" w:hAnsi="Times New Roman" w:cs="Times New Roman"/>
          <w:i/>
          <w:spacing w:val="-4"/>
          <w:sz w:val="24"/>
          <w:szCs w:val="24"/>
        </w:rPr>
        <w:t xml:space="preserve"> </w:t>
      </w:r>
      <w:r>
        <w:rPr>
          <w:rFonts w:hint="default" w:ascii="Times New Roman" w:hAnsi="Times New Roman" w:cs="Times New Roman"/>
          <w:i/>
          <w:sz w:val="24"/>
          <w:szCs w:val="24"/>
        </w:rPr>
        <w:t>Review</w:t>
      </w:r>
      <w:r>
        <w:rPr>
          <w:rFonts w:hint="default" w:ascii="Times New Roman" w:hAnsi="Times New Roman" w:cs="Times New Roman"/>
          <w:i/>
          <w:spacing w:val="-1"/>
          <w:sz w:val="24"/>
          <w:szCs w:val="24"/>
        </w:rPr>
        <w:t xml:space="preserve"> </w:t>
      </w:r>
      <w:r>
        <w:rPr>
          <w:rFonts w:hint="default" w:ascii="Times New Roman" w:hAnsi="Times New Roman" w:cs="Times New Roman"/>
          <w:sz w:val="24"/>
          <w:szCs w:val="24"/>
        </w:rPr>
        <w:t>30</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(S1):</w:t>
      </w:r>
      <w:r>
        <w:rPr>
          <w:rFonts w:hint="default" w:ascii="Times New Roman" w:hAnsi="Times New Roman" w:cs="Times New Roman"/>
          <w:spacing w:val="-2"/>
          <w:sz w:val="24"/>
          <w:szCs w:val="24"/>
        </w:rPr>
        <w:t xml:space="preserve"> S46–S66.</w:t>
      </w:r>
    </w:p>
    <w:p>
      <w:pPr>
        <w:pStyle w:val="3"/>
        <w:rPr>
          <w:rFonts w:hint="default" w:ascii="Times New Roman" w:hAnsi="Times New Roman" w:cs="Times New Roman"/>
          <w:sz w:val="24"/>
          <w:szCs w:val="24"/>
        </w:rPr>
      </w:pPr>
    </w:p>
    <w:p>
      <w:pPr>
        <w:pStyle w:val="3"/>
        <w:ind w:left="920" w:hanging="720"/>
        <w:rPr>
          <w:rFonts w:hint="default" w:ascii="Times New Roman" w:hAnsi="Times New Roman" w:cs="Times New Roman"/>
          <w:sz w:val="24"/>
          <w:szCs w:val="24"/>
        </w:rPr>
      </w:pPr>
      <w:r>
        <w:rPr>
          <w:rFonts w:hint="default" w:ascii="Times New Roman" w:hAnsi="Times New Roman" w:cs="Times New Roman"/>
          <w:sz w:val="24"/>
          <w:szCs w:val="24"/>
        </w:rPr>
        <w:t>ILO</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(International</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Labour</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Organization).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“Protection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Worker’s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Wage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Claims</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Enterprise Insolvency.” Factsheet, May 18, 2020.</w:t>
      </w:r>
    </w:p>
    <w:p>
      <w:pPr>
        <w:pStyle w:val="3"/>
        <w:spacing w:before="11"/>
        <w:rPr>
          <w:rFonts w:hint="default" w:ascii="Times New Roman" w:hAnsi="Times New Roman" w:cs="Times New Roman"/>
          <w:sz w:val="24"/>
          <w:szCs w:val="24"/>
        </w:rPr>
      </w:pPr>
    </w:p>
    <w:p>
      <w:pPr>
        <w:pStyle w:val="3"/>
        <w:ind w:left="920" w:right="195" w:hanging="720"/>
        <w:jc w:val="both"/>
        <w:rPr>
          <w:rFonts w:hint="default" w:ascii="Times New Roman" w:hAnsi="Times New Roman" w:cs="Times New Roman"/>
          <w:sz w:val="24"/>
          <w:szCs w:val="24"/>
        </w:rPr>
      </w:pPr>
      <w:r>
        <w:rPr>
          <w:rFonts w:hint="default" w:ascii="Times New Roman" w:hAnsi="Times New Roman" w:cs="Times New Roman"/>
          <w:sz w:val="24"/>
          <w:szCs w:val="24"/>
        </w:rPr>
        <w:t>International</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Monetary</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Fund</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(IMF).</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2021.</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Prospects</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among</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Small</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11"/>
          <w:sz w:val="24"/>
          <w:szCs w:val="24"/>
        </w:rPr>
        <w:t xml:space="preserve"> </w:t>
      </w:r>
      <w:r>
        <w:rPr>
          <w:rFonts w:hint="default" w:ascii="Times New Roman" w:hAnsi="Times New Roman" w:cs="Times New Roman"/>
          <w:sz w:val="24"/>
          <w:szCs w:val="24"/>
        </w:rPr>
        <w:t>Medium</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Enterprises</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in Advanced Economies: Assessment and Policy Options." IMF Staff Discussion Note 2021/002, International Monetary Fund, Washington, DC.</w:t>
      </w:r>
    </w:p>
    <w:p>
      <w:pPr>
        <w:pStyle w:val="3"/>
        <w:spacing w:before="1"/>
        <w:rPr>
          <w:rFonts w:hint="default" w:ascii="Times New Roman" w:hAnsi="Times New Roman" w:cs="Times New Roman"/>
          <w:sz w:val="24"/>
          <w:szCs w:val="24"/>
        </w:rPr>
      </w:pPr>
    </w:p>
    <w:p>
      <w:pPr>
        <w:pStyle w:val="3"/>
        <w:ind w:left="920" w:right="198"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Inacio, E. 2020. “When Environment Meets Insolvency.” Technical Insight. </w:t>
      </w:r>
      <w:r>
        <w:rPr>
          <w:rFonts w:hint="default" w:ascii="Times New Roman" w:hAnsi="Times New Roman" w:cs="Times New Roman"/>
          <w:i/>
          <w:sz w:val="24"/>
          <w:szCs w:val="24"/>
        </w:rPr>
        <w:t xml:space="preserve">Eurofenix </w:t>
      </w:r>
      <w:r>
        <w:rPr>
          <w:rFonts w:hint="default" w:ascii="Times New Roman" w:hAnsi="Times New Roman" w:cs="Times New Roman"/>
          <w:sz w:val="24"/>
          <w:szCs w:val="24"/>
        </w:rPr>
        <w:t xml:space="preserve">Winter 2019/20: </w:t>
      </w:r>
      <w:r>
        <w:rPr>
          <w:rFonts w:hint="default" w:ascii="Times New Roman" w:hAnsi="Times New Roman" w:cs="Times New Roman"/>
          <w:spacing w:val="-2"/>
          <w:sz w:val="24"/>
          <w:szCs w:val="24"/>
        </w:rPr>
        <w:t>14–15.</w:t>
      </w:r>
    </w:p>
    <w:p>
      <w:pPr>
        <w:pStyle w:val="3"/>
        <w:rPr>
          <w:rFonts w:hint="default" w:ascii="Times New Roman" w:hAnsi="Times New Roman" w:cs="Times New Roman"/>
          <w:sz w:val="24"/>
          <w:szCs w:val="24"/>
        </w:rPr>
      </w:pPr>
    </w:p>
    <w:p>
      <w:pPr>
        <w:spacing w:before="0"/>
        <w:ind w:left="920" w:right="200"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INSOL International. 2019. </w:t>
      </w:r>
      <w:r>
        <w:rPr>
          <w:rFonts w:hint="default" w:ascii="Times New Roman" w:hAnsi="Times New Roman" w:cs="Times New Roman"/>
          <w:i/>
          <w:sz w:val="24"/>
          <w:szCs w:val="24"/>
        </w:rPr>
        <w:t>The Role of Artificial Intelligence (AI) and Technology in Global Bankruptcy and Restructuring Practices</w:t>
      </w:r>
      <w:r>
        <w:rPr>
          <w:rFonts w:hint="default" w:ascii="Times New Roman" w:hAnsi="Times New Roman" w:cs="Times New Roman"/>
          <w:sz w:val="24"/>
          <w:szCs w:val="24"/>
        </w:rPr>
        <w:t>. Special Report. London: INSOL International.</w:t>
      </w:r>
    </w:p>
    <w:p>
      <w:pPr>
        <w:pStyle w:val="3"/>
        <w:spacing w:before="2"/>
        <w:rPr>
          <w:rFonts w:hint="default" w:ascii="Times New Roman" w:hAnsi="Times New Roman" w:cs="Times New Roman"/>
          <w:sz w:val="24"/>
          <w:szCs w:val="24"/>
        </w:rPr>
      </w:pPr>
    </w:p>
    <w:p>
      <w:pPr>
        <w:pStyle w:val="3"/>
        <w:ind w:left="92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Iverson B. C., J. Madsen, W. Wang, and Q. Xu. 2018. “Learning by Doing: Judge Experience and Bankruptcy Outcomes.” https://doi.org/10.2139/ssrn.3084318.</w:t>
      </w:r>
    </w:p>
    <w:p>
      <w:pPr>
        <w:pStyle w:val="3"/>
        <w:spacing w:before="11"/>
        <w:rPr>
          <w:rFonts w:hint="default" w:ascii="Times New Roman" w:hAnsi="Times New Roman" w:cs="Times New Roman"/>
          <w:sz w:val="24"/>
          <w:szCs w:val="24"/>
        </w:rPr>
      </w:pPr>
    </w:p>
    <w:p>
      <w:pPr>
        <w:pStyle w:val="3"/>
        <w:ind w:left="920" w:right="196"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Kruczalak-Jankowska J., M. Maśnicka, and A. Machnikowska. 2020. “The Relation between Duration of Insolvency Proceedings and their Efficiency.” </w:t>
      </w:r>
      <w:r>
        <w:rPr>
          <w:rFonts w:hint="default" w:ascii="Times New Roman" w:hAnsi="Times New Roman" w:cs="Times New Roman"/>
          <w:i/>
          <w:sz w:val="24"/>
          <w:szCs w:val="24"/>
        </w:rPr>
        <w:t xml:space="preserve">International Insolvency Review </w:t>
      </w:r>
      <w:r>
        <w:rPr>
          <w:rFonts w:hint="default" w:ascii="Times New Roman" w:hAnsi="Times New Roman" w:cs="Times New Roman"/>
          <w:sz w:val="24"/>
          <w:szCs w:val="24"/>
        </w:rPr>
        <w:t xml:space="preserve">29 (3, Winter): </w:t>
      </w:r>
      <w:r>
        <w:rPr>
          <w:rFonts w:hint="default" w:ascii="Times New Roman" w:hAnsi="Times New Roman" w:cs="Times New Roman"/>
          <w:spacing w:val="-2"/>
          <w:sz w:val="24"/>
          <w:szCs w:val="24"/>
        </w:rPr>
        <w:t>379–92.</w:t>
      </w:r>
    </w:p>
    <w:p>
      <w:pPr>
        <w:pStyle w:val="3"/>
        <w:spacing w:before="10"/>
        <w:rPr>
          <w:rFonts w:hint="default" w:ascii="Times New Roman" w:hAnsi="Times New Roman" w:cs="Times New Roman"/>
          <w:sz w:val="24"/>
          <w:szCs w:val="24"/>
        </w:rPr>
      </w:pPr>
    </w:p>
    <w:p>
      <w:pPr>
        <w:pStyle w:val="3"/>
        <w:ind w:left="920" w:right="195" w:hanging="720"/>
        <w:jc w:val="both"/>
        <w:rPr>
          <w:rFonts w:hint="default" w:ascii="Times New Roman" w:hAnsi="Times New Roman" w:cs="Times New Roman"/>
          <w:sz w:val="24"/>
          <w:szCs w:val="24"/>
        </w:rPr>
      </w:pPr>
      <w:r>
        <w:rPr>
          <w:rFonts w:hint="default" w:ascii="Times New Roman" w:hAnsi="Times New Roman" w:cs="Times New Roman"/>
          <w:sz w:val="24"/>
          <w:szCs w:val="24"/>
        </w:rPr>
        <w:t>Klapper,</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L.</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2011.</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"Saving</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Viable</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Businesses:</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Effect</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of</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Insolvency</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Reform.”</w:t>
      </w:r>
      <w:r>
        <w:rPr>
          <w:rFonts w:hint="default" w:ascii="Times New Roman" w:hAnsi="Times New Roman" w:cs="Times New Roman"/>
          <w:spacing w:val="-8"/>
          <w:sz w:val="24"/>
          <w:szCs w:val="24"/>
        </w:rPr>
        <w:t xml:space="preserve"> </w:t>
      </w:r>
      <w:r>
        <w:rPr>
          <w:rFonts w:hint="default" w:ascii="Times New Roman" w:hAnsi="Times New Roman" w:cs="Times New Roman"/>
          <w:color w:val="202429"/>
          <w:sz w:val="24"/>
          <w:szCs w:val="24"/>
        </w:rPr>
        <w:t>Viewpoint:</w:t>
      </w:r>
      <w:r>
        <w:rPr>
          <w:rFonts w:hint="default" w:ascii="Times New Roman" w:hAnsi="Times New Roman" w:cs="Times New Roman"/>
          <w:color w:val="202429"/>
          <w:spacing w:val="-9"/>
          <w:sz w:val="24"/>
          <w:szCs w:val="24"/>
        </w:rPr>
        <w:t xml:space="preserve"> </w:t>
      </w:r>
      <w:r>
        <w:rPr>
          <w:rFonts w:hint="default" w:ascii="Times New Roman" w:hAnsi="Times New Roman" w:cs="Times New Roman"/>
          <w:color w:val="202429"/>
          <w:sz w:val="24"/>
          <w:szCs w:val="24"/>
        </w:rPr>
        <w:t>Public</w:t>
      </w:r>
      <w:r>
        <w:rPr>
          <w:rFonts w:hint="default" w:ascii="Times New Roman" w:hAnsi="Times New Roman" w:cs="Times New Roman"/>
          <w:color w:val="202429"/>
          <w:spacing w:val="-9"/>
          <w:sz w:val="24"/>
          <w:szCs w:val="24"/>
        </w:rPr>
        <w:t xml:space="preserve"> </w:t>
      </w:r>
      <w:r>
        <w:rPr>
          <w:rFonts w:hint="default" w:ascii="Times New Roman" w:hAnsi="Times New Roman" w:cs="Times New Roman"/>
          <w:color w:val="202429"/>
          <w:sz w:val="24"/>
          <w:szCs w:val="24"/>
        </w:rPr>
        <w:t>Policy for the Private Sector, Note No. 328. World Bank, Washington, DC.</w:t>
      </w:r>
    </w:p>
    <w:p>
      <w:pPr>
        <w:pStyle w:val="3"/>
        <w:spacing w:before="2"/>
        <w:rPr>
          <w:rFonts w:hint="default" w:ascii="Times New Roman" w:hAnsi="Times New Roman" w:cs="Times New Roman"/>
          <w:sz w:val="24"/>
          <w:szCs w:val="24"/>
        </w:rPr>
      </w:pPr>
    </w:p>
    <w:p>
      <w:pPr>
        <w:pStyle w:val="3"/>
        <w:ind w:left="920" w:right="316" w:hanging="720"/>
        <w:rPr>
          <w:rFonts w:hint="default" w:ascii="Times New Roman" w:hAnsi="Times New Roman" w:cs="Times New Roman"/>
          <w:sz w:val="24"/>
          <w:szCs w:val="24"/>
        </w:rPr>
      </w:pPr>
      <w:r>
        <w:rPr>
          <w:rFonts w:hint="default" w:ascii="Times New Roman" w:hAnsi="Times New Roman" w:cs="Times New Roman"/>
          <w:sz w:val="24"/>
          <w:szCs w:val="24"/>
        </w:rPr>
        <w:t>Li,</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Ponticelli.</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2020.</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“Going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Bankrupt</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in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China.”</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NBER</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Working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Paper</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27501,</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National Bureau of Economic Research, Cambridge, MA.</w:t>
      </w:r>
    </w:p>
    <w:p>
      <w:pPr>
        <w:pStyle w:val="3"/>
        <w:spacing w:before="11"/>
        <w:rPr>
          <w:rFonts w:hint="default" w:ascii="Times New Roman" w:hAnsi="Times New Roman" w:cs="Times New Roman"/>
          <w:sz w:val="24"/>
          <w:szCs w:val="24"/>
        </w:rPr>
      </w:pPr>
    </w:p>
    <w:p>
      <w:pPr>
        <w:spacing w:before="0"/>
        <w:ind w:left="920" w:right="316" w:hanging="720"/>
        <w:jc w:val="left"/>
        <w:rPr>
          <w:rFonts w:hint="default" w:ascii="Times New Roman" w:hAnsi="Times New Roman" w:cs="Times New Roman"/>
          <w:sz w:val="24"/>
          <w:szCs w:val="24"/>
        </w:rPr>
      </w:pPr>
      <w:r>
        <w:rPr>
          <w:rFonts w:hint="default" w:ascii="Times New Roman" w:hAnsi="Times New Roman" w:cs="Times New Roman"/>
          <w:sz w:val="24"/>
          <w:szCs w:val="24"/>
        </w:rPr>
        <w:t>Menezes,</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P.,</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S.</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J.</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Brodie,</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A.</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Gropper,</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M.</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Uttamchandani.</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2022.</w:t>
      </w:r>
      <w:r>
        <w:rPr>
          <w:rFonts w:hint="default" w:ascii="Times New Roman" w:hAnsi="Times New Roman" w:cs="Times New Roman"/>
          <w:spacing w:val="-2"/>
          <w:sz w:val="24"/>
          <w:szCs w:val="24"/>
        </w:rPr>
        <w:t xml:space="preserve"> </w:t>
      </w:r>
      <w:r>
        <w:rPr>
          <w:rFonts w:hint="default" w:ascii="Times New Roman" w:hAnsi="Times New Roman" w:cs="Times New Roman"/>
          <w:i/>
          <w:sz w:val="24"/>
          <w:szCs w:val="24"/>
        </w:rPr>
        <w:t>A</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Toolkit</w:t>
      </w:r>
      <w:r>
        <w:rPr>
          <w:rFonts w:hint="default" w:ascii="Times New Roman" w:hAnsi="Times New Roman" w:cs="Times New Roman"/>
          <w:i/>
          <w:spacing w:val="-4"/>
          <w:sz w:val="24"/>
          <w:szCs w:val="24"/>
        </w:rPr>
        <w:t xml:space="preserve"> </w:t>
      </w:r>
      <w:r>
        <w:rPr>
          <w:rFonts w:hint="default" w:ascii="Times New Roman" w:hAnsi="Times New Roman" w:cs="Times New Roman"/>
          <w:i/>
          <w:sz w:val="24"/>
          <w:szCs w:val="24"/>
        </w:rPr>
        <w:t>for</w:t>
      </w:r>
      <w:r>
        <w:rPr>
          <w:rFonts w:hint="default" w:ascii="Times New Roman" w:hAnsi="Times New Roman" w:cs="Times New Roman"/>
          <w:i/>
          <w:spacing w:val="-2"/>
          <w:sz w:val="24"/>
          <w:szCs w:val="24"/>
        </w:rPr>
        <w:t xml:space="preserve"> </w:t>
      </w:r>
      <w:r>
        <w:rPr>
          <w:rFonts w:hint="default" w:ascii="Times New Roman" w:hAnsi="Times New Roman" w:cs="Times New Roman"/>
          <w:i/>
          <w:sz w:val="24"/>
          <w:szCs w:val="24"/>
        </w:rPr>
        <w:t xml:space="preserve">Corporate Workouts. </w:t>
      </w:r>
      <w:r>
        <w:rPr>
          <w:rFonts w:hint="default" w:ascii="Times New Roman" w:hAnsi="Times New Roman" w:cs="Times New Roman"/>
          <w:sz w:val="24"/>
          <w:szCs w:val="24"/>
        </w:rPr>
        <w:t>Washington, DC: World Bank Group.</w:t>
      </w:r>
    </w:p>
    <w:p>
      <w:pPr>
        <w:pStyle w:val="3"/>
        <w:spacing w:before="11"/>
        <w:rPr>
          <w:rFonts w:hint="default" w:ascii="Times New Roman" w:hAnsi="Times New Roman" w:cs="Times New Roman"/>
          <w:sz w:val="24"/>
          <w:szCs w:val="24"/>
        </w:rPr>
      </w:pPr>
    </w:p>
    <w:p>
      <w:pPr>
        <w:pStyle w:val="3"/>
        <w:ind w:left="920" w:right="316" w:hanging="720"/>
        <w:rPr>
          <w:rFonts w:hint="default" w:ascii="Times New Roman" w:hAnsi="Times New Roman" w:cs="Times New Roman"/>
          <w:sz w:val="24"/>
          <w:szCs w:val="24"/>
        </w:rPr>
      </w:pPr>
      <w:r>
        <w:rPr>
          <w:rFonts w:hint="default" w:ascii="Times New Roman" w:hAnsi="Times New Roman" w:cs="Times New Roman"/>
          <w:sz w:val="24"/>
          <w:szCs w:val="24"/>
        </w:rPr>
        <w:t>Menezes, A., N. Mocheva, and S. Shankar. 2020. “‘Under Pressure’: Integrating Online Dispute Resolution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Platforms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into</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Preinsolvency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Processes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Early</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Warning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Tools</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to</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Save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 xml:space="preserve">Distressed Small Businesses.” </w:t>
      </w:r>
      <w:r>
        <w:rPr>
          <w:rFonts w:hint="default" w:ascii="Times New Roman" w:hAnsi="Times New Roman" w:cs="Times New Roman"/>
          <w:i/>
          <w:sz w:val="24"/>
          <w:szCs w:val="24"/>
        </w:rPr>
        <w:t xml:space="preserve">Vilkapa </w:t>
      </w:r>
      <w:r>
        <w:rPr>
          <w:rFonts w:hint="default" w:ascii="Times New Roman" w:hAnsi="Times New Roman" w:cs="Times New Roman"/>
          <w:sz w:val="24"/>
          <w:szCs w:val="24"/>
        </w:rPr>
        <w:t>45 (2). https://doi.org/10.1177/02560909209418</w:t>
      </w:r>
      <w:r>
        <w:rPr>
          <w:rFonts w:hint="default" w:ascii="Times New Roman" w:hAnsi="Times New Roman" w:cs="Times New Roman"/>
          <w:color w:val="006ACC"/>
          <w:sz w:val="24"/>
          <w:szCs w:val="24"/>
        </w:rPr>
        <w:t>.</w:t>
      </w:r>
    </w:p>
    <w:p>
      <w:pPr>
        <w:pStyle w:val="3"/>
        <w:spacing w:before="1"/>
        <w:rPr>
          <w:rFonts w:hint="default" w:ascii="Times New Roman" w:hAnsi="Times New Roman" w:cs="Times New Roman"/>
          <w:sz w:val="24"/>
          <w:szCs w:val="24"/>
        </w:rPr>
      </w:pPr>
    </w:p>
    <w:p>
      <w:pPr>
        <w:pStyle w:val="3"/>
        <w:spacing w:before="1"/>
        <w:ind w:left="920" w:right="198" w:hanging="720"/>
        <w:jc w:val="both"/>
        <w:rPr>
          <w:rFonts w:hint="default" w:ascii="Times New Roman" w:hAnsi="Times New Roman" w:cs="Times New Roman"/>
          <w:sz w:val="24"/>
          <w:szCs w:val="24"/>
        </w:rPr>
      </w:pPr>
      <w:r>
        <w:rPr>
          <w:rFonts w:hint="default" w:ascii="Times New Roman" w:hAnsi="Times New Roman" w:cs="Times New Roman"/>
          <w:sz w:val="24"/>
          <w:szCs w:val="24"/>
        </w:rPr>
        <w:t>OECD (Organisation for Economic Co-operation and Development). 2020. “The OECD Digital Government Policy Framework: Six Dimensions of a Digital Government." OECD Public Governance Policy Papers. OECD Publishing.</w:t>
      </w:r>
    </w:p>
    <w:p>
      <w:pPr>
        <w:pStyle w:val="3"/>
        <w:spacing w:before="9"/>
        <w:rPr>
          <w:rFonts w:hint="default" w:ascii="Times New Roman" w:hAnsi="Times New Roman" w:cs="Times New Roman"/>
          <w:sz w:val="24"/>
          <w:szCs w:val="24"/>
        </w:rPr>
      </w:pPr>
    </w:p>
    <w:p>
      <w:pPr>
        <w:pStyle w:val="3"/>
        <w:spacing w:before="1"/>
        <w:ind w:left="200"/>
        <w:rPr>
          <w:rFonts w:hint="default" w:ascii="Times New Roman" w:hAnsi="Times New Roman" w:cs="Times New Roman"/>
          <w:sz w:val="24"/>
          <w:szCs w:val="24"/>
        </w:rPr>
      </w:pPr>
      <w:r>
        <w:rPr>
          <w:rFonts w:hint="default" w:ascii="Times New Roman" w:hAnsi="Times New Roman" w:cs="Times New Roman"/>
          <w:sz w:val="24"/>
          <w:szCs w:val="24"/>
        </w:rPr>
        <w:t>Rodano,</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G.,</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N.</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Serrano-Velarde,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E.</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Tarantino.</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2016.</w:t>
      </w:r>
      <w:r>
        <w:rPr>
          <w:rFonts w:hint="default" w:ascii="Times New Roman" w:hAnsi="Times New Roman" w:cs="Times New Roman"/>
          <w:spacing w:val="-3"/>
          <w:sz w:val="24"/>
          <w:szCs w:val="24"/>
        </w:rPr>
        <w:t xml:space="preserve"> </w:t>
      </w:r>
      <w:r>
        <w:rPr>
          <w:rFonts w:hint="default" w:ascii="Times New Roman" w:hAnsi="Times New Roman" w:cs="Times New Roman"/>
          <w:sz w:val="24"/>
          <w:szCs w:val="24"/>
        </w:rPr>
        <w:t>“Bankruptcy</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Law</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and</w:t>
      </w:r>
      <w:r>
        <w:rPr>
          <w:rFonts w:hint="default" w:ascii="Times New Roman" w:hAnsi="Times New Roman" w:cs="Times New Roman"/>
          <w:spacing w:val="-5"/>
          <w:sz w:val="24"/>
          <w:szCs w:val="24"/>
        </w:rPr>
        <w:t xml:space="preserve"> </w:t>
      </w:r>
      <w:r>
        <w:rPr>
          <w:rFonts w:hint="default" w:ascii="Times New Roman" w:hAnsi="Times New Roman" w:cs="Times New Roman"/>
          <w:sz w:val="24"/>
          <w:szCs w:val="24"/>
        </w:rPr>
        <w:t>Bank</w:t>
      </w:r>
      <w:r>
        <w:rPr>
          <w:rFonts w:hint="default" w:ascii="Times New Roman" w:hAnsi="Times New Roman" w:cs="Times New Roman"/>
          <w:spacing w:val="-2"/>
          <w:sz w:val="24"/>
          <w:szCs w:val="24"/>
        </w:rPr>
        <w:t xml:space="preserve"> Financing.”</w:t>
      </w:r>
    </w:p>
    <w:p>
      <w:pPr>
        <w:spacing w:before="1"/>
        <w:ind w:left="920" w:right="0" w:firstLine="0"/>
        <w:jc w:val="left"/>
        <w:rPr>
          <w:rFonts w:hint="default" w:ascii="Times New Roman" w:hAnsi="Times New Roman" w:cs="Times New Roman"/>
          <w:sz w:val="24"/>
          <w:szCs w:val="24"/>
        </w:rPr>
      </w:pPr>
      <w:r>
        <w:rPr>
          <w:rFonts w:hint="default" w:ascii="Times New Roman" w:hAnsi="Times New Roman" w:cs="Times New Roman"/>
          <w:i/>
          <w:sz w:val="24"/>
          <w:szCs w:val="24"/>
        </w:rPr>
        <w:t>Journal</w:t>
      </w:r>
      <w:r>
        <w:rPr>
          <w:rFonts w:hint="default" w:ascii="Times New Roman" w:hAnsi="Times New Roman" w:cs="Times New Roman"/>
          <w:i/>
          <w:spacing w:val="-5"/>
          <w:sz w:val="24"/>
          <w:szCs w:val="24"/>
        </w:rPr>
        <w:t xml:space="preserve"> </w:t>
      </w:r>
      <w:r>
        <w:rPr>
          <w:rFonts w:hint="default" w:ascii="Times New Roman" w:hAnsi="Times New Roman" w:cs="Times New Roman"/>
          <w:i/>
          <w:sz w:val="24"/>
          <w:szCs w:val="24"/>
        </w:rPr>
        <w:t>of</w:t>
      </w:r>
      <w:r>
        <w:rPr>
          <w:rFonts w:hint="default" w:ascii="Times New Roman" w:hAnsi="Times New Roman" w:cs="Times New Roman"/>
          <w:i/>
          <w:spacing w:val="-3"/>
          <w:sz w:val="24"/>
          <w:szCs w:val="24"/>
        </w:rPr>
        <w:t xml:space="preserve"> </w:t>
      </w:r>
      <w:r>
        <w:rPr>
          <w:rFonts w:hint="default" w:ascii="Times New Roman" w:hAnsi="Times New Roman" w:cs="Times New Roman"/>
          <w:i/>
          <w:sz w:val="24"/>
          <w:szCs w:val="24"/>
        </w:rPr>
        <w:t>Financial</w:t>
      </w:r>
      <w:r>
        <w:rPr>
          <w:rFonts w:hint="default" w:ascii="Times New Roman" w:hAnsi="Times New Roman" w:cs="Times New Roman"/>
          <w:i/>
          <w:spacing w:val="-3"/>
          <w:sz w:val="24"/>
          <w:szCs w:val="24"/>
        </w:rPr>
        <w:t xml:space="preserve"> </w:t>
      </w:r>
      <w:r>
        <w:rPr>
          <w:rFonts w:hint="default" w:ascii="Times New Roman" w:hAnsi="Times New Roman" w:cs="Times New Roman"/>
          <w:i/>
          <w:sz w:val="24"/>
          <w:szCs w:val="24"/>
        </w:rPr>
        <w:t>Economics</w:t>
      </w:r>
      <w:r>
        <w:rPr>
          <w:rFonts w:hint="default" w:ascii="Times New Roman" w:hAnsi="Times New Roman" w:cs="Times New Roman"/>
          <w:i/>
          <w:spacing w:val="-2"/>
          <w:sz w:val="24"/>
          <w:szCs w:val="24"/>
        </w:rPr>
        <w:t xml:space="preserve"> </w:t>
      </w:r>
      <w:r>
        <w:rPr>
          <w:rFonts w:hint="default" w:ascii="Times New Roman" w:hAnsi="Times New Roman" w:cs="Times New Roman"/>
          <w:sz w:val="24"/>
          <w:szCs w:val="24"/>
        </w:rPr>
        <w:t>120</w:t>
      </w:r>
      <w:r>
        <w:rPr>
          <w:rFonts w:hint="default" w:ascii="Times New Roman" w:hAnsi="Times New Roman" w:cs="Times New Roman"/>
          <w:spacing w:val="-4"/>
          <w:sz w:val="24"/>
          <w:szCs w:val="24"/>
        </w:rPr>
        <w:t xml:space="preserve"> </w:t>
      </w:r>
      <w:r>
        <w:rPr>
          <w:rFonts w:hint="default" w:ascii="Times New Roman" w:hAnsi="Times New Roman" w:cs="Times New Roman"/>
          <w:sz w:val="24"/>
          <w:szCs w:val="24"/>
        </w:rPr>
        <w:t>(2):</w:t>
      </w:r>
      <w:r>
        <w:rPr>
          <w:rFonts w:hint="default" w:ascii="Times New Roman" w:hAnsi="Times New Roman" w:cs="Times New Roman"/>
          <w:spacing w:val="-2"/>
          <w:sz w:val="24"/>
          <w:szCs w:val="24"/>
        </w:rPr>
        <w:t xml:space="preserve"> 363–82.</w:t>
      </w:r>
    </w:p>
    <w:p>
      <w:pPr>
        <w:pStyle w:val="3"/>
        <w:rPr>
          <w:rFonts w:hint="default" w:ascii="Times New Roman" w:hAnsi="Times New Roman" w:cs="Times New Roman"/>
          <w:sz w:val="24"/>
          <w:szCs w:val="24"/>
        </w:rPr>
      </w:pPr>
    </w:p>
    <w:p>
      <w:pPr>
        <w:spacing w:before="0"/>
        <w:ind w:left="92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Tollenar N. 2019. </w:t>
      </w:r>
      <w:r>
        <w:rPr>
          <w:rFonts w:hint="default" w:ascii="Times New Roman" w:hAnsi="Times New Roman" w:cs="Times New Roman"/>
          <w:i/>
          <w:sz w:val="24"/>
          <w:szCs w:val="24"/>
        </w:rPr>
        <w:t>Pre-Insolvency Proceedings: A Normative Foundation and Framework</w:t>
      </w:r>
      <w:r>
        <w:rPr>
          <w:rFonts w:hint="default" w:ascii="Times New Roman" w:hAnsi="Times New Roman" w:cs="Times New Roman"/>
          <w:sz w:val="24"/>
          <w:szCs w:val="24"/>
        </w:rPr>
        <w:t>. Oxford International and Comparative Insolvency Law Series. Oxford University Press.</w:t>
      </w:r>
    </w:p>
    <w:p>
      <w:pPr>
        <w:pStyle w:val="3"/>
        <w:rPr>
          <w:rFonts w:hint="default" w:ascii="Times New Roman" w:hAnsi="Times New Roman" w:cs="Times New Roman"/>
          <w:sz w:val="24"/>
          <w:szCs w:val="24"/>
        </w:rPr>
      </w:pPr>
    </w:p>
    <w:p>
      <w:pPr>
        <w:pStyle w:val="3"/>
        <w:ind w:left="920" w:right="201" w:hanging="720"/>
        <w:jc w:val="both"/>
        <w:rPr>
          <w:rFonts w:hint="default" w:ascii="Times New Roman" w:hAnsi="Times New Roman" w:cs="Times New Roman"/>
          <w:sz w:val="24"/>
          <w:szCs w:val="24"/>
        </w:rPr>
      </w:pPr>
      <w:r>
        <w:rPr>
          <w:rFonts w:hint="default" w:ascii="Times New Roman" w:hAnsi="Times New Roman" w:cs="Times New Roman"/>
          <w:sz w:val="24"/>
          <w:szCs w:val="24"/>
        </w:rPr>
        <w:t>UNCITRAL (United Nations Commission on International Trade Law). 2005. Legislative Guide on Insolvency Law, Parts I and II. New York.</w:t>
      </w:r>
    </w:p>
    <w:p>
      <w:pPr>
        <w:pStyle w:val="3"/>
        <w:rPr>
          <w:rFonts w:hint="default" w:ascii="Times New Roman" w:hAnsi="Times New Roman" w:cs="Times New Roman"/>
          <w:sz w:val="24"/>
          <w:szCs w:val="24"/>
        </w:rPr>
      </w:pPr>
    </w:p>
    <w:p>
      <w:pPr>
        <w:pStyle w:val="3"/>
        <w:ind w:left="920" w:right="197" w:hanging="720"/>
        <w:jc w:val="both"/>
        <w:rPr>
          <w:rFonts w:hint="default" w:ascii="Times New Roman" w:hAnsi="Times New Roman" w:cs="Times New Roman"/>
          <w:sz w:val="24"/>
          <w:szCs w:val="24"/>
        </w:rPr>
      </w:pPr>
      <w:r>
        <w:rPr>
          <w:rFonts w:hint="default" w:ascii="Times New Roman" w:hAnsi="Times New Roman" w:cs="Times New Roman"/>
          <w:sz w:val="24"/>
          <w:szCs w:val="24"/>
        </w:rPr>
        <w:t>UNCITRAL</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(United</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Nations</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Commission</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on</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International</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Trade</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Law).</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2014.</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Model</w:t>
      </w:r>
      <w:r>
        <w:rPr>
          <w:rFonts w:hint="default" w:ascii="Times New Roman" w:hAnsi="Times New Roman" w:cs="Times New Roman"/>
          <w:spacing w:val="-12"/>
          <w:sz w:val="24"/>
          <w:szCs w:val="24"/>
        </w:rPr>
        <w:t xml:space="preserve"> </w:t>
      </w:r>
      <w:r>
        <w:rPr>
          <w:rFonts w:hint="default" w:ascii="Times New Roman" w:hAnsi="Times New Roman" w:cs="Times New Roman"/>
          <w:sz w:val="24"/>
          <w:szCs w:val="24"/>
        </w:rPr>
        <w:t>Law</w:t>
      </w:r>
      <w:r>
        <w:rPr>
          <w:rFonts w:hint="default" w:ascii="Times New Roman" w:hAnsi="Times New Roman" w:cs="Times New Roman"/>
          <w:spacing w:val="-13"/>
          <w:sz w:val="24"/>
          <w:szCs w:val="24"/>
        </w:rPr>
        <w:t xml:space="preserve"> </w:t>
      </w:r>
      <w:r>
        <w:rPr>
          <w:rFonts w:hint="default" w:ascii="Times New Roman" w:hAnsi="Times New Roman" w:cs="Times New Roman"/>
          <w:sz w:val="24"/>
          <w:szCs w:val="24"/>
        </w:rPr>
        <w:t>on</w:t>
      </w:r>
      <w:r>
        <w:rPr>
          <w:rFonts w:hint="default" w:ascii="Times New Roman" w:hAnsi="Times New Roman" w:cs="Times New Roman"/>
          <w:spacing w:val="-14"/>
          <w:sz w:val="24"/>
          <w:szCs w:val="24"/>
        </w:rPr>
        <w:t xml:space="preserve"> </w:t>
      </w:r>
      <w:r>
        <w:rPr>
          <w:rFonts w:hint="default" w:ascii="Times New Roman" w:hAnsi="Times New Roman" w:cs="Times New Roman"/>
          <w:sz w:val="24"/>
          <w:szCs w:val="24"/>
        </w:rPr>
        <w:t>Cross-Border Insolvency with Guide to Enactment and Interpretation.</w:t>
      </w:r>
    </w:p>
    <w:p>
      <w:pPr>
        <w:pStyle w:val="3"/>
        <w:spacing w:before="191"/>
        <w:ind w:left="920" w:right="201" w:hanging="720"/>
        <w:jc w:val="both"/>
        <w:rPr>
          <w:rFonts w:hint="default" w:ascii="Times New Roman" w:hAnsi="Times New Roman" w:cs="Times New Roman"/>
          <w:sz w:val="24"/>
          <w:szCs w:val="24"/>
        </w:rPr>
      </w:pPr>
      <w:r>
        <w:rPr>
          <w:rFonts w:hint="default" w:ascii="Times New Roman" w:hAnsi="Times New Roman" w:cs="Times New Roman"/>
          <w:sz w:val="24"/>
          <w:szCs w:val="24"/>
        </w:rPr>
        <w:t>UNCITRAL (United Nations Commission on International Trade Law). 2020. Legislative Guide on Insolvency Law, Part IV.</w:t>
      </w:r>
    </w:p>
    <w:p>
      <w:pPr>
        <w:pStyle w:val="3"/>
        <w:spacing w:before="1"/>
        <w:rPr>
          <w:rFonts w:hint="default" w:ascii="Times New Roman" w:hAnsi="Times New Roman" w:cs="Times New Roman"/>
          <w:sz w:val="24"/>
          <w:szCs w:val="24"/>
        </w:rPr>
      </w:pPr>
    </w:p>
    <w:p>
      <w:pPr>
        <w:pStyle w:val="3"/>
        <w:spacing w:before="1"/>
        <w:ind w:left="920" w:right="201" w:hanging="720"/>
        <w:jc w:val="both"/>
        <w:rPr>
          <w:rFonts w:hint="default" w:ascii="Times New Roman" w:hAnsi="Times New Roman" w:cs="Times New Roman"/>
          <w:sz w:val="24"/>
          <w:szCs w:val="24"/>
        </w:rPr>
      </w:pPr>
      <w:r>
        <w:rPr>
          <w:rFonts w:hint="default" w:ascii="Times New Roman" w:hAnsi="Times New Roman" w:cs="Times New Roman"/>
          <w:sz w:val="24"/>
          <w:szCs w:val="24"/>
        </w:rPr>
        <w:t>UNCITRAL (United Nations Commission on International Trade Law). 2021. Legislative Recommendations on Insolvency of Micro- and Small Enterprises.</w:t>
      </w:r>
    </w:p>
    <w:p>
      <w:pPr>
        <w:pStyle w:val="3"/>
        <w:spacing w:before="10"/>
        <w:rPr>
          <w:rFonts w:hint="default" w:ascii="Times New Roman" w:hAnsi="Times New Roman" w:cs="Times New Roman"/>
          <w:sz w:val="24"/>
          <w:szCs w:val="24"/>
        </w:rPr>
      </w:pPr>
    </w:p>
    <w:p>
      <w:pPr>
        <w:pStyle w:val="3"/>
        <w:spacing w:before="1"/>
        <w:ind w:left="920" w:right="201" w:hanging="720"/>
        <w:jc w:val="both"/>
        <w:rPr>
          <w:rFonts w:hint="default" w:ascii="Times New Roman" w:hAnsi="Times New Roman" w:cs="Times New Roman"/>
          <w:sz w:val="24"/>
          <w:szCs w:val="24"/>
        </w:rPr>
      </w:pPr>
      <w:r>
        <w:rPr>
          <w:rFonts w:hint="default" w:ascii="Times New Roman" w:hAnsi="Times New Roman" w:cs="Times New Roman"/>
          <w:sz w:val="24"/>
          <w:szCs w:val="24"/>
        </w:rPr>
        <w:t>UNCITRAL (United Nations Commission on International Trade Law). 2022. Legislative Guide on Insolvency Law for Micro- and Small Enterprises.</w:t>
      </w:r>
    </w:p>
    <w:p>
      <w:pPr>
        <w:pStyle w:val="3"/>
        <w:spacing w:before="10"/>
        <w:rPr>
          <w:rFonts w:hint="default" w:ascii="Times New Roman" w:hAnsi="Times New Roman" w:cs="Times New Roman"/>
          <w:sz w:val="24"/>
          <w:szCs w:val="24"/>
        </w:rPr>
      </w:pPr>
    </w:p>
    <w:p>
      <w:pPr>
        <w:spacing w:before="1"/>
        <w:ind w:left="920" w:right="201"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Visaria, S. 2009. “Legal Reform and Loan Repayment: The Microeconomic Impact of Debt Recovery Tribunals in India.” </w:t>
      </w:r>
      <w:r>
        <w:rPr>
          <w:rFonts w:hint="default" w:ascii="Times New Roman" w:hAnsi="Times New Roman" w:cs="Times New Roman"/>
          <w:i/>
          <w:sz w:val="24"/>
          <w:szCs w:val="24"/>
        </w:rPr>
        <w:t xml:space="preserve">American Economic Journal: Applied Economics </w:t>
      </w:r>
      <w:r>
        <w:rPr>
          <w:rFonts w:hint="default" w:ascii="Times New Roman" w:hAnsi="Times New Roman" w:cs="Times New Roman"/>
          <w:sz w:val="24"/>
          <w:szCs w:val="24"/>
        </w:rPr>
        <w:t>1 (3): 59–81.</w:t>
      </w:r>
    </w:p>
    <w:p>
      <w:pPr>
        <w:pStyle w:val="3"/>
        <w:spacing w:before="11"/>
        <w:rPr>
          <w:rFonts w:hint="default" w:ascii="Times New Roman" w:hAnsi="Times New Roman" w:cs="Times New Roman"/>
          <w:sz w:val="24"/>
          <w:szCs w:val="24"/>
        </w:rPr>
      </w:pPr>
    </w:p>
    <w:p>
      <w:pPr>
        <w:spacing w:before="0"/>
        <w:ind w:left="92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 xml:space="preserve">World Bank Group. 2021. </w:t>
      </w:r>
      <w:r>
        <w:rPr>
          <w:rFonts w:hint="default" w:ascii="Times New Roman" w:hAnsi="Times New Roman" w:cs="Times New Roman"/>
          <w:i/>
          <w:sz w:val="24"/>
          <w:szCs w:val="24"/>
        </w:rPr>
        <w:t>Principles for Effective Insolvency and Creditor/Debtor Regimes</w:t>
      </w:r>
      <w:r>
        <w:rPr>
          <w:rFonts w:hint="default" w:ascii="Times New Roman" w:hAnsi="Times New Roman" w:cs="Times New Roman"/>
          <w:sz w:val="24"/>
          <w:szCs w:val="24"/>
        </w:rPr>
        <w:t>. Washington, DC: World Bank Group.</w:t>
      </w:r>
    </w:p>
    <w:p>
      <w:pPr>
        <w:pStyle w:val="3"/>
        <w:spacing w:before="2"/>
        <w:rPr>
          <w:rFonts w:hint="default" w:ascii="Times New Roman" w:hAnsi="Times New Roman" w:cs="Times New Roman"/>
          <w:sz w:val="24"/>
          <w:szCs w:val="24"/>
        </w:rPr>
      </w:pPr>
    </w:p>
    <w:p>
      <w:pPr>
        <w:pStyle w:val="3"/>
        <w:ind w:left="920" w:right="194" w:hanging="720"/>
        <w:jc w:val="both"/>
        <w:rPr>
          <w:rFonts w:hint="default" w:ascii="Times New Roman" w:hAnsi="Times New Roman" w:cs="Times New Roman"/>
          <w:sz w:val="24"/>
          <w:szCs w:val="24"/>
        </w:rPr>
      </w:pPr>
      <w:r>
        <w:rPr>
          <w:rFonts w:hint="default" w:ascii="Times New Roman" w:hAnsi="Times New Roman" w:cs="Times New Roman"/>
          <w:sz w:val="24"/>
          <w:szCs w:val="24"/>
        </w:rPr>
        <w:t>World Bank-ICR Task Force. 2022. Workouts in the World Bank Principles for Effective Insolvency and Creditor/Debtor</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Regimes.</w:t>
      </w:r>
      <w:r>
        <w:rPr>
          <w:rFonts w:hint="default" w:ascii="Times New Roman" w:hAnsi="Times New Roman" w:cs="Times New Roman"/>
          <w:spacing w:val="-10"/>
          <w:sz w:val="24"/>
          <w:szCs w:val="24"/>
        </w:rPr>
        <w:t xml:space="preserve"> </w:t>
      </w:r>
      <w:r>
        <w:rPr>
          <w:rFonts w:hint="default" w:ascii="Times New Roman" w:hAnsi="Times New Roman" w:cs="Times New Roman"/>
          <w:sz w:val="24"/>
          <w:szCs w:val="24"/>
        </w:rPr>
        <w:t>Background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Paper</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for</w:t>
      </w:r>
      <w:r>
        <w:rPr>
          <w:rFonts w:hint="default" w:ascii="Times New Roman" w:hAnsi="Times New Roman" w:cs="Times New Roman"/>
          <w:spacing w:val="-6"/>
          <w:sz w:val="24"/>
          <w:szCs w:val="24"/>
        </w:rPr>
        <w:t xml:space="preserve"> </w:t>
      </w:r>
      <w:r>
        <w:rPr>
          <w:rFonts w:hint="default" w:ascii="Times New Roman" w:hAnsi="Times New Roman" w:cs="Times New Roman"/>
          <w:sz w:val="24"/>
          <w:szCs w:val="24"/>
        </w:rPr>
        <w:t>the</w:t>
      </w:r>
      <w:r>
        <w:rPr>
          <w:rFonts w:hint="default" w:ascii="Times New Roman" w:hAnsi="Times New Roman" w:cs="Times New Roman"/>
          <w:spacing w:val="-9"/>
          <w:sz w:val="24"/>
          <w:szCs w:val="24"/>
        </w:rPr>
        <w:t xml:space="preserve"> </w:t>
      </w:r>
      <w:r>
        <w:rPr>
          <w:rFonts w:hint="default" w:ascii="Times New Roman" w:hAnsi="Times New Roman" w:cs="Times New Roman"/>
          <w:sz w:val="24"/>
          <w:szCs w:val="24"/>
        </w:rPr>
        <w:t>World</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Bank-ICR</w:t>
      </w:r>
      <w:r>
        <w:rPr>
          <w:rFonts w:hint="default" w:ascii="Times New Roman" w:hAnsi="Times New Roman" w:cs="Times New Roman"/>
          <w:spacing w:val="-8"/>
          <w:sz w:val="24"/>
          <w:szCs w:val="24"/>
        </w:rPr>
        <w:t xml:space="preserve"> </w:t>
      </w:r>
      <w:r>
        <w:rPr>
          <w:rFonts w:hint="default" w:ascii="Times New Roman" w:hAnsi="Times New Roman" w:cs="Times New Roman"/>
          <w:sz w:val="24"/>
          <w:szCs w:val="24"/>
        </w:rPr>
        <w:t>Task</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Force</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Meeting.</w:t>
      </w:r>
      <w:r>
        <w:rPr>
          <w:rFonts w:hint="default" w:ascii="Times New Roman" w:hAnsi="Times New Roman" w:cs="Times New Roman"/>
          <w:spacing w:val="-7"/>
          <w:sz w:val="24"/>
          <w:szCs w:val="24"/>
        </w:rPr>
        <w:t xml:space="preserve"> </w:t>
      </w:r>
      <w:r>
        <w:rPr>
          <w:rFonts w:hint="default" w:ascii="Times New Roman" w:hAnsi="Times New Roman" w:cs="Times New Roman"/>
          <w:sz w:val="24"/>
          <w:szCs w:val="24"/>
        </w:rPr>
        <w:t xml:space="preserve">World </w:t>
      </w:r>
      <w:r>
        <w:rPr>
          <w:rFonts w:hint="default" w:ascii="Times New Roman" w:hAnsi="Times New Roman" w:cs="Times New Roman"/>
          <w:spacing w:val="-2"/>
          <w:sz w:val="24"/>
          <w:szCs w:val="24"/>
        </w:rPr>
        <w:t>Bank.</w:t>
      </w:r>
    </w:p>
    <w:p>
      <w:pPr>
        <w:pStyle w:val="3"/>
        <w:spacing w:before="10"/>
        <w:rPr>
          <w:rFonts w:hint="default" w:ascii="Times New Roman" w:hAnsi="Times New Roman" w:cs="Times New Roman"/>
          <w:sz w:val="24"/>
          <w:szCs w:val="24"/>
        </w:rPr>
      </w:pPr>
    </w:p>
    <w:p>
      <w:pPr>
        <w:pStyle w:val="3"/>
        <w:ind w:left="920" w:right="200" w:hanging="720"/>
        <w:rPr>
          <w:rFonts w:hint="default" w:ascii="Times New Roman" w:hAnsi="Times New Roman" w:cs="Times New Roman"/>
          <w:sz w:val="24"/>
          <w:szCs w:val="24"/>
        </w:rPr>
      </w:pPr>
      <w:r>
        <w:rPr>
          <w:rFonts w:hint="default" w:ascii="Times New Roman" w:hAnsi="Times New Roman" w:cs="Times New Roman"/>
          <w:sz w:val="24"/>
          <w:szCs w:val="24"/>
        </w:rPr>
        <w:t>Zorza, R. 2013. “Principles and Best Practices for Access-Friendly Court Electronic Filing.” Electronic</w:t>
      </w:r>
      <w:r>
        <w:rPr>
          <w:rFonts w:hint="default" w:ascii="Times New Roman" w:hAnsi="Times New Roman" w:cs="Times New Roman"/>
          <w:spacing w:val="40"/>
          <w:sz w:val="24"/>
          <w:szCs w:val="24"/>
        </w:rPr>
        <w:t xml:space="preserve"> </w:t>
      </w:r>
      <w:r>
        <w:rPr>
          <w:rFonts w:hint="default" w:ascii="Times New Roman" w:hAnsi="Times New Roman" w:cs="Times New Roman"/>
          <w:sz w:val="24"/>
          <w:szCs w:val="24"/>
        </w:rPr>
        <w:t xml:space="preserve">Filing and Access to Justice Best Practices Project. </w:t>
      </w:r>
      <w:r>
        <w:rPr>
          <w:rFonts w:hint="default" w:ascii="Times New Roman" w:hAnsi="Times New Roman" w:cs="Times New Roman"/>
          <w:spacing w:val="-2"/>
          <w:sz w:val="24"/>
          <w:szCs w:val="24"/>
        </w:rPr>
        <w:t>https://</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"http://www.srln.org/system/files/attachments/LSC%20Best%20Practices%20in%20E-Filing.pdf" \h </w:instrText>
      </w:r>
      <w:r>
        <w:rPr>
          <w:rFonts w:hint="default" w:ascii="Times New Roman" w:hAnsi="Times New Roman" w:cs="Times New Roman"/>
          <w:sz w:val="24"/>
          <w:szCs w:val="24"/>
        </w:rPr>
        <w:fldChar w:fldCharType="separate"/>
      </w:r>
      <w:r>
        <w:rPr>
          <w:rFonts w:hint="default" w:ascii="Times New Roman" w:hAnsi="Times New Roman" w:cs="Times New Roman"/>
          <w:spacing w:val="-2"/>
          <w:sz w:val="24"/>
          <w:szCs w:val="24"/>
        </w:rPr>
        <w:t>www.srln.org/system/files/attachments/LSC%20Best%20Practices%20in%20E-Filing.pdf.</w:t>
      </w:r>
      <w:r>
        <w:rPr>
          <w:rFonts w:hint="default" w:ascii="Times New Roman" w:hAnsi="Times New Roman" w:cs="Times New Roman"/>
          <w:spacing w:val="-2"/>
          <w:sz w:val="24"/>
          <w:szCs w:val="24"/>
        </w:rPr>
        <w:fldChar w:fldCharType="end"/>
      </w:r>
    </w:p>
    <w:p>
      <w:pPr>
        <w:rPr>
          <w:rFonts w:eastAsia="宋体" w:cs="宋体"/>
          <w:b/>
          <w:sz w:val="28"/>
        </w:rPr>
      </w:pPr>
      <w:r>
        <w:rPr>
          <w:rFonts w:eastAsia="宋体" w:cs="宋体"/>
          <w:b/>
          <w:sz w:val="28"/>
        </w:rPr>
        <w:br w:type="page"/>
      </w:r>
    </w:p>
    <w:p>
      <w:pPr>
        <w:spacing w:before="79" w:line="400" w:lineRule="exact"/>
        <w:ind w:left="2218" w:right="2218" w:firstLine="562" w:firstLineChars="200"/>
        <w:jc w:val="both"/>
        <w:rPr>
          <w:rFonts w:eastAsia="宋体"/>
          <w:b/>
          <w:sz w:val="28"/>
        </w:rPr>
      </w:pPr>
      <w:r>
        <w:rPr>
          <w:rFonts w:eastAsia="宋体" w:cs="宋体"/>
          <w:b/>
          <w:sz w:val="28"/>
        </w:rPr>
        <w:t>附件B.企业破产-注释问卷</w:t>
      </w:r>
    </w:p>
    <w:p>
      <w:pPr>
        <w:pStyle w:val="3"/>
        <w:spacing w:line="400" w:lineRule="exact"/>
        <w:ind w:firstLine="562" w:firstLineChars="200"/>
        <w:jc w:val="both"/>
        <w:rPr>
          <w:rFonts w:eastAsia="宋体"/>
          <w:b/>
          <w:sz w:val="28"/>
        </w:rPr>
      </w:pPr>
    </w:p>
    <w:p>
      <w:pPr>
        <w:pStyle w:val="3"/>
        <w:spacing w:line="400" w:lineRule="exact"/>
        <w:ind w:left="200" w:right="195" w:firstLine="560" w:firstLineChars="200"/>
        <w:jc w:val="both"/>
        <w:rPr>
          <w:rFonts w:eastAsia="宋体"/>
          <w:sz w:val="28"/>
        </w:rPr>
      </w:pPr>
      <w:r>
        <w:rPr>
          <w:rFonts w:eastAsia="宋体" w:cs="宋体"/>
          <w:sz w:val="28"/>
        </w:rPr>
        <w:t>附件B包括企业破产术语表和附带说明的调查问卷。注释问卷提供了每个指标与相应问题之间的映射关系。</w:t>
      </w:r>
    </w:p>
    <w:p>
      <w:pPr>
        <w:spacing w:line="400" w:lineRule="exact"/>
        <w:ind w:right="2215" w:firstLine="831" w:firstLineChars="300"/>
        <w:jc w:val="center"/>
        <w:rPr>
          <w:rFonts w:eastAsia="宋体" w:cs="宋体"/>
          <w:b/>
          <w:spacing w:val="-2"/>
          <w:sz w:val="28"/>
        </w:rPr>
      </w:pPr>
      <w:r>
        <w:rPr>
          <w:rFonts w:eastAsia="宋体" w:cs="宋体"/>
          <w:b/>
          <w:spacing w:val="-2"/>
          <w:sz w:val="28"/>
        </w:rPr>
        <w:t>术语表</w:t>
      </w:r>
    </w:p>
    <w:p>
      <w:pPr>
        <w:spacing w:line="400" w:lineRule="exact"/>
        <w:ind w:right="2215" w:firstLine="831" w:firstLineChars="300"/>
        <w:jc w:val="center"/>
        <w:rPr>
          <w:rFonts w:eastAsia="宋体" w:cs="宋体"/>
          <w:b/>
          <w:spacing w:val="-2"/>
          <w:sz w:val="28"/>
        </w:rPr>
      </w:pPr>
    </w:p>
    <w:p>
      <w:pPr>
        <w:pStyle w:val="3"/>
        <w:spacing w:before="1" w:line="400" w:lineRule="exact"/>
        <w:ind w:left="200" w:right="201" w:firstLine="562" w:firstLineChars="200"/>
        <w:jc w:val="both"/>
        <w:rPr>
          <w:rFonts w:eastAsia="宋体"/>
          <w:sz w:val="28"/>
        </w:rPr>
      </w:pPr>
      <w:r>
        <w:rPr>
          <w:rFonts w:eastAsia="宋体" w:cs="宋体"/>
          <w:b/>
          <w:sz w:val="28"/>
        </w:rPr>
        <w:t>公司</w:t>
      </w:r>
      <w:r>
        <w:rPr>
          <w:rFonts w:hint="eastAsia" w:eastAsia="宋体" w:cs="宋体"/>
          <w:b/>
          <w:sz w:val="28"/>
          <w:lang w:eastAsia="zh-CN"/>
        </w:rPr>
        <w:t>破产</w:t>
      </w:r>
      <w:r>
        <w:rPr>
          <w:rFonts w:eastAsia="宋体" w:cs="宋体"/>
          <w:sz w:val="28"/>
        </w:rPr>
        <w:t>:债务人公司在债务到期时通常无法偿还债务和/或其负债超过其资产价值的状态。</w:t>
      </w:r>
    </w:p>
    <w:p>
      <w:pPr>
        <w:pStyle w:val="3"/>
        <w:spacing w:before="10" w:line="400" w:lineRule="exact"/>
        <w:ind w:firstLine="560" w:firstLineChars="200"/>
        <w:jc w:val="both"/>
        <w:rPr>
          <w:rFonts w:eastAsia="宋体"/>
          <w:sz w:val="28"/>
        </w:rPr>
      </w:pPr>
    </w:p>
    <w:p>
      <w:pPr>
        <w:pStyle w:val="3"/>
        <w:spacing w:before="1" w:line="400" w:lineRule="exact"/>
        <w:ind w:left="200" w:right="194" w:firstLine="562" w:firstLineChars="200"/>
        <w:jc w:val="both"/>
        <w:rPr>
          <w:rFonts w:eastAsia="宋体"/>
          <w:sz w:val="28"/>
        </w:rPr>
      </w:pPr>
      <w:r>
        <w:rPr>
          <w:rFonts w:eastAsia="宋体" w:cs="宋体"/>
          <w:b/>
          <w:sz w:val="28"/>
        </w:rPr>
        <w:t>债务</w:t>
      </w:r>
      <w:r>
        <w:rPr>
          <w:rFonts w:eastAsia="宋体" w:cs="宋体"/>
          <w:b/>
          <w:spacing w:val="-9"/>
          <w:sz w:val="28"/>
        </w:rPr>
        <w:t>清偿</w:t>
      </w:r>
      <w:r>
        <w:rPr>
          <w:rFonts w:eastAsia="宋体" w:cs="宋体"/>
          <w:sz w:val="28"/>
        </w:rPr>
        <w:t>:</w:t>
      </w:r>
      <w:r>
        <w:rPr>
          <w:rFonts w:hint="eastAsia" w:eastAsia="宋体" w:cs="宋体"/>
          <w:sz w:val="28"/>
        </w:rPr>
        <w:t>免除债务人从破产程序中已经处理的债务中所承担的责任。</w:t>
      </w:r>
    </w:p>
    <w:p>
      <w:pPr>
        <w:pStyle w:val="3"/>
        <w:spacing w:before="11" w:line="400" w:lineRule="exact"/>
        <w:ind w:firstLine="560" w:firstLineChars="200"/>
        <w:jc w:val="both"/>
        <w:rPr>
          <w:rFonts w:eastAsia="宋体"/>
          <w:sz w:val="28"/>
        </w:rPr>
      </w:pPr>
    </w:p>
    <w:p>
      <w:pPr>
        <w:pStyle w:val="3"/>
        <w:spacing w:line="400" w:lineRule="exact"/>
        <w:ind w:left="200" w:right="194" w:firstLine="562" w:firstLineChars="200"/>
        <w:jc w:val="both"/>
        <w:rPr>
          <w:rFonts w:eastAsia="宋体"/>
          <w:sz w:val="28"/>
        </w:rPr>
      </w:pPr>
      <w:r>
        <w:rPr>
          <w:rFonts w:eastAsia="宋体" w:cs="宋体"/>
          <w:b/>
          <w:sz w:val="28"/>
        </w:rPr>
        <w:t>破产管理人</w:t>
      </w:r>
      <w:r>
        <w:rPr>
          <w:rFonts w:eastAsia="宋体" w:cs="宋体"/>
          <w:sz w:val="28"/>
        </w:rPr>
        <w:t>:在破产程序中被授权管理、监督、监督或监督破产财产的重组或清算的个人或机构(包括临时任命的人)。</w:t>
      </w:r>
    </w:p>
    <w:p>
      <w:pPr>
        <w:pStyle w:val="3"/>
        <w:spacing w:before="1" w:line="400" w:lineRule="exact"/>
        <w:ind w:firstLine="560" w:firstLineChars="200"/>
        <w:jc w:val="both"/>
        <w:rPr>
          <w:rFonts w:eastAsia="宋体"/>
          <w:sz w:val="28"/>
        </w:rPr>
      </w:pPr>
    </w:p>
    <w:p>
      <w:pPr>
        <w:pStyle w:val="3"/>
        <w:spacing w:line="400" w:lineRule="exact"/>
        <w:ind w:left="200" w:right="196" w:firstLine="562" w:firstLineChars="200"/>
        <w:jc w:val="both"/>
        <w:rPr>
          <w:rFonts w:eastAsia="宋体"/>
          <w:sz w:val="28"/>
        </w:rPr>
      </w:pPr>
      <w:r>
        <w:rPr>
          <w:rFonts w:eastAsia="宋体" w:cs="宋体"/>
          <w:b/>
          <w:sz w:val="28"/>
        </w:rPr>
        <w:t>破产</w:t>
      </w:r>
      <w:r>
        <w:rPr>
          <w:rFonts w:eastAsia="宋体" w:cs="宋体"/>
          <w:b/>
          <w:spacing w:val="-3"/>
          <w:sz w:val="28"/>
        </w:rPr>
        <w:t>程序</w:t>
      </w:r>
      <w:r>
        <w:rPr>
          <w:rFonts w:eastAsia="宋体" w:cs="宋体"/>
          <w:sz w:val="28"/>
        </w:rPr>
        <w:t>:受法院监督</w:t>
      </w:r>
      <w:r>
        <w:rPr>
          <w:rFonts w:hint="eastAsia" w:eastAsia="宋体" w:cs="宋体"/>
          <w:sz w:val="28"/>
          <w:lang w:eastAsia="zh-CN"/>
        </w:rPr>
        <w:t>的</w:t>
      </w:r>
      <w:r>
        <w:rPr>
          <w:rFonts w:eastAsia="宋体" w:cs="宋体"/>
          <w:sz w:val="28"/>
        </w:rPr>
        <w:t>重组或清算的集体程序，。</w:t>
      </w:r>
    </w:p>
    <w:p>
      <w:pPr>
        <w:pStyle w:val="3"/>
        <w:spacing w:before="11" w:line="400" w:lineRule="exact"/>
        <w:ind w:firstLine="560" w:firstLineChars="200"/>
        <w:jc w:val="both"/>
        <w:rPr>
          <w:rFonts w:eastAsia="宋体"/>
          <w:sz w:val="28"/>
        </w:rPr>
      </w:pPr>
    </w:p>
    <w:p>
      <w:pPr>
        <w:pStyle w:val="3"/>
        <w:spacing w:line="400" w:lineRule="exact"/>
        <w:ind w:left="200" w:right="198" w:firstLine="562" w:firstLineChars="200"/>
        <w:jc w:val="both"/>
        <w:rPr>
          <w:rFonts w:eastAsia="宋体"/>
          <w:sz w:val="28"/>
        </w:rPr>
      </w:pPr>
      <w:r>
        <w:rPr>
          <w:rFonts w:eastAsia="宋体" w:cs="宋体"/>
          <w:b/>
          <w:sz w:val="28"/>
        </w:rPr>
        <w:t>法律框架</w:t>
      </w:r>
      <w:r>
        <w:rPr>
          <w:rFonts w:eastAsia="宋体" w:cs="宋体"/>
          <w:sz w:val="28"/>
        </w:rPr>
        <w:t>:</w:t>
      </w:r>
      <w:r>
        <w:rPr>
          <w:rFonts w:hint="eastAsia" w:eastAsia="宋体" w:cs="宋体"/>
          <w:sz w:val="28"/>
        </w:rPr>
        <w:t>构成在特定管辖范围内适用于破产程序的全部法律的规则、法规和法律。</w:t>
      </w:r>
    </w:p>
    <w:p>
      <w:pPr>
        <w:pStyle w:val="3"/>
        <w:spacing w:before="11" w:line="400" w:lineRule="exact"/>
        <w:ind w:firstLine="560" w:firstLineChars="200"/>
        <w:jc w:val="both"/>
        <w:rPr>
          <w:rFonts w:eastAsia="宋体"/>
          <w:sz w:val="28"/>
        </w:rPr>
      </w:pPr>
    </w:p>
    <w:p>
      <w:pPr>
        <w:pStyle w:val="3"/>
        <w:spacing w:line="400" w:lineRule="exact"/>
        <w:ind w:left="200" w:right="194" w:firstLine="562" w:firstLineChars="200"/>
        <w:jc w:val="both"/>
        <w:rPr>
          <w:rFonts w:eastAsia="宋体"/>
          <w:sz w:val="28"/>
        </w:rPr>
      </w:pPr>
      <w:r>
        <w:rPr>
          <w:rFonts w:eastAsia="宋体" w:cs="宋体"/>
          <w:b/>
          <w:sz w:val="28"/>
        </w:rPr>
        <w:t>清算</w:t>
      </w:r>
      <w:r>
        <w:rPr>
          <w:rFonts w:eastAsia="宋体" w:cs="宋体"/>
          <w:sz w:val="28"/>
        </w:rPr>
        <w:t>:将破产债务人的资产集中并出售以解散该公司并将收益分配给其债权人的过程。清算可能包括零星出售债务人的资产，或出售债务人作为持续经营企业的全部或大部分资产。“清算”一词仅指正式的法庭内破产程序，不包括公司的自愿清盘。</w:t>
      </w:r>
    </w:p>
    <w:p>
      <w:pPr>
        <w:pStyle w:val="3"/>
        <w:spacing w:line="400" w:lineRule="exact"/>
        <w:ind w:firstLine="560" w:firstLineChars="200"/>
        <w:jc w:val="both"/>
        <w:rPr>
          <w:rFonts w:eastAsia="宋体"/>
          <w:sz w:val="28"/>
        </w:rPr>
      </w:pPr>
    </w:p>
    <w:p>
      <w:pPr>
        <w:pStyle w:val="3"/>
        <w:spacing w:line="400" w:lineRule="exact"/>
        <w:ind w:left="200" w:right="197" w:firstLine="562" w:firstLineChars="200"/>
        <w:jc w:val="both"/>
        <w:rPr>
          <w:rFonts w:eastAsia="宋体"/>
          <w:sz w:val="28"/>
        </w:rPr>
      </w:pPr>
      <w:r>
        <w:rPr>
          <w:rFonts w:eastAsia="宋体" w:cs="宋体"/>
          <w:b/>
          <w:sz w:val="28"/>
        </w:rPr>
        <w:t>庭外清偿(OCW)</w:t>
      </w:r>
      <w:r>
        <w:rPr>
          <w:rFonts w:eastAsia="宋体" w:cs="宋体"/>
          <w:sz w:val="28"/>
        </w:rPr>
        <w:t>:债务人与其债权人之间达成的协议，很少或不涉及法庭，目的是减轻债务人的偿债负担，使其能够维持其经营活动和价值。任何行政机关制定的指导方针都不要求参与企业以具有法律约束力的方式遵守这些指导方针。</w:t>
      </w:r>
    </w:p>
    <w:p>
      <w:pPr>
        <w:pStyle w:val="3"/>
        <w:spacing w:line="400" w:lineRule="exact"/>
        <w:ind w:firstLine="560" w:firstLineChars="200"/>
        <w:jc w:val="both"/>
        <w:rPr>
          <w:rFonts w:eastAsia="宋体"/>
          <w:sz w:val="28"/>
        </w:rPr>
      </w:pPr>
    </w:p>
    <w:p>
      <w:pPr>
        <w:pStyle w:val="3"/>
        <w:spacing w:line="400" w:lineRule="exact"/>
        <w:ind w:left="200" w:right="197" w:firstLine="562" w:firstLineChars="200"/>
        <w:jc w:val="both"/>
        <w:rPr>
          <w:rFonts w:eastAsia="宋体" w:cs="宋体"/>
          <w:sz w:val="28"/>
        </w:rPr>
      </w:pPr>
      <w:r>
        <w:rPr>
          <w:rFonts w:eastAsia="宋体" w:cs="宋体"/>
          <w:b/>
          <w:sz w:val="28"/>
        </w:rPr>
        <w:t>破产前程序</w:t>
      </w:r>
      <w:r>
        <w:rPr>
          <w:rFonts w:eastAsia="宋体" w:cs="宋体"/>
          <w:sz w:val="28"/>
        </w:rPr>
        <w:t>:在法院或行政当局的监督下进行的公共集体程序，使陷入财务困境的债务人有机会在破产前阶段进行</w:t>
      </w:r>
      <w:r>
        <w:rPr>
          <w:rFonts w:hint="eastAsia" w:eastAsia="宋体" w:cs="宋体"/>
          <w:sz w:val="28"/>
          <w:lang w:eastAsia="zh-CN"/>
        </w:rPr>
        <w:t>挽救</w:t>
      </w:r>
      <w:r>
        <w:rPr>
          <w:rFonts w:eastAsia="宋体" w:cs="宋体"/>
          <w:sz w:val="28"/>
        </w:rPr>
        <w:t>、调整债务偿还、重组或清算，以避免启动正式破产程序。债务人的资产和商业活动可能受到法院的控制或监督。也可准予暂时中止诉讼程序。</w:t>
      </w:r>
    </w:p>
    <w:p>
      <w:pPr>
        <w:pStyle w:val="3"/>
        <w:spacing w:line="400" w:lineRule="exact"/>
        <w:ind w:left="200" w:right="197" w:firstLine="560" w:firstLineChars="200"/>
        <w:jc w:val="both"/>
        <w:rPr>
          <w:rFonts w:eastAsia="宋体" w:cs="宋体"/>
          <w:sz w:val="28"/>
        </w:rPr>
      </w:pPr>
    </w:p>
    <w:p>
      <w:pPr>
        <w:pStyle w:val="3"/>
        <w:spacing w:before="2" w:line="400" w:lineRule="exact"/>
        <w:ind w:firstLine="560" w:firstLineChars="200"/>
        <w:jc w:val="both"/>
        <w:rPr>
          <w:rFonts w:eastAsia="宋体"/>
          <w:sz w:val="28"/>
        </w:rPr>
      </w:pPr>
    </w:p>
    <w:p>
      <w:pPr>
        <w:pStyle w:val="3"/>
        <w:spacing w:line="400" w:lineRule="exact"/>
        <w:ind w:left="200" w:right="194" w:firstLine="562" w:firstLineChars="200"/>
        <w:jc w:val="both"/>
        <w:rPr>
          <w:rFonts w:eastAsia="宋体"/>
          <w:sz w:val="28"/>
        </w:rPr>
      </w:pPr>
      <w:r>
        <w:rPr>
          <w:rFonts w:eastAsia="宋体" w:cs="宋体"/>
          <w:b/>
          <w:sz w:val="28"/>
        </w:rPr>
        <w:t>启动后信贷</w:t>
      </w:r>
      <w:r>
        <w:rPr>
          <w:rFonts w:eastAsia="宋体" w:cs="宋体"/>
          <w:sz w:val="28"/>
        </w:rPr>
        <w:t>:</w:t>
      </w:r>
      <w:r>
        <w:rPr>
          <w:rFonts w:hint="eastAsia" w:eastAsia="宋体" w:cs="宋体"/>
          <w:sz w:val="28"/>
        </w:rPr>
        <w:t>现有或新债权人开始破产程序后向破产公司提供新资金，为其公司在破产过程中的持续经营提供资金。</w:t>
      </w:r>
    </w:p>
    <w:p>
      <w:pPr>
        <w:pStyle w:val="3"/>
        <w:spacing w:before="1" w:line="400" w:lineRule="exact"/>
        <w:ind w:firstLine="560" w:firstLineChars="200"/>
        <w:jc w:val="both"/>
        <w:rPr>
          <w:rFonts w:eastAsia="宋体"/>
          <w:sz w:val="28"/>
        </w:rPr>
      </w:pPr>
    </w:p>
    <w:p>
      <w:pPr>
        <w:pStyle w:val="3"/>
        <w:spacing w:line="400" w:lineRule="exact"/>
        <w:ind w:left="200" w:right="199" w:firstLine="562" w:firstLineChars="200"/>
        <w:jc w:val="both"/>
        <w:rPr>
          <w:rFonts w:eastAsia="宋体"/>
          <w:sz w:val="28"/>
        </w:rPr>
      </w:pPr>
      <w:r>
        <w:rPr>
          <w:rFonts w:eastAsia="宋体" w:cs="宋体"/>
          <w:b/>
          <w:sz w:val="28"/>
        </w:rPr>
        <w:t>债权</w:t>
      </w:r>
      <w:r>
        <w:rPr>
          <w:rFonts w:eastAsia="宋体" w:cs="宋体"/>
          <w:sz w:val="28"/>
        </w:rPr>
        <w:t>顺序:</w:t>
      </w:r>
      <w:r>
        <w:rPr>
          <w:rFonts w:eastAsia="宋体" w:cs="宋体"/>
          <w:spacing w:val="-11"/>
          <w:sz w:val="28"/>
        </w:rPr>
        <w:t>指在破产程序完成后，</w:t>
      </w:r>
      <w:r>
        <w:rPr>
          <w:rFonts w:hint="eastAsia" w:eastAsia="宋体" w:cs="宋体"/>
          <w:spacing w:val="-11"/>
          <w:sz w:val="28"/>
          <w:lang w:eastAsia="zh-CN"/>
        </w:rPr>
        <w:t>清偿债权的</w:t>
      </w:r>
      <w:r>
        <w:rPr>
          <w:rFonts w:eastAsia="宋体" w:cs="宋体"/>
          <w:spacing w:val="-11"/>
          <w:sz w:val="28"/>
        </w:rPr>
        <w:t>顺序。</w:t>
      </w:r>
    </w:p>
    <w:p>
      <w:pPr>
        <w:pStyle w:val="3"/>
        <w:spacing w:before="11" w:line="400" w:lineRule="exact"/>
        <w:ind w:firstLine="560" w:firstLineChars="200"/>
        <w:jc w:val="both"/>
        <w:rPr>
          <w:rFonts w:eastAsia="宋体"/>
          <w:sz w:val="28"/>
        </w:rPr>
      </w:pPr>
    </w:p>
    <w:p>
      <w:pPr>
        <w:pStyle w:val="3"/>
        <w:spacing w:line="400" w:lineRule="exact"/>
        <w:ind w:left="200" w:right="195" w:firstLine="562" w:firstLineChars="200"/>
        <w:jc w:val="both"/>
        <w:rPr>
          <w:rFonts w:eastAsia="宋体"/>
          <w:sz w:val="28"/>
        </w:rPr>
      </w:pPr>
      <w:r>
        <w:rPr>
          <w:rFonts w:eastAsia="宋体" w:cs="宋体"/>
          <w:b/>
          <w:sz w:val="28"/>
        </w:rPr>
        <w:t>重组</w:t>
      </w:r>
      <w:r>
        <w:rPr>
          <w:rFonts w:eastAsia="宋体" w:cs="宋体"/>
          <w:sz w:val="28"/>
        </w:rPr>
        <w:t>:根据重组计划恢复债务人企业的财务状况和生存能力的集体程序，使企业能够继续作为持续经营的企业经营，包括债务减免、债务重新安排、债务股权转换和出售企业(或部分企业)。“重组”一词专指正式的法庭程序适用于所有商业债务人，不包括安排方案和与债权人达成的庭外协议。</w:t>
      </w:r>
    </w:p>
    <w:p>
      <w:pPr>
        <w:pStyle w:val="3"/>
        <w:spacing w:before="10" w:line="400" w:lineRule="exact"/>
        <w:ind w:firstLine="560" w:firstLineChars="200"/>
        <w:jc w:val="both"/>
        <w:rPr>
          <w:rFonts w:eastAsia="宋体"/>
          <w:sz w:val="28"/>
        </w:rPr>
      </w:pPr>
    </w:p>
    <w:p>
      <w:pPr>
        <w:pStyle w:val="3"/>
        <w:spacing w:before="1" w:line="400" w:lineRule="exact"/>
        <w:ind w:left="200" w:right="197" w:firstLine="562" w:firstLineChars="200"/>
        <w:jc w:val="both"/>
        <w:rPr>
          <w:rFonts w:eastAsia="宋体"/>
          <w:sz w:val="28"/>
        </w:rPr>
      </w:pPr>
      <w:r>
        <w:rPr>
          <w:rFonts w:eastAsia="宋体" w:cs="宋体"/>
          <w:b/>
          <w:sz w:val="28"/>
        </w:rPr>
        <w:t>重组计划</w:t>
      </w:r>
      <w:r>
        <w:rPr>
          <w:rFonts w:eastAsia="宋体" w:cs="宋体"/>
          <w:sz w:val="28"/>
        </w:rPr>
        <w:t>:</w:t>
      </w:r>
      <w:r>
        <w:rPr>
          <w:rFonts w:hint="eastAsia" w:eastAsia="宋体" w:cs="宋体"/>
          <w:sz w:val="28"/>
          <w:lang w:eastAsia="zh-CN"/>
        </w:rPr>
        <w:t>一种可以</w:t>
      </w:r>
      <w:r>
        <w:rPr>
          <w:rFonts w:eastAsia="宋体" w:cs="宋体"/>
          <w:sz w:val="28"/>
        </w:rPr>
        <w:t>使债务人的财务状况和企业生存能力得以恢复的计划。</w:t>
      </w:r>
    </w:p>
    <w:p>
      <w:pPr>
        <w:pStyle w:val="3"/>
        <w:spacing w:before="10" w:line="400" w:lineRule="exact"/>
        <w:ind w:firstLine="560" w:firstLineChars="200"/>
        <w:jc w:val="both"/>
        <w:rPr>
          <w:rFonts w:eastAsia="宋体"/>
          <w:sz w:val="28"/>
        </w:rPr>
      </w:pPr>
    </w:p>
    <w:p>
      <w:pPr>
        <w:pStyle w:val="3"/>
        <w:spacing w:before="1" w:line="400" w:lineRule="exact"/>
        <w:ind w:left="200" w:right="202" w:firstLine="562" w:firstLineChars="200"/>
        <w:jc w:val="both"/>
        <w:rPr>
          <w:rFonts w:eastAsia="宋体"/>
          <w:sz w:val="28"/>
        </w:rPr>
      </w:pPr>
      <w:r>
        <w:rPr>
          <w:rFonts w:eastAsia="宋体" w:cs="宋体"/>
          <w:b/>
          <w:sz w:val="28"/>
        </w:rPr>
        <w:t>担保债权</w:t>
      </w:r>
      <w:r>
        <w:rPr>
          <w:rFonts w:eastAsia="宋体" w:cs="宋体"/>
          <w:sz w:val="28"/>
        </w:rPr>
        <w:t>:在债务人违约的情况下，以担保权益作为债务担保的一种债权。</w:t>
      </w:r>
    </w:p>
    <w:p>
      <w:pPr>
        <w:pStyle w:val="3"/>
        <w:spacing w:before="1" w:line="400" w:lineRule="exact"/>
        <w:ind w:firstLine="560" w:firstLineChars="200"/>
        <w:jc w:val="both"/>
        <w:rPr>
          <w:rFonts w:eastAsia="宋体"/>
          <w:sz w:val="28"/>
        </w:rPr>
      </w:pPr>
    </w:p>
    <w:p>
      <w:pPr>
        <w:pStyle w:val="3"/>
        <w:spacing w:before="1" w:line="400" w:lineRule="exact"/>
        <w:ind w:left="200" w:right="193" w:firstLine="562" w:firstLineChars="200"/>
        <w:jc w:val="both"/>
        <w:rPr>
          <w:rFonts w:eastAsia="宋体" w:cs="宋体"/>
          <w:sz w:val="28"/>
        </w:rPr>
      </w:pPr>
      <w:r>
        <w:rPr>
          <w:rFonts w:eastAsia="宋体" w:cs="宋体"/>
          <w:b/>
          <w:sz w:val="28"/>
        </w:rPr>
        <w:t>诉讼</w:t>
      </w:r>
      <w:r>
        <w:rPr>
          <w:rFonts w:eastAsia="宋体" w:cs="宋体"/>
          <w:sz w:val="28"/>
        </w:rPr>
        <w:t>中止</w:t>
      </w:r>
      <w:r>
        <w:rPr>
          <w:rFonts w:eastAsia="宋体" w:cs="宋体"/>
          <w:spacing w:val="-14"/>
          <w:sz w:val="28"/>
        </w:rPr>
        <w:t>:一种防止对债务人的资产、权利、义务或债务进行司法、行政或其他个人诉讼的开始或中止其继续的措施，包括使担保权益对第三方生效或强制执行担保权益的诉讼。</w:t>
      </w:r>
      <w:r>
        <w:rPr>
          <w:rFonts w:eastAsia="宋体" w:cs="宋体"/>
          <w:sz w:val="28"/>
        </w:rPr>
        <w:t>它也阻止对破产</w:t>
      </w:r>
      <w:r>
        <w:rPr>
          <w:rFonts w:hint="eastAsia" w:eastAsia="宋体" w:cs="宋体"/>
          <w:sz w:val="28"/>
          <w:lang w:eastAsia="zh-CN"/>
        </w:rPr>
        <w:t>财</w:t>
      </w:r>
      <w:r>
        <w:rPr>
          <w:rFonts w:eastAsia="宋体" w:cs="宋体"/>
          <w:sz w:val="28"/>
        </w:rPr>
        <w:t>产的资产执行;终止与债务人的合同;以及破产</w:t>
      </w:r>
      <w:r>
        <w:rPr>
          <w:rFonts w:hint="eastAsia" w:eastAsia="宋体" w:cs="宋体"/>
          <w:sz w:val="28"/>
          <w:lang w:eastAsia="zh-CN"/>
        </w:rPr>
        <w:t>财</w:t>
      </w:r>
      <w:r>
        <w:rPr>
          <w:rFonts w:eastAsia="宋体" w:cs="宋体"/>
          <w:sz w:val="28"/>
        </w:rPr>
        <w:t>产的任何资产或权利的转让、留置或其他</w:t>
      </w:r>
      <w:r>
        <w:rPr>
          <w:rFonts w:hint="eastAsia" w:eastAsia="宋体" w:cs="宋体"/>
          <w:sz w:val="28"/>
          <w:lang w:eastAsia="zh-CN"/>
        </w:rPr>
        <w:t>处置</w:t>
      </w:r>
      <w:r>
        <w:rPr>
          <w:rFonts w:eastAsia="宋体" w:cs="宋体"/>
          <w:sz w:val="28"/>
        </w:rPr>
        <w:t>。</w:t>
      </w:r>
    </w:p>
    <w:p>
      <w:pPr>
        <w:spacing w:line="400" w:lineRule="exact"/>
        <w:ind w:firstLine="560" w:firstLineChars="200"/>
        <w:jc w:val="both"/>
        <w:rPr>
          <w:rFonts w:eastAsia="宋体" w:cs="宋体"/>
          <w:sz w:val="28"/>
        </w:rPr>
      </w:pPr>
      <w:r>
        <w:rPr>
          <w:rFonts w:eastAsia="宋体" w:cs="宋体"/>
          <w:sz w:val="28"/>
        </w:rPr>
        <w:br w:type="page"/>
      </w:r>
    </w:p>
    <w:p>
      <w:pPr>
        <w:spacing w:before="1" w:line="400" w:lineRule="exact"/>
        <w:ind w:right="2218" w:firstLine="831" w:firstLineChars="300"/>
        <w:jc w:val="center"/>
        <w:rPr>
          <w:rFonts w:eastAsia="宋体"/>
          <w:b/>
          <w:sz w:val="28"/>
        </w:rPr>
      </w:pPr>
      <w:r>
        <w:rPr>
          <w:rFonts w:eastAsia="宋体" w:cs="宋体"/>
          <w:b/>
          <w:spacing w:val="-2"/>
          <w:sz w:val="28"/>
        </w:rPr>
        <w:t>问卷调查</w:t>
      </w:r>
    </w:p>
    <w:p>
      <w:pPr>
        <w:pStyle w:val="3"/>
        <w:spacing w:line="400" w:lineRule="exact"/>
        <w:ind w:firstLine="562" w:firstLineChars="200"/>
        <w:jc w:val="both"/>
        <w:rPr>
          <w:rFonts w:eastAsia="宋体"/>
          <w:b/>
          <w:sz w:val="28"/>
        </w:rPr>
      </w:pPr>
    </w:p>
    <w:p>
      <w:pPr>
        <w:spacing w:line="400" w:lineRule="exact"/>
        <w:ind w:left="200" w:right="195" w:firstLine="560" w:firstLineChars="200"/>
        <w:jc w:val="both"/>
        <w:rPr>
          <w:rFonts w:eastAsia="宋体"/>
          <w:iCs/>
          <w:sz w:val="28"/>
        </w:rPr>
      </w:pPr>
      <w:r>
        <w:rPr>
          <w:rFonts w:eastAsia="宋体" w:cs="宋体"/>
          <w:iCs/>
          <w:sz w:val="28"/>
        </w:rPr>
        <w:t>下面的表格列出了每个</w:t>
      </w:r>
      <w:r>
        <w:rPr>
          <w:rFonts w:hint="eastAsia" w:eastAsia="宋体" w:cs="宋体"/>
          <w:iCs/>
          <w:sz w:val="28"/>
          <w:lang w:eastAsia="zh-CN"/>
        </w:rPr>
        <w:t>维度</w:t>
      </w:r>
      <w:r>
        <w:rPr>
          <w:rFonts w:eastAsia="宋体" w:cs="宋体"/>
          <w:iCs/>
          <w:sz w:val="28"/>
        </w:rPr>
        <w:t>下的所有指标(包括其组成部分，如适用)，并在括号中注明了相应的问题编号。为了便于参考，每个表格前都列出了这些问题。</w:t>
      </w:r>
    </w:p>
    <w:p>
      <w:pPr>
        <w:pStyle w:val="3"/>
        <w:spacing w:before="3" w:line="400" w:lineRule="exact"/>
        <w:ind w:firstLine="560" w:firstLineChars="200"/>
        <w:jc w:val="both"/>
        <w:rPr>
          <w:rFonts w:eastAsia="宋体"/>
          <w:iCs/>
          <w:sz w:val="28"/>
        </w:rPr>
      </w:pPr>
    </w:p>
    <w:p>
      <w:pPr>
        <w:spacing w:line="400" w:lineRule="exact"/>
        <w:ind w:left="200" w:right="201" w:firstLine="560" w:firstLineChars="200"/>
        <w:jc w:val="both"/>
        <w:rPr>
          <w:rFonts w:eastAsia="宋体"/>
          <w:iCs/>
          <w:sz w:val="28"/>
        </w:rPr>
      </w:pPr>
      <w:r>
        <w:rPr>
          <w:rFonts w:eastAsia="宋体" w:cs="宋体"/>
          <w:iCs/>
          <w:sz w:val="28"/>
        </w:rPr>
        <w:t>对于Y/N个问题，Y回答占分数，并被认为是良好的做法，除非另有注明“N</w:t>
      </w:r>
      <w:r>
        <w:rPr>
          <w:rFonts w:hint="eastAsia" w:eastAsia="宋体" w:cs="宋体"/>
          <w:iCs/>
          <w:sz w:val="28"/>
          <w:lang w:eastAsia="zh-CN"/>
        </w:rPr>
        <w:t>是</w:t>
      </w:r>
      <w:r>
        <w:rPr>
          <w:rFonts w:eastAsia="宋体" w:cs="宋体"/>
          <w:iCs/>
          <w:sz w:val="28"/>
        </w:rPr>
        <w:t>良好做法”。</w:t>
      </w:r>
    </w:p>
    <w:p>
      <w:pPr>
        <w:pStyle w:val="3"/>
        <w:spacing w:line="400" w:lineRule="exact"/>
        <w:ind w:firstLine="560" w:firstLineChars="200"/>
        <w:jc w:val="both"/>
        <w:rPr>
          <w:rFonts w:eastAsia="宋体"/>
          <w:iCs/>
          <w:sz w:val="28"/>
        </w:rPr>
      </w:pPr>
    </w:p>
    <w:p>
      <w:pPr>
        <w:spacing w:before="1" w:line="400" w:lineRule="exact"/>
        <w:ind w:left="200" w:right="194" w:firstLine="560" w:firstLineChars="200"/>
        <w:jc w:val="both"/>
        <w:rPr>
          <w:rFonts w:eastAsia="宋体"/>
          <w:iCs/>
          <w:sz w:val="28"/>
        </w:rPr>
      </w:pPr>
      <w:r>
        <w:rPr>
          <w:rFonts w:eastAsia="宋体" w:cs="宋体"/>
          <w:iCs/>
          <w:sz w:val="28"/>
        </w:rPr>
        <w:t>在下面的表格中，“AND”表示所有参考问题都必须有一个良好的实践回答，才能在指标上获得分数。</w:t>
      </w:r>
    </w:p>
    <w:p>
      <w:pPr>
        <w:pStyle w:val="3"/>
        <w:spacing w:before="10" w:line="400" w:lineRule="exact"/>
        <w:ind w:firstLine="560" w:firstLineChars="200"/>
        <w:jc w:val="both"/>
        <w:rPr>
          <w:rFonts w:eastAsia="宋体"/>
          <w:iCs/>
          <w:sz w:val="28"/>
        </w:rPr>
      </w:pPr>
    </w:p>
    <w:p>
      <w:pPr>
        <w:spacing w:line="400" w:lineRule="exact"/>
        <w:ind w:left="200" w:right="197" w:firstLine="560" w:firstLineChars="200"/>
        <w:jc w:val="both"/>
        <w:rPr>
          <w:rFonts w:eastAsia="宋体"/>
          <w:iCs/>
          <w:sz w:val="28"/>
        </w:rPr>
      </w:pPr>
      <w:r>
        <w:rPr>
          <w:rFonts w:eastAsia="宋体" w:cs="宋体"/>
          <w:iCs/>
          <w:sz w:val="28"/>
        </w:rPr>
        <w:t>在下面的表格中，“OR”表示一个或多个参考问题必须具有良好的练习回答才能获得指标上的分数。</w:t>
      </w:r>
    </w:p>
    <w:p>
      <w:pPr>
        <w:pStyle w:val="3"/>
        <w:spacing w:line="400" w:lineRule="exact"/>
        <w:ind w:firstLine="560" w:firstLineChars="200"/>
        <w:jc w:val="both"/>
        <w:rPr>
          <w:rFonts w:eastAsia="宋体"/>
          <w:iCs/>
          <w:sz w:val="28"/>
        </w:rPr>
      </w:pPr>
    </w:p>
    <w:p>
      <w:pPr>
        <w:spacing w:line="400" w:lineRule="exact"/>
        <w:ind w:left="200" w:right="197" w:firstLine="560" w:firstLineChars="200"/>
        <w:jc w:val="both"/>
        <w:rPr>
          <w:rFonts w:eastAsia="宋体"/>
          <w:iCs/>
          <w:sz w:val="28"/>
        </w:rPr>
      </w:pPr>
      <w:r>
        <w:rPr>
          <w:rFonts w:eastAsia="宋体" w:cs="宋体"/>
          <w:iCs/>
          <w:sz w:val="28"/>
        </w:rPr>
        <w:t>某些问题被标记为“</w:t>
      </w:r>
      <w:r>
        <w:rPr>
          <w:rFonts w:hint="eastAsia" w:eastAsia="宋体" w:cs="宋体"/>
          <w:iCs/>
          <w:sz w:val="28"/>
          <w:lang w:eastAsia="zh-CN"/>
        </w:rPr>
        <w:t>不计分</w:t>
      </w:r>
      <w:r>
        <w:rPr>
          <w:rFonts w:eastAsia="宋体" w:cs="宋体"/>
          <w:iCs/>
          <w:sz w:val="28"/>
        </w:rPr>
        <w:t>”，这表明它们不会以任何方式影响分数。这些问题的目的是根据需要进一步告知和完善试点后续年份的问题设计，并为得分问题提供进一步的信息。</w:t>
      </w:r>
    </w:p>
    <w:p>
      <w:pPr>
        <w:pStyle w:val="3"/>
        <w:spacing w:before="1" w:line="400" w:lineRule="exact"/>
        <w:ind w:firstLine="560" w:firstLineChars="200"/>
        <w:jc w:val="both"/>
        <w:rPr>
          <w:rFonts w:eastAsia="宋体"/>
          <w:i/>
          <w:sz w:val="28"/>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9544" w:type="dxa"/>
            <w:gridSpan w:val="2"/>
            <w:shd w:val="clear" w:color="auto" w:fill="0F6EC5"/>
            <w:vAlign w:val="center"/>
          </w:tcPr>
          <w:p>
            <w:pPr>
              <w:pStyle w:val="10"/>
              <w:spacing w:before="58" w:line="400" w:lineRule="exact"/>
              <w:jc w:val="both"/>
              <w:rPr>
                <w:rFonts w:eastAsia="宋体"/>
                <w:b/>
                <w:sz w:val="24"/>
                <w:szCs w:val="24"/>
              </w:rPr>
            </w:pPr>
            <w:r>
              <w:rPr>
                <w:rFonts w:hint="eastAsia" w:eastAsia="宋体" w:cs="宋体"/>
                <w:b/>
                <w:color w:val="FFFFFF"/>
                <w:sz w:val="24"/>
                <w:szCs w:val="24"/>
                <w:lang w:eastAsia="zh-CN"/>
              </w:rPr>
              <w:t>维度</w:t>
            </w:r>
            <w:r>
              <w:rPr>
                <w:rFonts w:hint="eastAsia" w:eastAsia="宋体" w:cs="宋体"/>
                <w:b/>
                <w:color w:val="FFFFFF"/>
                <w:sz w:val="24"/>
                <w:szCs w:val="24"/>
              </w:rPr>
              <w:t>I</w:t>
            </w:r>
            <w:r>
              <w:rPr>
                <w:rFonts w:eastAsia="宋体" w:cs="宋体"/>
                <w:b/>
                <w:color w:val="FFFFFF"/>
                <w:sz w:val="24"/>
                <w:szCs w:val="24"/>
              </w:rPr>
              <w:t xml:space="preserve"> -监管框架:破产程序监管的质量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4" w:type="dxa"/>
            <w:gridSpan w:val="2"/>
            <w:shd w:val="clear" w:color="auto" w:fill="CCD4EA"/>
            <w:vAlign w:val="center"/>
          </w:tcPr>
          <w:p>
            <w:pPr>
              <w:pStyle w:val="10"/>
              <w:spacing w:before="103" w:line="400" w:lineRule="exact"/>
              <w:jc w:val="both"/>
              <w:rPr>
                <w:rFonts w:eastAsia="宋体"/>
                <w:b/>
                <w:sz w:val="24"/>
                <w:szCs w:val="24"/>
              </w:rPr>
            </w:pPr>
            <w:r>
              <w:rPr>
                <w:rFonts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3152" w:type="dxa"/>
            <w:vAlign w:val="center"/>
          </w:tcPr>
          <w:p>
            <w:pPr>
              <w:pStyle w:val="10"/>
              <w:spacing w:line="400" w:lineRule="exact"/>
              <w:jc w:val="both"/>
              <w:rPr>
                <w:rFonts w:eastAsia="宋体"/>
                <w:b/>
                <w:sz w:val="24"/>
                <w:szCs w:val="24"/>
              </w:rPr>
            </w:pPr>
            <w:r>
              <w:rPr>
                <w:rFonts w:eastAsia="宋体" w:cs="宋体"/>
                <w:b/>
                <w:sz w:val="24"/>
                <w:szCs w:val="24"/>
              </w:rPr>
              <w:t>企业破产</w:t>
            </w:r>
          </w:p>
        </w:tc>
        <w:tc>
          <w:tcPr>
            <w:tcW w:w="6392" w:type="dxa"/>
          </w:tcPr>
          <w:p>
            <w:pPr>
              <w:pStyle w:val="10"/>
              <w:spacing w:line="400" w:lineRule="exact"/>
              <w:ind w:right="98" w:firstLine="480" w:firstLineChars="200"/>
              <w:jc w:val="both"/>
              <w:rPr>
                <w:rFonts w:eastAsia="宋体"/>
                <w:sz w:val="24"/>
                <w:szCs w:val="24"/>
              </w:rPr>
            </w:pPr>
            <w:r>
              <w:rPr>
                <w:rFonts w:eastAsia="宋体" w:cs="宋体"/>
                <w:sz w:val="24"/>
                <w:szCs w:val="24"/>
              </w:rPr>
              <w:t>企业破产指标仅衡量与商业或公司破产有关的破产法律框架和破产做法，因为它侧重于公司的商业破产。其他类型的破产法规和做法，如个人破产(涉及自然人可用的债务解决机制)和银行破产(涉及金融机构破产)</w:t>
            </w:r>
            <w:r>
              <w:rPr>
                <w:rFonts w:hint="eastAsia" w:eastAsia="宋体" w:cs="宋体"/>
                <w:sz w:val="24"/>
                <w:szCs w:val="24"/>
                <w:lang w:eastAsia="zh-CN"/>
              </w:rPr>
              <w:t>，均被排除在外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3152" w:type="dxa"/>
            <w:vAlign w:val="center"/>
          </w:tcPr>
          <w:p>
            <w:pPr>
              <w:pStyle w:val="10"/>
              <w:spacing w:before="183" w:line="400" w:lineRule="exact"/>
              <w:jc w:val="both"/>
              <w:rPr>
                <w:rFonts w:eastAsia="宋体"/>
                <w:b/>
                <w:sz w:val="24"/>
                <w:szCs w:val="24"/>
              </w:rPr>
            </w:pPr>
            <w:r>
              <w:rPr>
                <w:rFonts w:eastAsia="宋体" w:cs="宋体"/>
                <w:b/>
                <w:sz w:val="24"/>
                <w:szCs w:val="24"/>
              </w:rPr>
              <w:t>正式破产程序</w:t>
            </w:r>
          </w:p>
        </w:tc>
        <w:tc>
          <w:tcPr>
            <w:tcW w:w="6392" w:type="dxa"/>
          </w:tcPr>
          <w:p>
            <w:pPr>
              <w:pStyle w:val="10"/>
              <w:spacing w:line="400" w:lineRule="exact"/>
              <w:ind w:right="99" w:firstLine="480" w:firstLineChars="200"/>
              <w:jc w:val="both"/>
              <w:rPr>
                <w:rFonts w:eastAsia="宋体"/>
                <w:sz w:val="24"/>
                <w:szCs w:val="24"/>
              </w:rPr>
            </w:pPr>
            <w:r>
              <w:rPr>
                <w:rFonts w:eastAsia="宋体" w:cs="宋体"/>
                <w:sz w:val="24"/>
                <w:szCs w:val="24"/>
              </w:rPr>
              <w:t>企业破产指标仅关注集体司法程序:即涉及多个债权人的商业公司的庭内重组和清算程序。这不包括自愿清算、安排</w:t>
            </w:r>
            <w:r>
              <w:rPr>
                <w:rFonts w:hint="eastAsia" w:eastAsia="宋体" w:cs="宋体"/>
                <w:sz w:val="24"/>
                <w:szCs w:val="24"/>
                <w:lang w:eastAsia="zh-CN"/>
              </w:rPr>
              <w:t>计划</w:t>
            </w:r>
            <w:r>
              <w:rPr>
                <w:rFonts w:eastAsia="宋体" w:cs="宋体"/>
                <w:sz w:val="24"/>
                <w:szCs w:val="24"/>
              </w:rPr>
              <w:t>和个人债务强制执行程序，如丧失抵押品赎回权或接管，这些程序本质上只涉及一个债权人。正式破产程序在司法机构进行</w:t>
            </w:r>
            <w:r>
              <w:rPr>
                <w:rFonts w:hint="eastAsia" w:eastAsia="宋体" w:cs="宋体"/>
                <w:sz w:val="24"/>
                <w:szCs w:val="24"/>
                <w:lang w:eastAsia="zh-CN"/>
              </w:rPr>
              <w:t>，</w:t>
            </w:r>
            <w:r>
              <w:rPr>
                <w:rFonts w:eastAsia="宋体" w:cs="宋体"/>
                <w:sz w:val="24"/>
                <w:szCs w:val="24"/>
              </w:rPr>
              <w:t>接受法院监督</w:t>
            </w:r>
          </w:p>
        </w:tc>
      </w:tr>
    </w:tbl>
    <w:p>
      <w:pPr>
        <w:spacing w:line="400" w:lineRule="exact"/>
        <w:ind w:firstLine="560" w:firstLineChars="200"/>
        <w:jc w:val="both"/>
        <w:rPr>
          <w:rFonts w:eastAsia="宋体"/>
          <w:sz w:val="28"/>
        </w:rPr>
        <w:sectPr>
          <w:pgSz w:w="12240" w:h="15840"/>
          <w:pgMar w:top="1360" w:right="1240" w:bottom="280" w:left="1240" w:header="720" w:footer="720" w:gutter="0"/>
          <w:cols w:space="720" w:num="1"/>
        </w:sect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1.1法律和程序标准</w:t>
      </w:r>
    </w:p>
    <w:p>
      <w:pPr>
        <w:pStyle w:val="3"/>
        <w:spacing w:line="400" w:lineRule="exact"/>
        <w:ind w:firstLine="562" w:firstLineChars="200"/>
        <w:jc w:val="both"/>
        <w:rPr>
          <w:rFonts w:eastAsia="宋体"/>
          <w:b/>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1.2.1破产程序的启动前和启动</w:t>
      </w:r>
    </w:p>
    <w:p>
      <w:pPr>
        <w:pStyle w:val="3"/>
        <w:spacing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在法律架构下，处于财务困境的债务人公司可使用下列哪些机制？（Y/N)</w:t>
      </w:r>
    </w:p>
    <w:p>
      <w:pPr>
        <w:pStyle w:val="3"/>
        <w:spacing w:line="400" w:lineRule="exact"/>
        <w:ind w:firstLine="1120" w:firstLineChars="400"/>
        <w:jc w:val="both"/>
        <w:rPr>
          <w:rFonts w:eastAsia="宋体" w:cs="宋体"/>
          <w:sz w:val="28"/>
        </w:rPr>
      </w:pPr>
      <w:r>
        <w:rPr>
          <w:rFonts w:hint="eastAsia" w:eastAsia="宋体" w:cs="宋体"/>
          <w:sz w:val="28"/>
        </w:rPr>
        <w:t>1</w:t>
      </w:r>
      <w:r>
        <w:rPr>
          <w:rFonts w:hint="eastAsia" w:eastAsia="宋体" w:cs="宋体"/>
          <w:sz w:val="28"/>
          <w:lang w:eastAsia="zh-CN"/>
        </w:rPr>
        <w:t xml:space="preserve">a. </w:t>
      </w:r>
      <w:r>
        <w:rPr>
          <w:rFonts w:hint="eastAsia" w:eastAsia="宋体" w:cs="宋体"/>
          <w:sz w:val="28"/>
        </w:rPr>
        <w:t>直接处理债务人公司在接近破产期间的</w:t>
      </w:r>
      <w:r>
        <w:rPr>
          <w:rFonts w:hint="eastAsia" w:eastAsia="宋体" w:cs="宋体"/>
          <w:sz w:val="28"/>
          <w:lang w:eastAsia="zh-CN"/>
        </w:rPr>
        <w:t>管理</w:t>
      </w:r>
      <w:r>
        <w:rPr>
          <w:rFonts w:hint="eastAsia" w:eastAsia="宋体" w:cs="宋体"/>
          <w:sz w:val="28"/>
        </w:rPr>
        <w:t>义务的机制，以避免破产，或在无法避免破产时将其程度降至最低</w:t>
      </w:r>
    </w:p>
    <w:p>
      <w:pPr>
        <w:pStyle w:val="3"/>
        <w:spacing w:line="400" w:lineRule="exact"/>
        <w:ind w:firstLine="1120" w:firstLineChars="400"/>
        <w:jc w:val="both"/>
        <w:rPr>
          <w:rFonts w:eastAsia="宋体" w:cs="宋体"/>
          <w:sz w:val="28"/>
        </w:rPr>
      </w:pPr>
      <w:r>
        <w:rPr>
          <w:rFonts w:hint="eastAsia" w:eastAsia="宋体" w:cs="宋体"/>
          <w:sz w:val="28"/>
        </w:rPr>
        <w:t>1b</w:t>
      </w:r>
      <w:r>
        <w:rPr>
          <w:rFonts w:hint="eastAsia" w:eastAsia="宋体" w:cs="宋体"/>
          <w:sz w:val="28"/>
          <w:lang w:eastAsia="zh-CN"/>
        </w:rPr>
        <w:t xml:space="preserve">. </w:t>
      </w:r>
      <w:r>
        <w:rPr>
          <w:rFonts w:hint="eastAsia" w:eastAsia="宋体" w:cs="宋体"/>
          <w:sz w:val="28"/>
        </w:rPr>
        <w:t>在法院系统和/或正式的司法破产程序之外，无阻碍或障碍地实施基于合同的庭外重组(OCW)的机制或程序，以便与部分或全部债权人重组公司的债务</w:t>
      </w:r>
    </w:p>
    <w:p>
      <w:pPr>
        <w:pStyle w:val="3"/>
        <w:spacing w:before="10"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在法律框架下，破产的债务人公司可采用以下哪一种程序?(Y / N)</w:t>
      </w:r>
    </w:p>
    <w:p>
      <w:pPr>
        <w:pStyle w:val="3"/>
        <w:spacing w:line="400" w:lineRule="exact"/>
        <w:ind w:firstLine="1120" w:firstLineChars="400"/>
        <w:rPr>
          <w:rFonts w:eastAsia="宋体" w:cs="宋体"/>
          <w:sz w:val="28"/>
        </w:rPr>
      </w:pPr>
      <w:r>
        <w:rPr>
          <w:rFonts w:hint="eastAsia" w:eastAsia="宋体" w:cs="宋体"/>
          <w:sz w:val="28"/>
        </w:rPr>
        <w:t>2a</w:t>
      </w:r>
      <w:r>
        <w:rPr>
          <w:rFonts w:hint="eastAsia" w:eastAsia="宋体" w:cs="宋体"/>
          <w:sz w:val="28"/>
          <w:lang w:eastAsia="zh-CN"/>
        </w:rPr>
        <w:t xml:space="preserve">. </w:t>
      </w:r>
      <w:r>
        <w:rPr>
          <w:rFonts w:hint="eastAsia" w:eastAsia="宋体" w:cs="宋体"/>
          <w:sz w:val="28"/>
        </w:rPr>
        <w:t>启动庭内清算程序</w:t>
      </w:r>
    </w:p>
    <w:p>
      <w:pPr>
        <w:pStyle w:val="3"/>
        <w:spacing w:line="400" w:lineRule="exact"/>
        <w:ind w:firstLine="1120" w:firstLineChars="400"/>
        <w:rPr>
          <w:rFonts w:eastAsia="宋体" w:cs="宋体"/>
          <w:sz w:val="28"/>
        </w:rPr>
      </w:pPr>
      <w:r>
        <w:rPr>
          <w:rFonts w:hint="eastAsia" w:eastAsia="宋体" w:cs="宋体"/>
          <w:sz w:val="28"/>
          <w:lang w:eastAsia="zh-CN"/>
        </w:rPr>
        <w:t xml:space="preserve">2b. </w:t>
      </w:r>
      <w:r>
        <w:rPr>
          <w:rFonts w:hint="eastAsia" w:eastAsia="宋体" w:cs="宋体"/>
          <w:sz w:val="28"/>
        </w:rPr>
        <w:t>启动庭内整顿程序</w:t>
      </w:r>
    </w:p>
    <w:p>
      <w:pPr>
        <w:pStyle w:val="9"/>
        <w:tabs>
          <w:tab w:val="left" w:pos="561"/>
        </w:tabs>
        <w:spacing w:before="1" w:line="400" w:lineRule="exact"/>
        <w:ind w:left="440" w:leftChars="200" w:right="192" w:firstLine="0"/>
        <w:jc w:val="both"/>
        <w:rPr>
          <w:rFonts w:eastAsia="宋体" w:cs="宋体"/>
          <w:b/>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3.在法律框架下，破产债务人公司的个人债权人可采用下列哪一种程序?(Y / N)</w:t>
      </w:r>
    </w:p>
    <w:p>
      <w:pPr>
        <w:pStyle w:val="3"/>
        <w:spacing w:before="1" w:line="400" w:lineRule="exact"/>
        <w:ind w:left="560" w:right="4029" w:firstLine="560" w:firstLineChars="200"/>
        <w:jc w:val="both"/>
        <w:rPr>
          <w:rFonts w:eastAsia="宋体" w:cs="宋体"/>
          <w:sz w:val="28"/>
        </w:rPr>
      </w:pPr>
      <w:r>
        <w:rPr>
          <w:rFonts w:eastAsia="宋体" w:cs="宋体"/>
          <w:sz w:val="28"/>
        </w:rPr>
        <w:t>3a</w:t>
      </w:r>
      <w:r>
        <w:rPr>
          <w:rFonts w:hint="eastAsia" w:eastAsia="宋体" w:cs="宋体"/>
          <w:sz w:val="28"/>
          <w:lang w:eastAsia="zh-CN"/>
        </w:rPr>
        <w:t xml:space="preserve">. </w:t>
      </w:r>
      <w:r>
        <w:rPr>
          <w:rFonts w:eastAsia="宋体" w:cs="宋体"/>
          <w:sz w:val="28"/>
        </w:rPr>
        <w:t>启动庭内清算程序</w:t>
      </w:r>
    </w:p>
    <w:p>
      <w:pPr>
        <w:pStyle w:val="3"/>
        <w:spacing w:before="1" w:line="400" w:lineRule="exact"/>
        <w:ind w:left="560" w:right="4029" w:firstLine="560" w:firstLineChars="200"/>
        <w:jc w:val="both"/>
        <w:rPr>
          <w:rFonts w:eastAsia="宋体"/>
          <w:sz w:val="28"/>
        </w:rPr>
      </w:pPr>
      <w:r>
        <w:rPr>
          <w:rFonts w:hint="eastAsia" w:eastAsia="宋体" w:cs="宋体"/>
          <w:sz w:val="28"/>
          <w:lang w:eastAsia="zh-CN"/>
        </w:rPr>
        <w:t xml:space="preserve">3b. </w:t>
      </w:r>
      <w:r>
        <w:rPr>
          <w:rFonts w:eastAsia="宋体" w:cs="宋体"/>
          <w:sz w:val="28"/>
        </w:rPr>
        <w:t>启动庭内整顿程序</w:t>
      </w:r>
    </w:p>
    <w:p>
      <w:pPr>
        <w:pStyle w:val="3"/>
        <w:spacing w:before="1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4.在法律框架下，启动正式破产程序的依据是什么?</w:t>
      </w:r>
    </w:p>
    <w:p>
      <w:pPr>
        <w:pStyle w:val="3"/>
        <w:spacing w:before="1" w:line="400" w:lineRule="exact"/>
        <w:ind w:left="560" w:firstLine="560" w:firstLineChars="200"/>
        <w:jc w:val="both"/>
        <w:rPr>
          <w:rFonts w:eastAsia="宋体"/>
          <w:sz w:val="28"/>
        </w:rPr>
      </w:pPr>
      <w:r>
        <w:rPr>
          <w:rFonts w:eastAsia="宋体" w:cs="宋体"/>
          <w:sz w:val="28"/>
        </w:rPr>
        <w:t>4a</w:t>
      </w:r>
      <w:r>
        <w:rPr>
          <w:rFonts w:hint="eastAsia" w:eastAsia="宋体" w:cs="宋体"/>
          <w:sz w:val="28"/>
          <w:lang w:eastAsia="zh-CN"/>
        </w:rPr>
        <w:t xml:space="preserve">. </w:t>
      </w:r>
      <w:r>
        <w:rPr>
          <w:rFonts w:eastAsia="宋体" w:cs="宋体"/>
          <w:sz w:val="28"/>
        </w:rPr>
        <w:t>债务人在债务到期时通常无力偿还</w:t>
      </w:r>
    </w:p>
    <w:p>
      <w:pPr>
        <w:pStyle w:val="3"/>
        <w:spacing w:before="1" w:line="400" w:lineRule="exact"/>
        <w:ind w:left="560" w:right="2964" w:firstLine="560" w:firstLineChars="200"/>
        <w:jc w:val="both"/>
        <w:rPr>
          <w:rFonts w:eastAsia="宋体" w:cs="宋体"/>
          <w:sz w:val="28"/>
        </w:rPr>
      </w:pPr>
      <w:r>
        <w:rPr>
          <w:rFonts w:eastAsia="宋体" w:cs="宋体"/>
          <w:sz w:val="28"/>
        </w:rPr>
        <w:t>4b</w:t>
      </w:r>
      <w:r>
        <w:rPr>
          <w:rFonts w:hint="eastAsia" w:eastAsia="宋体" w:cs="宋体"/>
          <w:sz w:val="28"/>
          <w:lang w:eastAsia="zh-CN"/>
        </w:rPr>
        <w:t xml:space="preserve">. </w:t>
      </w:r>
      <w:r>
        <w:rPr>
          <w:rFonts w:eastAsia="宋体" w:cs="宋体"/>
          <w:sz w:val="28"/>
        </w:rPr>
        <w:t>债务人负债的价值超过其资产的价值。</w:t>
      </w:r>
    </w:p>
    <w:p>
      <w:pPr>
        <w:pStyle w:val="3"/>
        <w:spacing w:before="1" w:line="400" w:lineRule="exact"/>
        <w:ind w:left="560" w:right="2964" w:firstLine="560" w:firstLineChars="200"/>
        <w:jc w:val="both"/>
        <w:rPr>
          <w:rFonts w:eastAsia="宋体"/>
          <w:sz w:val="28"/>
        </w:rPr>
      </w:pPr>
      <w:r>
        <w:rPr>
          <w:rFonts w:hint="eastAsia" w:eastAsia="宋体" w:cs="宋体"/>
          <w:sz w:val="28"/>
          <w:lang w:eastAsia="zh-CN"/>
        </w:rPr>
        <w:t>4c. 以上两项</w:t>
      </w:r>
    </w:p>
    <w:p>
      <w:pPr>
        <w:pStyle w:val="3"/>
        <w:spacing w:before="11" w:line="400" w:lineRule="exact"/>
        <w:ind w:firstLine="560" w:firstLineChars="200"/>
        <w:jc w:val="both"/>
        <w:rPr>
          <w:rFonts w:eastAsia="宋体"/>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1.2.2清算和重整程序</w:t>
      </w:r>
    </w:p>
    <w:p>
      <w:pPr>
        <w:pStyle w:val="3"/>
        <w:spacing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法律框架是否规定，在程序开始时，每个债权人应收到一份通知，要求提交其索赔，并说明索赔的依据和数额?(Y / N)</w:t>
      </w:r>
    </w:p>
    <w:p>
      <w:pPr>
        <w:rPr>
          <w:rFonts w:eastAsia="宋体"/>
          <w:sz w:val="28"/>
        </w:rPr>
      </w:pPr>
      <w:r>
        <w:rPr>
          <w:rFonts w:hint="eastAsia" w:eastAsia="宋体"/>
          <w:b/>
          <w:sz w:val="28"/>
          <w:lang w:eastAsia="zh-CN"/>
        </w:rPr>
        <w:br w:type="page"/>
      </w: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在法律框架下，债权人对重整计划进行表决时，需要具备以下哪些条件?(Y / N)</w:t>
      </w:r>
    </w:p>
    <w:p>
      <w:pPr>
        <w:pStyle w:val="3"/>
        <w:spacing w:before="1" w:line="400" w:lineRule="exact"/>
        <w:ind w:left="560" w:firstLine="560" w:firstLineChars="200"/>
        <w:jc w:val="both"/>
        <w:rPr>
          <w:rFonts w:eastAsia="宋体" w:cs="宋体"/>
          <w:sz w:val="28"/>
        </w:rPr>
      </w:pPr>
      <w:r>
        <w:rPr>
          <w:rFonts w:eastAsia="宋体" w:cs="宋体"/>
          <w:sz w:val="28"/>
        </w:rPr>
        <w:t>6</w:t>
      </w:r>
      <w:r>
        <w:rPr>
          <w:rFonts w:hint="eastAsia" w:eastAsia="宋体" w:cs="宋体"/>
          <w:sz w:val="28"/>
          <w:lang w:eastAsia="zh-CN"/>
        </w:rPr>
        <w:t xml:space="preserve">a. </w:t>
      </w:r>
      <w:r>
        <w:rPr>
          <w:rFonts w:eastAsia="宋体" w:cs="宋体"/>
          <w:sz w:val="28"/>
        </w:rPr>
        <w:t>有表决权的债权人根据利益的相似性或其债权的价值被分成若干类</w:t>
      </w:r>
    </w:p>
    <w:p>
      <w:pPr>
        <w:pStyle w:val="3"/>
        <w:spacing w:before="1" w:line="400" w:lineRule="exact"/>
        <w:ind w:left="560" w:firstLine="560" w:firstLineChars="200"/>
        <w:jc w:val="both"/>
        <w:rPr>
          <w:rFonts w:eastAsia="宋体" w:cs="宋体"/>
          <w:sz w:val="28"/>
        </w:rPr>
      </w:pPr>
      <w:r>
        <w:rPr>
          <w:rFonts w:eastAsia="宋体" w:cs="宋体"/>
          <w:sz w:val="28"/>
        </w:rPr>
        <w:t>6b</w:t>
      </w:r>
      <w:r>
        <w:rPr>
          <w:rFonts w:hint="eastAsia" w:eastAsia="宋体" w:cs="宋体"/>
          <w:sz w:val="28"/>
          <w:lang w:eastAsia="zh-CN"/>
        </w:rPr>
        <w:t xml:space="preserve">. </w:t>
      </w:r>
      <w:r>
        <w:rPr>
          <w:rFonts w:eastAsia="宋体" w:cs="宋体"/>
          <w:sz w:val="28"/>
        </w:rPr>
        <w:t>每一类债权人分别投票</w:t>
      </w:r>
    </w:p>
    <w:p>
      <w:pPr>
        <w:pStyle w:val="3"/>
        <w:spacing w:before="1" w:line="400" w:lineRule="exact"/>
        <w:ind w:left="560" w:firstLine="560" w:firstLineChars="200"/>
        <w:jc w:val="both"/>
        <w:rPr>
          <w:rFonts w:eastAsia="宋体" w:cs="宋体"/>
          <w:sz w:val="28"/>
        </w:rPr>
      </w:pPr>
      <w:r>
        <w:rPr>
          <w:rFonts w:eastAsia="宋体" w:cs="宋体"/>
          <w:sz w:val="28"/>
        </w:rPr>
        <w:t>6</w:t>
      </w:r>
      <w:r>
        <w:rPr>
          <w:rFonts w:hint="eastAsia" w:eastAsia="宋体" w:cs="宋体"/>
          <w:sz w:val="28"/>
          <w:lang w:eastAsia="zh-CN"/>
        </w:rPr>
        <w:t xml:space="preserve">c. </w:t>
      </w:r>
      <w:r>
        <w:rPr>
          <w:rFonts w:eastAsia="宋体" w:cs="宋体"/>
          <w:sz w:val="28"/>
        </w:rPr>
        <w:t>每个类别内的债权人都受到平等对待</w:t>
      </w:r>
    </w:p>
    <w:p>
      <w:pPr>
        <w:pStyle w:val="3"/>
        <w:spacing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法律框架是否允许债权人进行电子投票?(Y / N)</w:t>
      </w:r>
    </w:p>
    <w:p>
      <w:pPr>
        <w:pStyle w:val="3"/>
        <w:spacing w:before="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法律框架是否明确要求，在重组计划中有异议的债权人预期回报率至少与他们在清算中获得的回报率相等？ (Y / N)</w:t>
      </w:r>
    </w:p>
    <w:p>
      <w:pPr>
        <w:pStyle w:val="9"/>
        <w:tabs>
          <w:tab w:val="left" w:pos="561"/>
        </w:tabs>
        <w:spacing w:line="400" w:lineRule="exact"/>
        <w:ind w:left="200" w:right="197" w:firstLine="560" w:firstLineChars="200"/>
        <w:jc w:val="both"/>
        <w:rPr>
          <w:rFonts w:eastAsia="宋体"/>
          <w:sz w:val="28"/>
          <w:highlight w:val="yellow"/>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法律框架是否规定将重整程序转换为清算程序?(Y / N)</w:t>
      </w:r>
    </w:p>
    <w:p>
      <w:pPr>
        <w:spacing w:line="400" w:lineRule="exact"/>
        <w:ind w:firstLine="560" w:firstLineChars="200"/>
        <w:jc w:val="both"/>
        <w:rPr>
          <w:rFonts w:eastAsia="宋体"/>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1.2.3破产管理人专业知识</w:t>
      </w:r>
    </w:p>
    <w:p>
      <w:pPr>
        <w:pStyle w:val="3"/>
        <w:spacing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破产管理人的选择是否受到监管?(Y/N)</w:t>
      </w:r>
    </w:p>
    <w:p>
      <w:pPr>
        <w:pStyle w:val="3"/>
        <w:spacing w:before="1" w:line="400" w:lineRule="exact"/>
        <w:ind w:left="560" w:firstLine="560" w:firstLineChars="200"/>
        <w:jc w:val="both"/>
        <w:rPr>
          <w:rFonts w:eastAsia="宋体" w:cs="宋体"/>
          <w:sz w:val="28"/>
        </w:rPr>
      </w:pPr>
      <w:r>
        <w:rPr>
          <w:rFonts w:eastAsia="宋体" w:cs="宋体"/>
          <w:sz w:val="28"/>
        </w:rPr>
        <w:t>如果Y→继续剩下的问题。</w:t>
      </w:r>
    </w:p>
    <w:p>
      <w:pPr>
        <w:pStyle w:val="3"/>
        <w:spacing w:before="1" w:line="400" w:lineRule="exact"/>
        <w:ind w:left="560" w:firstLine="560" w:firstLineChars="200"/>
        <w:jc w:val="both"/>
        <w:rPr>
          <w:rFonts w:eastAsia="宋体" w:cs="宋体"/>
          <w:sz w:val="28"/>
        </w:rPr>
      </w:pPr>
      <w:r>
        <w:rPr>
          <w:rFonts w:eastAsia="宋体" w:cs="宋体"/>
          <w:sz w:val="28"/>
        </w:rPr>
        <w:t>如果N→第11题至第14题得0分。</w:t>
      </w:r>
    </w:p>
    <w:p>
      <w:pPr>
        <w:pStyle w:val="3"/>
        <w:spacing w:before="9"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法律框架中规定的将破产管理人分配到某个程序的最低资格要求是什么?(Y / N)</w:t>
      </w:r>
    </w:p>
    <w:p>
      <w:pPr>
        <w:pStyle w:val="3"/>
        <w:spacing w:before="1" w:line="400" w:lineRule="exact"/>
        <w:ind w:left="560" w:firstLine="560" w:firstLineChars="200"/>
        <w:jc w:val="both"/>
        <w:rPr>
          <w:rFonts w:eastAsia="宋体" w:cs="宋体"/>
          <w:sz w:val="28"/>
        </w:rPr>
      </w:pPr>
      <w:r>
        <w:rPr>
          <w:rFonts w:eastAsia="宋体" w:cs="宋体"/>
          <w:sz w:val="28"/>
        </w:rPr>
        <w:t>11</w:t>
      </w:r>
      <w:r>
        <w:rPr>
          <w:rFonts w:hint="eastAsia" w:eastAsia="宋体" w:cs="宋体"/>
          <w:sz w:val="28"/>
          <w:lang w:eastAsia="zh-CN"/>
        </w:rPr>
        <w:t xml:space="preserve">a. </w:t>
      </w:r>
      <w:r>
        <w:rPr>
          <w:rFonts w:eastAsia="宋体" w:cs="宋体"/>
          <w:sz w:val="28"/>
        </w:rPr>
        <w:t>最低实践经验年数</w:t>
      </w:r>
    </w:p>
    <w:p>
      <w:pPr>
        <w:pStyle w:val="3"/>
        <w:spacing w:before="1" w:line="400" w:lineRule="exact"/>
        <w:ind w:left="560" w:firstLine="560" w:firstLineChars="200"/>
        <w:jc w:val="both"/>
        <w:rPr>
          <w:rFonts w:eastAsia="宋体" w:cs="宋体"/>
          <w:sz w:val="28"/>
        </w:rPr>
      </w:pPr>
      <w:r>
        <w:rPr>
          <w:rFonts w:eastAsia="宋体" w:cs="宋体"/>
          <w:sz w:val="28"/>
        </w:rPr>
        <w:t>11b</w:t>
      </w:r>
      <w:r>
        <w:rPr>
          <w:rFonts w:hint="eastAsia" w:eastAsia="宋体" w:cs="宋体"/>
          <w:sz w:val="28"/>
          <w:lang w:eastAsia="zh-CN"/>
        </w:rPr>
        <w:t xml:space="preserve">. </w:t>
      </w:r>
      <w:r>
        <w:rPr>
          <w:rFonts w:eastAsia="宋体" w:cs="宋体"/>
          <w:sz w:val="28"/>
        </w:rPr>
        <w:t>拥有大学法律学位(至少法学博士或法学学士)或会计学位。</w:t>
      </w:r>
    </w:p>
    <w:p>
      <w:pPr>
        <w:pStyle w:val="3"/>
        <w:spacing w:before="1" w:line="400" w:lineRule="exact"/>
        <w:ind w:left="560" w:firstLine="560" w:firstLineChars="200"/>
        <w:jc w:val="both"/>
        <w:rPr>
          <w:rFonts w:eastAsia="宋体" w:cs="宋体"/>
          <w:sz w:val="28"/>
        </w:rPr>
      </w:pPr>
      <w:r>
        <w:rPr>
          <w:rFonts w:hint="eastAsia" w:eastAsia="宋体" w:cs="宋体"/>
          <w:sz w:val="28"/>
          <w:lang w:eastAsia="zh-CN"/>
        </w:rPr>
        <w:t xml:space="preserve">11c. </w:t>
      </w:r>
      <w:r>
        <w:rPr>
          <w:rFonts w:eastAsia="宋体" w:cs="宋体"/>
          <w:sz w:val="28"/>
        </w:rPr>
        <w:t>持有执照</w:t>
      </w:r>
    </w:p>
    <w:p>
      <w:pPr>
        <w:pStyle w:val="3"/>
        <w:spacing w:before="1" w:line="400" w:lineRule="exact"/>
        <w:ind w:left="560" w:firstLine="560" w:firstLineChars="200"/>
        <w:jc w:val="both"/>
        <w:rPr>
          <w:rFonts w:eastAsia="宋体" w:cs="宋体"/>
          <w:sz w:val="28"/>
        </w:rPr>
      </w:pPr>
      <w:r>
        <w:rPr>
          <w:rFonts w:eastAsia="宋体" w:cs="宋体"/>
          <w:sz w:val="28"/>
        </w:rPr>
        <w:t>11d</w:t>
      </w:r>
      <w:r>
        <w:rPr>
          <w:rFonts w:hint="eastAsia" w:eastAsia="宋体" w:cs="宋体"/>
          <w:sz w:val="28"/>
          <w:lang w:eastAsia="zh-CN"/>
        </w:rPr>
        <w:t xml:space="preserve">. </w:t>
      </w:r>
      <w:r>
        <w:rPr>
          <w:rFonts w:eastAsia="宋体" w:cs="宋体"/>
          <w:sz w:val="28"/>
        </w:rPr>
        <w:t>成为一个协会的注册会员</w:t>
      </w:r>
    </w:p>
    <w:p>
      <w:pPr>
        <w:pStyle w:val="3"/>
        <w:spacing w:before="1" w:line="400" w:lineRule="exact"/>
        <w:ind w:left="560" w:firstLine="560" w:firstLineChars="200"/>
        <w:jc w:val="both"/>
        <w:rPr>
          <w:rFonts w:eastAsia="宋体" w:cs="宋体"/>
          <w:sz w:val="28"/>
        </w:rPr>
      </w:pPr>
      <w:r>
        <w:rPr>
          <w:rFonts w:hint="eastAsia" w:eastAsia="宋体" w:cs="宋体"/>
          <w:sz w:val="28"/>
          <w:lang w:eastAsia="zh-CN"/>
        </w:rPr>
        <w:t xml:space="preserve">11e. </w:t>
      </w:r>
      <w:r>
        <w:rPr>
          <w:rFonts w:eastAsia="宋体" w:cs="宋体"/>
          <w:sz w:val="28"/>
        </w:rPr>
        <w:t>通过资格考试</w:t>
      </w:r>
    </w:p>
    <w:p>
      <w:pPr>
        <w:pStyle w:val="3"/>
        <w:spacing w:before="1" w:line="400" w:lineRule="exact"/>
        <w:ind w:left="560" w:firstLine="560" w:firstLineChars="200"/>
        <w:jc w:val="both"/>
        <w:rPr>
          <w:rFonts w:eastAsia="宋体" w:cs="宋体"/>
          <w:sz w:val="28"/>
        </w:rPr>
      </w:pPr>
      <w:r>
        <w:rPr>
          <w:rFonts w:eastAsia="宋体" w:cs="宋体"/>
          <w:sz w:val="28"/>
        </w:rPr>
        <w:t>11f</w:t>
      </w:r>
      <w:r>
        <w:rPr>
          <w:rFonts w:hint="eastAsia" w:eastAsia="宋体" w:cs="宋体"/>
          <w:sz w:val="28"/>
          <w:lang w:eastAsia="zh-CN"/>
        </w:rPr>
        <w:t xml:space="preserve">. </w:t>
      </w:r>
      <w:r>
        <w:rPr>
          <w:rFonts w:eastAsia="宋体" w:cs="宋体"/>
          <w:sz w:val="28"/>
        </w:rPr>
        <w:t>完成专业培训</w:t>
      </w:r>
    </w:p>
    <w:p>
      <w:pPr>
        <w:pStyle w:val="3"/>
        <w:spacing w:before="1" w:line="400" w:lineRule="exact"/>
        <w:ind w:left="560" w:firstLine="560" w:firstLineChars="200"/>
        <w:jc w:val="both"/>
        <w:rPr>
          <w:rFonts w:eastAsia="宋体" w:cs="宋体"/>
          <w:sz w:val="28"/>
        </w:rPr>
      </w:pPr>
      <w:r>
        <w:rPr>
          <w:rFonts w:eastAsia="宋体" w:cs="宋体"/>
          <w:sz w:val="28"/>
        </w:rPr>
        <w:t>11g</w:t>
      </w:r>
      <w:r>
        <w:rPr>
          <w:rFonts w:hint="eastAsia" w:eastAsia="宋体" w:cs="宋体"/>
          <w:sz w:val="28"/>
          <w:lang w:eastAsia="zh-CN"/>
        </w:rPr>
        <w:t xml:space="preserve">. </w:t>
      </w:r>
      <w:r>
        <w:rPr>
          <w:rFonts w:eastAsia="宋体" w:cs="宋体"/>
          <w:sz w:val="28"/>
        </w:rPr>
        <w:t>无犯罪记录或财务违规记录</w:t>
      </w:r>
    </w:p>
    <w:p>
      <w:pPr>
        <w:pStyle w:val="3"/>
        <w:spacing w:before="1" w:line="400" w:lineRule="exact"/>
        <w:ind w:left="560" w:firstLine="560" w:firstLineChars="200"/>
        <w:jc w:val="both"/>
        <w:rPr>
          <w:rFonts w:eastAsia="宋体" w:cs="宋体"/>
          <w:sz w:val="28"/>
        </w:rPr>
      </w:pPr>
      <w:r>
        <w:rPr>
          <w:rFonts w:hint="eastAsia" w:eastAsia="宋体" w:cs="宋体"/>
          <w:sz w:val="28"/>
          <w:lang w:eastAsia="zh-CN"/>
        </w:rPr>
        <w:t xml:space="preserve">11h. </w:t>
      </w:r>
      <w:r>
        <w:rPr>
          <w:rFonts w:eastAsia="宋体" w:cs="宋体"/>
          <w:sz w:val="28"/>
        </w:rPr>
        <w:t>其他，请说明</w:t>
      </w:r>
    </w:p>
    <w:p>
      <w:pPr>
        <w:pStyle w:val="3"/>
        <w:spacing w:before="10"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法律框架是否规定了破产管理人可能被取消案件资格的情况?(Y / N)</w:t>
      </w:r>
    </w:p>
    <w:p>
      <w:pPr>
        <w:pStyle w:val="3"/>
        <w:spacing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法律框架是否建立了遴选和任命破产管理人的机制?(Y / N)</w:t>
      </w:r>
    </w:p>
    <w:p>
      <w:pPr>
        <w:pStyle w:val="3"/>
        <w:spacing w:after="120" w:afterLines="50" w:line="400" w:lineRule="exact"/>
        <w:ind w:left="440" w:leftChars="200"/>
        <w:jc w:val="both"/>
        <w:rPr>
          <w:rFonts w:eastAsia="宋体"/>
          <w:b/>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法律框架是否规定了一种罢免破产管理人的机制，以反映任命破产管理人的方式，并规定了破产管理人发表意见的权利?(Y / N)</w:t>
      </w: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57"/>
        <w:gridCol w:w="1455"/>
        <w:gridCol w:w="1163"/>
        <w:gridCol w:w="1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1.1法律和程序标准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1.1.1破产程序的启动前和启动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b/>
                <w:bCs/>
                <w:sz w:val="24"/>
                <w:szCs w:val="24"/>
                <w:lang w:eastAsia="zh-CN"/>
              </w:rPr>
            </w:pPr>
            <w:bookmarkStart w:id="0" w:name="OLE_LINK1" w:colFirst="1" w:colLast="3"/>
            <w:r>
              <w:rPr>
                <w:rFonts w:hint="eastAsia" w:eastAsia="宋体" w:cs="宋体"/>
                <w:b/>
                <w:bCs/>
                <w:sz w:val="24"/>
                <w:szCs w:val="24"/>
                <w:lang w:eastAsia="zh-CN"/>
              </w:rPr>
              <w:t>指标</w:t>
            </w:r>
          </w:p>
        </w:tc>
        <w:tc>
          <w:tcPr>
            <w:tcW w:w="1455" w:type="dxa"/>
            <w:vAlign w:val="center"/>
          </w:tcPr>
          <w:p>
            <w:pPr>
              <w:pStyle w:val="10"/>
              <w:spacing w:line="400" w:lineRule="exact"/>
              <w:jc w:val="center"/>
              <w:rPr>
                <w:rFonts w:hint="default" w:eastAsia="宋体" w:cs="宋体"/>
                <w:b/>
                <w:bCs/>
                <w:sz w:val="24"/>
                <w:szCs w:val="24"/>
                <w:lang w:val="en-US"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63" w:type="dxa"/>
            <w:vAlign w:val="center"/>
          </w:tcPr>
          <w:p>
            <w:pPr>
              <w:pStyle w:val="10"/>
              <w:spacing w:line="400" w:lineRule="exact"/>
              <w:jc w:val="center"/>
              <w:rPr>
                <w:rFonts w:hint="default" w:eastAsia="宋体" w:cs="宋体"/>
                <w:b/>
                <w:bCs/>
                <w:sz w:val="24"/>
                <w:szCs w:val="24"/>
                <w:lang w:val="en-US"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68" w:type="dxa"/>
            <w:vAlign w:val="center"/>
          </w:tcPr>
          <w:p>
            <w:pPr>
              <w:pStyle w:val="10"/>
              <w:spacing w:line="400" w:lineRule="exact"/>
              <w:jc w:val="center"/>
              <w:rPr>
                <w:rFonts w:eastAsia="宋体" w:cs="宋体"/>
                <w:b/>
                <w:bCs/>
                <w:sz w:val="24"/>
                <w:szCs w:val="24"/>
                <w:lang w:eastAsia="zh-CN"/>
              </w:rPr>
            </w:pPr>
            <w:r>
              <w:rPr>
                <w:rFonts w:hint="eastAsia" w:eastAsia="宋体" w:cs="宋体"/>
                <w:b/>
                <w:bCs/>
                <w:sz w:val="24"/>
                <w:szCs w:val="24"/>
                <w:lang w:eastAsia="zh-CN"/>
              </w:rPr>
              <w:t>总分</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破产前公司管理层的义务(1a)</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庭外重组机制(1b)</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657"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正式清算程序的开始</w:t>
            </w:r>
          </w:p>
        </w:tc>
        <w:tc>
          <w:tcPr>
            <w:tcW w:w="1455"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657"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-债务人(2a)</w:t>
            </w:r>
          </w:p>
        </w:tc>
        <w:tc>
          <w:tcPr>
            <w:tcW w:w="1455"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163"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6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5657"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-债权人(3a)</w:t>
            </w:r>
          </w:p>
        </w:tc>
        <w:tc>
          <w:tcPr>
            <w:tcW w:w="1455"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163"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6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657"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正式重组程序的启动</w:t>
            </w:r>
          </w:p>
        </w:tc>
        <w:tc>
          <w:tcPr>
            <w:tcW w:w="1455"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657"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-债务人(2b)</w:t>
            </w:r>
          </w:p>
        </w:tc>
        <w:tc>
          <w:tcPr>
            <w:tcW w:w="1455"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163"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6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657"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-债权人(3b)</w:t>
            </w:r>
          </w:p>
        </w:tc>
        <w:tc>
          <w:tcPr>
            <w:tcW w:w="1455"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163"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6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5657" w:type="dxa"/>
            <w:vMerge w:val="restart"/>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启动正式破产程序的依据</w:t>
            </w:r>
          </w:p>
          <w:p>
            <w:pPr>
              <w:pStyle w:val="10"/>
              <w:spacing w:line="400" w:lineRule="exact"/>
              <w:jc w:val="both"/>
              <w:rPr>
                <w:rFonts w:eastAsia="宋体" w:cs="宋体"/>
                <w:sz w:val="24"/>
                <w:szCs w:val="24"/>
                <w:lang w:eastAsia="zh-CN"/>
              </w:rPr>
            </w:pPr>
            <w:r>
              <w:rPr>
                <w:rFonts w:hint="eastAsia" w:eastAsia="宋体" w:cs="宋体"/>
                <w:sz w:val="24"/>
                <w:szCs w:val="24"/>
                <w:lang w:eastAsia="zh-CN"/>
              </w:rPr>
              <w:t>债务人在债务到期时无力偿还债务(4a)</w:t>
            </w:r>
          </w:p>
          <w:p>
            <w:pPr>
              <w:pStyle w:val="10"/>
              <w:spacing w:line="400" w:lineRule="exact"/>
              <w:jc w:val="both"/>
              <w:rPr>
                <w:rFonts w:eastAsia="宋体" w:cs="宋体"/>
                <w:sz w:val="24"/>
                <w:szCs w:val="24"/>
                <w:lang w:eastAsia="zh-CN"/>
              </w:rPr>
            </w:pPr>
            <w:r>
              <w:rPr>
                <w:rFonts w:hint="eastAsia" w:eastAsia="宋体" w:cs="宋体"/>
                <w:sz w:val="24"/>
                <w:szCs w:val="24"/>
                <w:lang w:eastAsia="zh-CN"/>
              </w:rPr>
              <w:t>债务人负债的价值超过其资产的价值(4b)</w:t>
            </w:r>
          </w:p>
        </w:tc>
        <w:tc>
          <w:tcPr>
            <w:tcW w:w="1455"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657" w:type="dxa"/>
            <w:vMerge w:val="continue"/>
            <w:tcBorders>
              <w:top w:val="nil"/>
            </w:tcBorders>
            <w:vAlign w:val="center"/>
          </w:tcPr>
          <w:p>
            <w:pPr>
              <w:pStyle w:val="10"/>
              <w:spacing w:line="400" w:lineRule="exact"/>
              <w:jc w:val="both"/>
              <w:rPr>
                <w:rFonts w:eastAsia="宋体" w:cs="宋体"/>
                <w:sz w:val="24"/>
                <w:szCs w:val="24"/>
                <w:lang w:eastAsia="zh-CN"/>
              </w:rPr>
            </w:pPr>
          </w:p>
        </w:tc>
        <w:tc>
          <w:tcPr>
            <w:tcW w:w="1455"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0.75</w:t>
            </w:r>
          </w:p>
        </w:tc>
        <w:tc>
          <w:tcPr>
            <w:tcW w:w="1163"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0.75</w:t>
            </w:r>
          </w:p>
        </w:tc>
        <w:tc>
          <w:tcPr>
            <w:tcW w:w="126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7" w:type="dxa"/>
            <w:vMerge w:val="continue"/>
            <w:tcBorders>
              <w:top w:val="nil"/>
            </w:tcBorders>
            <w:vAlign w:val="center"/>
          </w:tcPr>
          <w:p>
            <w:pPr>
              <w:pStyle w:val="10"/>
              <w:spacing w:line="400" w:lineRule="exact"/>
              <w:jc w:val="both"/>
              <w:rPr>
                <w:rFonts w:eastAsia="宋体" w:cs="宋体"/>
                <w:sz w:val="24"/>
                <w:szCs w:val="24"/>
                <w:lang w:eastAsia="zh-CN"/>
              </w:rPr>
            </w:pPr>
          </w:p>
        </w:tc>
        <w:tc>
          <w:tcPr>
            <w:tcW w:w="1455"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0.25</w:t>
            </w:r>
          </w:p>
        </w:tc>
        <w:tc>
          <w:tcPr>
            <w:tcW w:w="1163"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0.25</w:t>
            </w:r>
          </w:p>
        </w:tc>
        <w:tc>
          <w:tcPr>
            <w:tcW w:w="126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65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55"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w:t>
            </w:r>
          </w:p>
        </w:tc>
        <w:tc>
          <w:tcPr>
            <w:tcW w:w="116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w:t>
            </w:r>
          </w:p>
        </w:tc>
        <w:tc>
          <w:tcPr>
            <w:tcW w:w="1268"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3" w:type="dxa"/>
            <w:gridSpan w:val="4"/>
            <w:shd w:val="clear" w:color="auto" w:fill="E7EBF5"/>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1.1.2清算和重组程序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657"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455"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63"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68"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债权人索赔证明的通知(5)</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657"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重组方案如何表决</w:t>
            </w:r>
          </w:p>
        </w:tc>
        <w:tc>
          <w:tcPr>
            <w:tcW w:w="1455"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57"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-债权人分类(6a)</w:t>
            </w:r>
          </w:p>
        </w:tc>
        <w:tc>
          <w:tcPr>
            <w:tcW w:w="1455"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0.33</w:t>
            </w:r>
          </w:p>
        </w:tc>
        <w:tc>
          <w:tcPr>
            <w:tcW w:w="1163"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0.33</w:t>
            </w:r>
          </w:p>
        </w:tc>
        <w:tc>
          <w:tcPr>
            <w:tcW w:w="126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-每个班级单独投票(6b)</w:t>
            </w:r>
          </w:p>
          <w:p>
            <w:pPr>
              <w:pStyle w:val="10"/>
              <w:spacing w:line="400" w:lineRule="exact"/>
              <w:jc w:val="both"/>
              <w:rPr>
                <w:rFonts w:eastAsia="宋体" w:cs="宋体"/>
                <w:sz w:val="24"/>
                <w:szCs w:val="24"/>
                <w:lang w:eastAsia="zh-CN"/>
              </w:rPr>
            </w:pPr>
            <w:r>
              <w:rPr>
                <w:rFonts w:hint="eastAsia" w:eastAsia="宋体" w:cs="宋体"/>
                <w:sz w:val="24"/>
                <w:szCs w:val="24"/>
                <w:lang w:eastAsia="zh-CN"/>
              </w:rPr>
              <w:t>-平等对待同一阶层的成员(6c)</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0.33</w:t>
            </w:r>
          </w:p>
          <w:p>
            <w:pPr>
              <w:pStyle w:val="10"/>
              <w:spacing w:line="400" w:lineRule="exact"/>
              <w:jc w:val="both"/>
              <w:rPr>
                <w:rFonts w:eastAsia="宋体" w:cs="宋体"/>
                <w:sz w:val="24"/>
                <w:szCs w:val="24"/>
                <w:lang w:eastAsia="zh-CN"/>
              </w:rPr>
            </w:pPr>
            <w:r>
              <w:rPr>
                <w:rFonts w:hint="eastAsia" w:eastAsia="宋体" w:cs="宋体"/>
                <w:sz w:val="24"/>
                <w:szCs w:val="24"/>
                <w:lang w:eastAsia="zh-CN"/>
              </w:rPr>
              <w:t>0.33</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0.33</w:t>
            </w:r>
          </w:p>
          <w:p>
            <w:pPr>
              <w:pStyle w:val="10"/>
              <w:spacing w:line="400" w:lineRule="exact"/>
              <w:jc w:val="both"/>
              <w:rPr>
                <w:rFonts w:eastAsia="宋体" w:cs="宋体"/>
                <w:sz w:val="24"/>
                <w:szCs w:val="24"/>
                <w:lang w:eastAsia="zh-CN"/>
              </w:rPr>
            </w:pPr>
            <w:r>
              <w:rPr>
                <w:rFonts w:hint="eastAsia" w:eastAsia="宋体" w:cs="宋体"/>
                <w:sz w:val="24"/>
                <w:szCs w:val="24"/>
                <w:lang w:eastAsia="zh-CN"/>
              </w:rPr>
              <w:t>0.33</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0.66</w:t>
            </w:r>
          </w:p>
          <w:p>
            <w:pPr>
              <w:pStyle w:val="10"/>
              <w:spacing w:line="400" w:lineRule="exact"/>
              <w:jc w:val="both"/>
              <w:rPr>
                <w:rFonts w:eastAsia="宋体" w:cs="宋体"/>
                <w:sz w:val="24"/>
                <w:szCs w:val="24"/>
                <w:lang w:eastAsia="zh-CN"/>
              </w:rPr>
            </w:pPr>
            <w:r>
              <w:rPr>
                <w:rFonts w:hint="eastAsia" w:eastAsia="宋体" w:cs="宋体"/>
                <w:sz w:val="24"/>
                <w:szCs w:val="24"/>
                <w:lang w:eastAsia="zh-CN"/>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投票方式(7)</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重整中异议债权人的保护(8)</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从重组到清算的转换(9)</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55"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w:t>
            </w:r>
          </w:p>
        </w:tc>
        <w:tc>
          <w:tcPr>
            <w:tcW w:w="116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w:t>
            </w:r>
          </w:p>
        </w:tc>
        <w:tc>
          <w:tcPr>
            <w:tcW w:w="1268"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1.1.3破产管理人的专业知识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vAlign w:val="center"/>
          </w:tcPr>
          <w:p>
            <w:pPr>
              <w:pStyle w:val="10"/>
              <w:spacing w:line="400" w:lineRule="exact"/>
              <w:jc w:val="both"/>
              <w:rPr>
                <w:rFonts w:eastAsia="宋体" w:cs="宋体"/>
                <w:b/>
                <w:bCs/>
                <w:sz w:val="24"/>
                <w:szCs w:val="24"/>
                <w:lang w:eastAsia="zh-CN"/>
              </w:rPr>
            </w:pPr>
            <w:bookmarkStart w:id="1" w:name="OLE_LINK2" w:colFirst="1" w:colLast="3"/>
            <w:r>
              <w:rPr>
                <w:rFonts w:hint="eastAsia" w:eastAsia="宋体" w:cs="宋体"/>
                <w:b/>
                <w:bCs/>
                <w:sz w:val="24"/>
                <w:szCs w:val="24"/>
                <w:lang w:eastAsia="zh-CN"/>
              </w:rPr>
              <w:t>指标</w:t>
            </w:r>
          </w:p>
        </w:tc>
        <w:tc>
          <w:tcPr>
            <w:tcW w:w="1455"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63"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68"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资格要求(11分)</w:t>
            </w:r>
          </w:p>
          <w:p>
            <w:pPr>
              <w:pStyle w:val="10"/>
              <w:spacing w:line="400" w:lineRule="exact"/>
              <w:jc w:val="both"/>
              <w:rPr>
                <w:rFonts w:eastAsia="宋体" w:cs="宋体"/>
                <w:sz w:val="24"/>
                <w:szCs w:val="24"/>
                <w:lang w:eastAsia="zh-CN"/>
              </w:rPr>
            </w:pPr>
            <w:r>
              <w:rPr>
                <w:rFonts w:hint="eastAsia" w:eastAsia="宋体" w:cs="宋体"/>
                <w:sz w:val="24"/>
                <w:szCs w:val="24"/>
                <w:lang w:eastAsia="zh-CN"/>
              </w:rPr>
              <w:t>必须至少满足所列要求中的3项才能获得分数</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取消资格条件(12)</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565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选拔解聘机制</w:t>
            </w:r>
          </w:p>
          <w:p>
            <w:pPr>
              <w:pStyle w:val="10"/>
              <w:spacing w:line="400" w:lineRule="exact"/>
              <w:jc w:val="both"/>
              <w:rPr>
                <w:rFonts w:eastAsia="宋体" w:cs="宋体"/>
                <w:sz w:val="24"/>
                <w:szCs w:val="24"/>
                <w:lang w:eastAsia="zh-CN"/>
              </w:rPr>
            </w:pPr>
            <w:r>
              <w:rPr>
                <w:rFonts w:hint="eastAsia" w:eastAsia="宋体" w:cs="宋体"/>
                <w:sz w:val="24"/>
                <w:szCs w:val="24"/>
                <w:lang w:eastAsia="zh-CN"/>
              </w:rPr>
              <w:t>-机制的存在(13)</w:t>
            </w:r>
          </w:p>
          <w:p>
            <w:pPr>
              <w:pStyle w:val="10"/>
              <w:spacing w:line="400" w:lineRule="exact"/>
              <w:jc w:val="both"/>
              <w:rPr>
                <w:rFonts w:eastAsia="宋体" w:cs="宋体"/>
                <w:sz w:val="24"/>
                <w:szCs w:val="24"/>
                <w:lang w:eastAsia="zh-CN"/>
              </w:rPr>
            </w:pPr>
            <w:r>
              <w:rPr>
                <w:rFonts w:hint="eastAsia" w:eastAsia="宋体" w:cs="宋体"/>
                <w:sz w:val="24"/>
                <w:szCs w:val="24"/>
                <w:lang w:eastAsia="zh-CN"/>
              </w:rPr>
              <w:t>-删除(14)</w:t>
            </w:r>
          </w:p>
        </w:tc>
        <w:tc>
          <w:tcPr>
            <w:tcW w:w="145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16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6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57"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55"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w:t>
            </w:r>
          </w:p>
        </w:tc>
        <w:tc>
          <w:tcPr>
            <w:tcW w:w="1163"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3.</w:t>
            </w:r>
          </w:p>
        </w:tc>
        <w:tc>
          <w:tcPr>
            <w:tcW w:w="1268" w:type="dxa"/>
            <w:shd w:val="clear" w:color="auto" w:fill="FFC000"/>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6</w:t>
            </w:r>
          </w:p>
        </w:tc>
      </w:tr>
    </w:tbl>
    <w:p>
      <w:pPr>
        <w:spacing w:before="8" w:line="400" w:lineRule="exact"/>
        <w:ind w:left="114" w:right="192" w:firstLine="420" w:firstLineChars="200"/>
        <w:jc w:val="both"/>
        <w:rPr>
          <w:rFonts w:eastAsia="宋体"/>
          <w:iCs/>
          <w:sz w:val="21"/>
          <w:szCs w:val="21"/>
        </w:rPr>
      </w:pPr>
      <w:r>
        <w:rPr>
          <w:rFonts w:eastAsia="宋体" w:cs="宋体"/>
          <w:i/>
          <w:iCs w:val="0"/>
          <w:sz w:val="21"/>
          <w:szCs w:val="21"/>
        </w:rPr>
        <w:t>分数</w:t>
      </w:r>
      <w:r>
        <w:rPr>
          <w:rFonts w:eastAsia="宋体" w:cs="宋体"/>
          <w:i/>
          <w:iCs w:val="0"/>
          <w:spacing w:val="-3"/>
          <w:sz w:val="21"/>
          <w:szCs w:val="21"/>
        </w:rPr>
        <w:t>说明</w:t>
      </w:r>
      <w:r>
        <w:rPr>
          <w:rFonts w:eastAsia="宋体" w:cs="宋体"/>
          <w:i/>
          <w:iCs w:val="0"/>
          <w:sz w:val="21"/>
          <w:szCs w:val="21"/>
        </w:rPr>
        <w:t>:</w:t>
      </w:r>
      <w:r>
        <w:rPr>
          <w:rFonts w:eastAsia="宋体" w:cs="宋体"/>
          <w:iCs/>
          <w:spacing w:val="-3"/>
          <w:sz w:val="21"/>
          <w:szCs w:val="21"/>
        </w:rPr>
        <w:t>如果该成分存在，则给出相应的分数。</w:t>
      </w:r>
      <w:r>
        <w:rPr>
          <w:rFonts w:eastAsia="宋体" w:cs="宋体"/>
          <w:iCs/>
          <w:sz w:val="21"/>
          <w:szCs w:val="21"/>
        </w:rPr>
        <w:t xml:space="preserve">例如，如果同时选择6a、6b和6c，则给出1分。FFP = </w:t>
      </w:r>
      <w:r>
        <w:rPr>
          <w:rFonts w:hint="eastAsia" w:eastAsia="宋体" w:cs="宋体"/>
          <w:iCs/>
          <w:sz w:val="21"/>
          <w:szCs w:val="21"/>
          <w:lang w:val="en-US" w:eastAsia="zh-CN"/>
        </w:rPr>
        <w:t>企业</w:t>
      </w:r>
      <w:r>
        <w:rPr>
          <w:rFonts w:hint="eastAsia" w:eastAsia="宋体" w:cs="宋体"/>
          <w:iCs/>
          <w:sz w:val="21"/>
          <w:szCs w:val="21"/>
          <w:lang w:eastAsia="zh-CN"/>
        </w:rPr>
        <w:t>灵活</w:t>
      </w:r>
      <w:r>
        <w:rPr>
          <w:rFonts w:hint="eastAsia" w:eastAsia="宋体" w:cs="宋体"/>
          <w:iCs/>
          <w:sz w:val="21"/>
          <w:szCs w:val="21"/>
          <w:lang w:val="en-US" w:eastAsia="zh-CN"/>
        </w:rPr>
        <w:t>度得</w:t>
      </w:r>
      <w:r>
        <w:rPr>
          <w:rFonts w:hint="eastAsia" w:eastAsia="宋体" w:cs="宋体"/>
          <w:iCs/>
          <w:sz w:val="21"/>
          <w:szCs w:val="21"/>
          <w:lang w:eastAsia="zh-CN"/>
        </w:rPr>
        <w:t>分</w:t>
      </w:r>
      <w:r>
        <w:rPr>
          <w:rFonts w:eastAsia="宋体" w:cs="宋体"/>
          <w:iCs/>
          <w:sz w:val="21"/>
          <w:szCs w:val="21"/>
        </w:rPr>
        <w:t>;SBP =社会效益</w:t>
      </w:r>
      <w:r>
        <w:rPr>
          <w:rFonts w:hint="eastAsia" w:eastAsia="宋体" w:cs="宋体"/>
          <w:iCs/>
          <w:sz w:val="21"/>
          <w:szCs w:val="21"/>
          <w:lang w:val="en-US" w:eastAsia="zh-CN"/>
        </w:rPr>
        <w:t>得</w:t>
      </w:r>
      <w:r>
        <w:rPr>
          <w:rFonts w:eastAsia="宋体" w:cs="宋体"/>
          <w:iCs/>
          <w:sz w:val="21"/>
          <w:szCs w:val="21"/>
        </w:rPr>
        <w:t>分。</w:t>
      </w:r>
    </w:p>
    <w:p>
      <w:pPr>
        <w:pStyle w:val="3"/>
        <w:spacing w:before="9" w:line="400" w:lineRule="exact"/>
        <w:ind w:firstLine="560" w:firstLineChars="200"/>
        <w:jc w:val="both"/>
        <w:rPr>
          <w:rFonts w:eastAsia="宋体"/>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1.2资产和利益相关者</w:t>
      </w:r>
    </w:p>
    <w:p>
      <w:pPr>
        <w:pStyle w:val="3"/>
        <w:spacing w:before="2" w:line="400" w:lineRule="exact"/>
        <w:ind w:firstLine="562" w:firstLineChars="200"/>
        <w:jc w:val="both"/>
        <w:rPr>
          <w:rFonts w:eastAsia="宋体"/>
          <w:b/>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1.2.1债务人资产管理</w:t>
      </w:r>
    </w:p>
    <w:p>
      <w:pPr>
        <w:pStyle w:val="3"/>
        <w:spacing w:before="10"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法律框架是否规定了自动中止诉讼程序?其他常用于指代停止诉讼的术语包括暂停或中止诉讼程序。 (Y / N)</w:t>
      </w:r>
    </w:p>
    <w:p>
      <w:pPr>
        <w:pStyle w:val="3"/>
        <w:spacing w:before="1" w:line="400" w:lineRule="exact"/>
        <w:ind w:left="560" w:firstLine="560" w:firstLineChars="200"/>
        <w:jc w:val="both"/>
        <w:rPr>
          <w:rFonts w:eastAsia="宋体" w:cs="宋体"/>
          <w:sz w:val="28"/>
        </w:rPr>
      </w:pPr>
      <w:r>
        <w:rPr>
          <w:rFonts w:eastAsia="宋体" w:cs="宋体"/>
          <w:sz w:val="28"/>
        </w:rPr>
        <w:t>如果Y→继续剩下的问题。</w:t>
      </w:r>
    </w:p>
    <w:p>
      <w:pPr>
        <w:pStyle w:val="3"/>
        <w:spacing w:before="1" w:line="400" w:lineRule="exact"/>
        <w:ind w:left="560" w:firstLine="560" w:firstLineChars="200"/>
        <w:jc w:val="both"/>
        <w:rPr>
          <w:rFonts w:eastAsia="宋体"/>
          <w:sz w:val="28"/>
        </w:rPr>
      </w:pPr>
      <w:r>
        <w:rPr>
          <w:rFonts w:eastAsia="宋体" w:cs="宋体"/>
          <w:sz w:val="28"/>
        </w:rPr>
        <w:t>如果N→第15题至第19题0分。</w:t>
      </w:r>
    </w:p>
    <w:p>
      <w:pPr>
        <w:pStyle w:val="3"/>
        <w:spacing w:before="10"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法律框架是否明确规定了诉讼中止确切的生效时间(包括生效日期和失效日期)?(Y / N)</w:t>
      </w:r>
    </w:p>
    <w:p>
      <w:pPr>
        <w:pStyle w:val="3"/>
        <w:spacing w:before="10"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自动中止诉讼是否适用于下列类型财产的担保权的执行?(Y/N)不计分</w:t>
      </w:r>
    </w:p>
    <w:p>
      <w:pPr>
        <w:pStyle w:val="3"/>
        <w:spacing w:before="1" w:line="400" w:lineRule="exact"/>
        <w:ind w:left="560" w:firstLine="560" w:firstLineChars="200"/>
        <w:jc w:val="both"/>
        <w:rPr>
          <w:rFonts w:eastAsia="宋体" w:cs="宋体"/>
          <w:sz w:val="28"/>
        </w:rPr>
      </w:pPr>
      <w:r>
        <w:rPr>
          <w:rFonts w:eastAsia="宋体" w:cs="宋体"/>
          <w:sz w:val="28"/>
        </w:rPr>
        <w:t>17</w:t>
      </w:r>
      <w:r>
        <w:rPr>
          <w:rFonts w:hint="eastAsia" w:eastAsia="宋体" w:cs="宋体"/>
          <w:sz w:val="28"/>
          <w:lang w:eastAsia="zh-CN"/>
        </w:rPr>
        <w:t xml:space="preserve">a. </w:t>
      </w:r>
      <w:r>
        <w:rPr>
          <w:rFonts w:eastAsia="宋体" w:cs="宋体"/>
          <w:sz w:val="28"/>
        </w:rPr>
        <w:t>不动产</w:t>
      </w:r>
    </w:p>
    <w:p>
      <w:pPr>
        <w:pStyle w:val="3"/>
        <w:spacing w:before="1" w:line="400" w:lineRule="exact"/>
        <w:ind w:left="560" w:firstLine="560" w:firstLineChars="200"/>
        <w:jc w:val="both"/>
        <w:rPr>
          <w:rFonts w:eastAsia="宋体" w:cs="宋体"/>
          <w:sz w:val="28"/>
        </w:rPr>
      </w:pPr>
      <w:r>
        <w:rPr>
          <w:rFonts w:eastAsia="宋体" w:cs="宋体"/>
          <w:sz w:val="28"/>
        </w:rPr>
        <w:t>17b</w:t>
      </w:r>
      <w:r>
        <w:rPr>
          <w:rFonts w:hint="eastAsia" w:eastAsia="宋体" w:cs="宋体"/>
          <w:sz w:val="28"/>
          <w:lang w:eastAsia="zh-CN"/>
        </w:rPr>
        <w:t xml:space="preserve">. </w:t>
      </w:r>
      <w:r>
        <w:rPr>
          <w:rFonts w:eastAsia="宋体" w:cs="宋体"/>
          <w:sz w:val="28"/>
        </w:rPr>
        <w:t>动产/有形资产</w:t>
      </w:r>
    </w:p>
    <w:p>
      <w:pPr>
        <w:pStyle w:val="3"/>
        <w:spacing w:before="1" w:line="400" w:lineRule="exact"/>
        <w:ind w:left="560" w:firstLine="560" w:firstLineChars="200"/>
        <w:jc w:val="both"/>
        <w:rPr>
          <w:rFonts w:eastAsia="宋体" w:cs="宋体"/>
          <w:sz w:val="28"/>
        </w:rPr>
      </w:pPr>
      <w:r>
        <w:rPr>
          <w:rFonts w:hint="eastAsia" w:eastAsia="宋体" w:cs="宋体"/>
          <w:sz w:val="28"/>
          <w:lang w:eastAsia="zh-CN"/>
        </w:rPr>
        <w:t xml:space="preserve">17c. </w:t>
      </w:r>
      <w:r>
        <w:rPr>
          <w:rFonts w:eastAsia="宋体" w:cs="宋体"/>
          <w:sz w:val="28"/>
        </w:rPr>
        <w:t>无形资产</w:t>
      </w:r>
    </w:p>
    <w:p>
      <w:pPr>
        <w:pStyle w:val="3"/>
        <w:spacing w:before="1" w:line="400" w:lineRule="exact"/>
        <w:ind w:left="560" w:firstLine="560" w:firstLineChars="200"/>
        <w:jc w:val="both"/>
        <w:rPr>
          <w:rFonts w:eastAsia="宋体" w:cs="宋体"/>
          <w:sz w:val="28"/>
        </w:rPr>
      </w:pPr>
      <w:r>
        <w:rPr>
          <w:rFonts w:eastAsia="宋体" w:cs="宋体"/>
          <w:sz w:val="28"/>
        </w:rPr>
        <w:t>17d</w:t>
      </w:r>
      <w:r>
        <w:rPr>
          <w:rFonts w:hint="eastAsia" w:eastAsia="宋体" w:cs="宋体"/>
          <w:sz w:val="28"/>
          <w:lang w:eastAsia="zh-CN"/>
        </w:rPr>
        <w:t xml:space="preserve">. </w:t>
      </w:r>
      <w:r>
        <w:rPr>
          <w:rFonts w:eastAsia="宋体" w:cs="宋体"/>
          <w:sz w:val="28"/>
        </w:rPr>
        <w:t>其他类型资产</w:t>
      </w:r>
    </w:p>
    <w:p>
      <w:pPr>
        <w:pStyle w:val="3"/>
        <w:spacing w:before="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法律框架有否规定了暂停诉讼、索赔或法律程序的例外情况?(Y / N)</w:t>
      </w:r>
    </w:p>
    <w:p>
      <w:pPr>
        <w:pStyle w:val="3"/>
        <w:spacing w:before="1" w:line="400" w:lineRule="exact"/>
        <w:ind w:left="560" w:firstLine="560" w:firstLineChars="200"/>
        <w:jc w:val="both"/>
        <w:rPr>
          <w:rFonts w:eastAsia="宋体" w:cs="宋体"/>
          <w:sz w:val="28"/>
        </w:rPr>
      </w:pPr>
      <w:r>
        <w:rPr>
          <w:rFonts w:eastAsia="宋体" w:cs="宋体"/>
          <w:sz w:val="28"/>
        </w:rPr>
        <w:t>如果Y→继续剩下的问题。</w:t>
      </w:r>
    </w:p>
    <w:p>
      <w:pPr>
        <w:pStyle w:val="3"/>
        <w:spacing w:before="1" w:line="400" w:lineRule="exact"/>
        <w:ind w:left="560" w:firstLine="560" w:firstLineChars="200"/>
        <w:jc w:val="both"/>
        <w:rPr>
          <w:rFonts w:eastAsia="宋体"/>
          <w:sz w:val="28"/>
        </w:rPr>
      </w:pPr>
      <w:r>
        <w:rPr>
          <w:rFonts w:eastAsia="宋体" w:cs="宋体"/>
          <w:sz w:val="28"/>
        </w:rPr>
        <w:t>如果N→19题和20题得0分。</w:t>
      </w:r>
    </w:p>
    <w:p>
      <w:pPr>
        <w:pStyle w:val="3"/>
        <w:spacing w:before="1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上面提到的暂停诉讼的例外是否包括基于公共政策利益的例外情况，例如限制环境破坏或其他有害于公共健康和安全的活动?(Y / N)</w:t>
      </w:r>
    </w:p>
    <w:p>
      <w:pPr>
        <w:pStyle w:val="3"/>
        <w:spacing w:before="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上述暂停程序的例外情况是否包括任何防止滥用的行动，例如利用破产程序作为非法活动的掩护?(Y / N)</w:t>
      </w:r>
    </w:p>
    <w:p>
      <w:pPr>
        <w:spacing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法律框架是否规定有担保债权人有可能在下列情况下对诉讼、索赔或诉讼程序的中止获得救济:</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21</w:t>
      </w:r>
      <w:r>
        <w:rPr>
          <w:rFonts w:hint="eastAsia" w:eastAsia="宋体" w:cs="宋体"/>
          <w:sz w:val="28"/>
          <w:lang w:eastAsia="zh-CN"/>
        </w:rPr>
        <w:t xml:space="preserve">a. </w:t>
      </w:r>
      <w:r>
        <w:rPr>
          <w:rFonts w:eastAsia="宋体" w:cs="宋体"/>
          <w:sz w:val="28"/>
          <w:lang w:eastAsia="zh-CN"/>
        </w:rPr>
        <w:t>由于破产程序的启动，抵押资产的价值正在减少(Y/N)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21b</w:t>
      </w:r>
      <w:r>
        <w:rPr>
          <w:rFonts w:hint="eastAsia" w:eastAsia="宋体" w:cs="宋体"/>
          <w:sz w:val="28"/>
          <w:lang w:eastAsia="zh-CN"/>
        </w:rPr>
        <w:t xml:space="preserve">. </w:t>
      </w:r>
      <w:r>
        <w:rPr>
          <w:rFonts w:eastAsia="宋体" w:cs="宋体"/>
          <w:sz w:val="28"/>
          <w:lang w:eastAsia="zh-CN"/>
        </w:rPr>
        <w:t>在清算过程中，作为持续经营企业进行重组或出售时不需要留置资产的(Y/N)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在破产程序启动后，法律框架是否明确允许债务人公司继续履行对债务人日常经营有益或至关重要的现有合同?(Y / N)</w:t>
      </w:r>
    </w:p>
    <w:p>
      <w:pPr>
        <w:pStyle w:val="3"/>
        <w:spacing w:before="9"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在启动破产程序后，法律框架是否明确允许在履行合同的成本高于可获得的利益的情况下，终止繁重的合同(双方均未充分履行其义务)?(Y / N)</w:t>
      </w:r>
    </w:p>
    <w:p>
      <w:pPr>
        <w:pStyle w:val="3"/>
        <w:spacing w:before="2"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如果是，法律框架是否明确允许在维护此类资产的成本高于可获得的收益时，放弃或解除负担性资产?(Y / 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法律框架是否明确规定在破产程序启动前达成的下列交易无效(或无效/终止)?25 (Y / N)</w:t>
      </w:r>
    </w:p>
    <w:p>
      <w:pPr>
        <w:pStyle w:val="3"/>
        <w:spacing w:before="1" w:line="400" w:lineRule="exact"/>
        <w:ind w:left="560" w:firstLine="560" w:firstLineChars="200"/>
        <w:jc w:val="both"/>
        <w:rPr>
          <w:rFonts w:eastAsia="宋体" w:cs="宋体"/>
          <w:sz w:val="28"/>
          <w:lang w:eastAsia="zh-CN"/>
        </w:rPr>
      </w:pPr>
      <w:r>
        <w:rPr>
          <w:rFonts w:hint="eastAsia" w:eastAsia="宋体" w:cs="宋体"/>
          <w:sz w:val="28"/>
          <w:lang w:eastAsia="zh-CN"/>
        </w:rPr>
        <w:t>25a. 优惠交易或合同，该债务导致债权人获得超过其按比例占有的债务人资产的份额，当债务人已经破产或导致债务人破产时发生</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25b</w:t>
      </w:r>
      <w:r>
        <w:rPr>
          <w:rFonts w:hint="eastAsia" w:eastAsia="宋体" w:cs="宋体"/>
          <w:sz w:val="28"/>
          <w:lang w:eastAsia="zh-CN"/>
        </w:rPr>
        <w:t xml:space="preserve">. </w:t>
      </w:r>
      <w:r>
        <w:rPr>
          <w:rFonts w:eastAsia="宋体" w:cs="宋体"/>
          <w:sz w:val="28"/>
          <w:lang w:eastAsia="zh-CN"/>
        </w:rPr>
        <w:t>被低估的交易，即以低于市场价值的价格或作为</w:t>
      </w:r>
      <w:r>
        <w:rPr>
          <w:rFonts w:hint="eastAsia" w:eastAsia="宋体" w:cs="宋体"/>
          <w:sz w:val="28"/>
          <w:lang w:eastAsia="zh-CN"/>
        </w:rPr>
        <w:t>赠与</w:t>
      </w:r>
      <w:r>
        <w:rPr>
          <w:rFonts w:eastAsia="宋体" w:cs="宋体"/>
          <w:sz w:val="28"/>
          <w:lang w:eastAsia="zh-CN"/>
        </w:rPr>
        <w:t>进行的交易，这些交易发生在债务人已经破产或导致债务人破产的情况下</w:t>
      </w:r>
    </w:p>
    <w:p>
      <w:pPr>
        <w:pStyle w:val="3"/>
        <w:spacing w:before="1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法律框架是否明确规定债务人在破产程序启动后获得信贷(启动后信贷)，为破产程序期间的持续需求提供资金？(Y/N)</w:t>
      </w:r>
    </w:p>
    <w:p>
      <w:pPr>
        <w:pStyle w:val="3"/>
        <w:spacing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 xml:space="preserve">法律框架是否将启动后的信贷优先级于以下事项？(Y / N) </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27</w:t>
      </w:r>
      <w:r>
        <w:rPr>
          <w:rFonts w:hint="eastAsia" w:eastAsia="宋体" w:cs="宋体"/>
          <w:sz w:val="28"/>
          <w:lang w:eastAsia="zh-CN"/>
        </w:rPr>
        <w:t xml:space="preserve">a. </w:t>
      </w:r>
      <w:r>
        <w:rPr>
          <w:rFonts w:eastAsia="宋体" w:cs="宋体"/>
          <w:sz w:val="28"/>
          <w:lang w:eastAsia="zh-CN"/>
        </w:rPr>
        <w:t>仅限无担保债权人</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27b</w:t>
      </w:r>
      <w:r>
        <w:rPr>
          <w:rFonts w:hint="eastAsia" w:eastAsia="宋体" w:cs="宋体"/>
          <w:sz w:val="28"/>
          <w:lang w:eastAsia="zh-CN"/>
        </w:rPr>
        <w:t xml:space="preserve">. </w:t>
      </w:r>
      <w:r>
        <w:rPr>
          <w:rFonts w:eastAsia="宋体" w:cs="宋体"/>
          <w:sz w:val="28"/>
          <w:lang w:eastAsia="zh-CN"/>
        </w:rPr>
        <w:t>有担保和无担保债权人</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27</w:t>
      </w:r>
      <w:r>
        <w:rPr>
          <w:rFonts w:hint="eastAsia" w:eastAsia="宋体" w:cs="宋体"/>
          <w:sz w:val="28"/>
          <w:lang w:eastAsia="zh-CN"/>
        </w:rPr>
        <w:t xml:space="preserve">c. </w:t>
      </w:r>
      <w:r>
        <w:rPr>
          <w:rFonts w:eastAsia="宋体" w:cs="宋体"/>
          <w:sz w:val="28"/>
          <w:lang w:eastAsia="zh-CN"/>
        </w:rPr>
        <w:t>法律框架没有规定这样的优先次序</w:t>
      </w:r>
    </w:p>
    <w:p>
      <w:pPr>
        <w:pStyle w:val="3"/>
        <w:spacing w:before="1"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1.2.2债权人参与</w:t>
      </w:r>
    </w:p>
    <w:p>
      <w:pPr>
        <w:pStyle w:val="3"/>
        <w:spacing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法律框架是否要求债权人委员会或其他债权人代表参与破产程序?(Y / 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法律框架是否规定债权人有权单独或通过债权人委员会或其他形式的债权人代表要求提供有关债务人业务和财务状况的最新信息?(Y / N)</w:t>
      </w:r>
    </w:p>
    <w:p>
      <w:pPr>
        <w:pStyle w:val="3"/>
        <w:spacing w:before="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法律框架是否规定破产程序中索赔的排序?(Y /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如果Y→继续剩下的问题</w:t>
      </w:r>
    </w:p>
    <w:p>
      <w:pPr>
        <w:pStyle w:val="3"/>
        <w:spacing w:before="1" w:line="400" w:lineRule="exact"/>
        <w:ind w:left="560" w:firstLine="560" w:firstLineChars="200"/>
        <w:jc w:val="both"/>
        <w:rPr>
          <w:rFonts w:eastAsia="宋体" w:cs="宋体"/>
          <w:sz w:val="28"/>
        </w:rPr>
      </w:pPr>
      <w:r>
        <w:rPr>
          <w:rFonts w:eastAsia="宋体" w:cs="宋体"/>
          <w:sz w:val="28"/>
        </w:rPr>
        <w:t>如果N→31至33题0分</w:t>
      </w: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有担保债权人是否对其担保的资产享有绝对优先权?(Y / 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 xml:space="preserve">劳动索赔是否优先于以下事项?(Y / N) </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32</w:t>
      </w:r>
      <w:r>
        <w:rPr>
          <w:rFonts w:hint="eastAsia" w:eastAsia="宋体" w:cs="宋体"/>
          <w:sz w:val="28"/>
          <w:lang w:eastAsia="zh-CN"/>
        </w:rPr>
        <w:t xml:space="preserve">a. </w:t>
      </w:r>
      <w:r>
        <w:rPr>
          <w:rFonts w:eastAsia="宋体" w:cs="宋体"/>
          <w:sz w:val="28"/>
          <w:lang w:eastAsia="zh-CN"/>
        </w:rPr>
        <w:t>担保债权人</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32</w:t>
      </w:r>
      <w:r>
        <w:rPr>
          <w:rFonts w:hint="eastAsia" w:eastAsia="宋体" w:cs="宋体"/>
          <w:sz w:val="28"/>
          <w:lang w:eastAsia="zh-CN"/>
        </w:rPr>
        <w:t xml:space="preserve">b. </w:t>
      </w:r>
      <w:r>
        <w:rPr>
          <w:rFonts w:eastAsia="宋体" w:cs="宋体"/>
          <w:sz w:val="28"/>
          <w:lang w:eastAsia="zh-CN"/>
        </w:rPr>
        <w:t>普通无担保债权人</w:t>
      </w:r>
    </w:p>
    <w:p>
      <w:pPr>
        <w:pStyle w:val="3"/>
        <w:spacing w:before="1" w:line="400" w:lineRule="exact"/>
        <w:ind w:left="560" w:firstLine="560" w:firstLineChars="200"/>
        <w:jc w:val="both"/>
        <w:rPr>
          <w:rFonts w:eastAsia="宋体" w:cs="宋体"/>
          <w:sz w:val="28"/>
        </w:rPr>
      </w:pPr>
      <w:r>
        <w:rPr>
          <w:rFonts w:eastAsia="宋体" w:cs="宋体"/>
          <w:sz w:val="28"/>
        </w:rPr>
        <w:t>32c</w:t>
      </w:r>
      <w:r>
        <w:rPr>
          <w:rFonts w:hint="eastAsia" w:eastAsia="宋体" w:cs="宋体"/>
          <w:sz w:val="28"/>
          <w:lang w:eastAsia="zh-CN"/>
        </w:rPr>
        <w:t xml:space="preserve">. </w:t>
      </w:r>
      <w:r>
        <w:rPr>
          <w:rFonts w:eastAsia="宋体" w:cs="宋体"/>
          <w:sz w:val="28"/>
        </w:rPr>
        <w:t>无此优先权</w:t>
      </w:r>
    </w:p>
    <w:p>
      <w:pPr>
        <w:pStyle w:val="3"/>
        <w:spacing w:before="1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环境索赔是否优先于以下事项?(Y /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3</w:t>
      </w:r>
      <w:r>
        <w:rPr>
          <w:rFonts w:hint="eastAsia" w:eastAsia="宋体" w:cs="宋体"/>
          <w:sz w:val="28"/>
          <w:lang w:eastAsia="zh-CN"/>
        </w:rPr>
        <w:t xml:space="preserve">3a. </w:t>
      </w:r>
      <w:r>
        <w:rPr>
          <w:rFonts w:eastAsia="宋体" w:cs="宋体"/>
          <w:sz w:val="28"/>
          <w:lang w:eastAsia="zh-CN"/>
        </w:rPr>
        <w:t>担保债权人</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3</w:t>
      </w:r>
      <w:r>
        <w:rPr>
          <w:rFonts w:hint="eastAsia" w:eastAsia="宋体" w:cs="宋体"/>
          <w:sz w:val="28"/>
          <w:lang w:eastAsia="zh-CN"/>
        </w:rPr>
        <w:t xml:space="preserve">3b. </w:t>
      </w:r>
      <w:r>
        <w:rPr>
          <w:rFonts w:eastAsia="宋体" w:cs="宋体"/>
          <w:sz w:val="28"/>
          <w:lang w:eastAsia="zh-CN"/>
        </w:rPr>
        <w:t>普通无担保债权人</w:t>
      </w:r>
    </w:p>
    <w:p>
      <w:pPr>
        <w:pStyle w:val="3"/>
        <w:spacing w:before="1" w:line="400" w:lineRule="exact"/>
        <w:ind w:left="560" w:firstLine="560" w:firstLineChars="200"/>
        <w:jc w:val="both"/>
        <w:rPr>
          <w:rFonts w:eastAsia="宋体" w:cs="宋体"/>
          <w:sz w:val="28"/>
        </w:rPr>
      </w:pPr>
      <w:r>
        <w:rPr>
          <w:rFonts w:eastAsia="宋体" w:cs="宋体"/>
          <w:sz w:val="28"/>
        </w:rPr>
        <w:t>3</w:t>
      </w:r>
      <w:r>
        <w:rPr>
          <w:rFonts w:hint="eastAsia" w:eastAsia="宋体" w:cs="宋体"/>
          <w:sz w:val="28"/>
          <w:lang w:eastAsia="zh-CN"/>
        </w:rPr>
        <w:t>3</w:t>
      </w:r>
      <w:r>
        <w:rPr>
          <w:rFonts w:eastAsia="宋体" w:cs="宋体"/>
          <w:sz w:val="28"/>
        </w:rPr>
        <w:t>c</w:t>
      </w:r>
      <w:r>
        <w:rPr>
          <w:rFonts w:hint="eastAsia" w:eastAsia="宋体" w:cs="宋体"/>
          <w:sz w:val="28"/>
          <w:lang w:eastAsia="zh-CN"/>
        </w:rPr>
        <w:t xml:space="preserve">. </w:t>
      </w:r>
      <w:r>
        <w:rPr>
          <w:rFonts w:eastAsia="宋体" w:cs="宋体"/>
          <w:sz w:val="28"/>
        </w:rPr>
        <w:t>无此优先权</w:t>
      </w: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无论是破产法还是劳动法的法律框架中，是否包含处理破产中工人和雇员索赔保护的特殊制度?(Y / N)</w:t>
      </w:r>
    </w:p>
    <w:p>
      <w:pPr>
        <w:rPr>
          <w:rFonts w:eastAsia="宋体"/>
          <w:sz w:val="28"/>
          <w:lang w:eastAsia="zh-CN"/>
        </w:rPr>
      </w:pPr>
      <w:r>
        <w:rPr>
          <w:rFonts w:eastAsia="宋体"/>
          <w:sz w:val="28"/>
          <w:lang w:eastAsia="zh-CN"/>
        </w:rPr>
        <w:br w:type="page"/>
      </w: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77"/>
        <w:gridCol w:w="1335"/>
        <w:gridCol w:w="1099"/>
        <w:gridCol w:w="13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1.2资产和利益相关者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1.2.1债务人资产管理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777"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335"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099"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332"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自动中止诉讼(15分和16分)</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自动中止诉讼的例外和救济(19,20,21a或21b)</w:t>
            </w:r>
          </w:p>
          <w:p>
            <w:pPr>
              <w:pStyle w:val="10"/>
              <w:spacing w:line="400" w:lineRule="exact"/>
              <w:jc w:val="both"/>
              <w:rPr>
                <w:rFonts w:eastAsia="宋体" w:cs="宋体"/>
                <w:sz w:val="24"/>
                <w:szCs w:val="24"/>
                <w:lang w:eastAsia="zh-CN"/>
              </w:rPr>
            </w:pPr>
            <w:r>
              <w:rPr>
                <w:rFonts w:hint="eastAsia" w:eastAsia="宋体" w:cs="宋体"/>
                <w:sz w:val="24"/>
                <w:szCs w:val="24"/>
                <w:lang w:eastAsia="zh-CN"/>
              </w:rPr>
              <w:t>如果在第19、20、21a或21b题中至少有2题的答案为“Y”，则得满分。</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现有基本合同的延续(22)</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拒绝现有的繁重合同和资产</w:t>
            </w:r>
          </w:p>
          <w:p>
            <w:pPr>
              <w:pStyle w:val="10"/>
              <w:spacing w:line="400" w:lineRule="exact"/>
              <w:jc w:val="both"/>
              <w:rPr>
                <w:rFonts w:eastAsia="宋体" w:cs="宋体"/>
                <w:sz w:val="24"/>
                <w:szCs w:val="24"/>
                <w:lang w:eastAsia="zh-CN"/>
              </w:rPr>
            </w:pPr>
            <w:r>
              <w:rPr>
                <w:rFonts w:hint="eastAsia" w:eastAsia="宋体" w:cs="宋体"/>
                <w:sz w:val="24"/>
                <w:szCs w:val="24"/>
                <w:lang w:eastAsia="zh-CN"/>
              </w:rPr>
              <w:t>-拒绝负担沉重的合同(23)</w:t>
            </w:r>
          </w:p>
          <w:p>
            <w:pPr>
              <w:pStyle w:val="10"/>
              <w:spacing w:line="400" w:lineRule="exact"/>
              <w:jc w:val="both"/>
              <w:rPr>
                <w:rFonts w:eastAsia="宋体" w:cs="宋体"/>
                <w:sz w:val="24"/>
                <w:szCs w:val="24"/>
                <w:lang w:eastAsia="zh-CN"/>
              </w:rPr>
            </w:pPr>
            <w:r>
              <w:rPr>
                <w:rFonts w:hint="eastAsia" w:eastAsia="宋体" w:cs="宋体"/>
                <w:sz w:val="24"/>
                <w:szCs w:val="24"/>
                <w:lang w:eastAsia="zh-CN"/>
              </w:rPr>
              <w:t>-放弃繁重的资产(24)</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优先和低估交易的失效</w:t>
            </w:r>
          </w:p>
          <w:p>
            <w:pPr>
              <w:pStyle w:val="10"/>
              <w:spacing w:line="400" w:lineRule="exact"/>
              <w:jc w:val="both"/>
              <w:rPr>
                <w:rFonts w:eastAsia="宋体" w:cs="宋体"/>
                <w:sz w:val="24"/>
                <w:szCs w:val="24"/>
                <w:lang w:eastAsia="zh-CN"/>
              </w:rPr>
            </w:pPr>
            <w:r>
              <w:rPr>
                <w:rFonts w:hint="eastAsia" w:eastAsia="宋体" w:cs="宋体"/>
                <w:sz w:val="24"/>
                <w:szCs w:val="24"/>
                <w:lang w:eastAsia="zh-CN"/>
              </w:rPr>
              <w:t>-优惠交易(25a)</w:t>
            </w:r>
          </w:p>
          <w:p>
            <w:pPr>
              <w:pStyle w:val="10"/>
              <w:spacing w:line="400" w:lineRule="exact"/>
              <w:jc w:val="both"/>
              <w:rPr>
                <w:rFonts w:eastAsia="宋体" w:cs="宋体"/>
                <w:sz w:val="24"/>
                <w:szCs w:val="24"/>
                <w:lang w:eastAsia="zh-CN"/>
              </w:rPr>
            </w:pPr>
            <w:r>
              <w:rPr>
                <w:rFonts w:hint="eastAsia" w:eastAsia="宋体" w:cs="宋体"/>
                <w:sz w:val="24"/>
                <w:szCs w:val="24"/>
                <w:lang w:eastAsia="zh-CN"/>
              </w:rPr>
              <w:t>-低估交易(25b)</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毕业后信贷可获得性和优先级</w:t>
            </w:r>
          </w:p>
          <w:p>
            <w:pPr>
              <w:pStyle w:val="10"/>
              <w:spacing w:line="400" w:lineRule="exact"/>
              <w:jc w:val="both"/>
              <w:rPr>
                <w:rFonts w:eastAsia="宋体" w:cs="宋体"/>
                <w:sz w:val="24"/>
                <w:szCs w:val="24"/>
                <w:lang w:eastAsia="zh-CN"/>
              </w:rPr>
            </w:pPr>
            <w:r>
              <w:rPr>
                <w:rFonts w:hint="eastAsia" w:eastAsia="宋体" w:cs="宋体"/>
                <w:sz w:val="24"/>
                <w:szCs w:val="24"/>
                <w:lang w:eastAsia="zh-CN"/>
              </w:rPr>
              <w:t>-毕业后可获得的学分(26)</w:t>
            </w:r>
          </w:p>
          <w:p>
            <w:pPr>
              <w:pStyle w:val="10"/>
              <w:spacing w:line="400" w:lineRule="exact"/>
              <w:jc w:val="both"/>
              <w:rPr>
                <w:rFonts w:eastAsia="宋体" w:cs="宋体"/>
                <w:sz w:val="24"/>
                <w:szCs w:val="24"/>
                <w:lang w:eastAsia="zh-CN"/>
              </w:rPr>
            </w:pPr>
            <w:r>
              <w:rPr>
                <w:rFonts w:hint="eastAsia" w:eastAsia="宋体" w:cs="宋体"/>
                <w:sz w:val="24"/>
                <w:szCs w:val="24"/>
                <w:lang w:eastAsia="zh-CN"/>
              </w:rPr>
              <w:t>-启动后信贷优先于所有债权人(27)</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577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335"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6</w:t>
            </w:r>
          </w:p>
        </w:tc>
        <w:tc>
          <w:tcPr>
            <w:tcW w:w="1099"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4</w:t>
            </w:r>
          </w:p>
        </w:tc>
        <w:tc>
          <w:tcPr>
            <w:tcW w:w="133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1.2.2债权人参与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7"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335"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099"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332"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债权人代表(28分)</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债权人要求提供资料(29)</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担保债权的优先权</w:t>
            </w:r>
          </w:p>
          <w:p>
            <w:pPr>
              <w:pStyle w:val="10"/>
              <w:spacing w:line="400" w:lineRule="exact"/>
              <w:jc w:val="both"/>
              <w:rPr>
                <w:rFonts w:eastAsia="宋体" w:cs="宋体"/>
                <w:sz w:val="24"/>
                <w:szCs w:val="24"/>
                <w:lang w:eastAsia="zh-CN"/>
              </w:rPr>
            </w:pPr>
            <w:r>
              <w:rPr>
                <w:rFonts w:hint="eastAsia" w:eastAsia="宋体" w:cs="宋体"/>
                <w:sz w:val="24"/>
                <w:szCs w:val="24"/>
                <w:lang w:eastAsia="zh-CN"/>
              </w:rPr>
              <w:t>-排名(30)</w:t>
            </w:r>
          </w:p>
          <w:p>
            <w:pPr>
              <w:pStyle w:val="10"/>
              <w:spacing w:line="400" w:lineRule="exact"/>
              <w:jc w:val="both"/>
              <w:rPr>
                <w:rFonts w:eastAsia="宋体" w:cs="宋体"/>
                <w:sz w:val="24"/>
                <w:szCs w:val="24"/>
                <w:lang w:eastAsia="zh-CN"/>
              </w:rPr>
            </w:pPr>
            <w:r>
              <w:rPr>
                <w:rFonts w:hint="eastAsia" w:eastAsia="宋体" w:cs="宋体"/>
                <w:sz w:val="24"/>
                <w:szCs w:val="24"/>
                <w:lang w:eastAsia="zh-CN"/>
              </w:rPr>
              <w:t>-绝对优先，有担保债权人(31)</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劳动和环境索赔的优先权</w:t>
            </w:r>
          </w:p>
          <w:p>
            <w:pPr>
              <w:pStyle w:val="10"/>
              <w:spacing w:line="400" w:lineRule="exact"/>
              <w:jc w:val="both"/>
              <w:rPr>
                <w:rFonts w:eastAsia="宋体" w:cs="宋体"/>
                <w:sz w:val="24"/>
                <w:szCs w:val="24"/>
                <w:lang w:eastAsia="zh-CN"/>
              </w:rPr>
            </w:pPr>
            <w:r>
              <w:rPr>
                <w:rFonts w:hint="eastAsia" w:eastAsia="宋体" w:cs="宋体"/>
                <w:sz w:val="24"/>
                <w:szCs w:val="24"/>
                <w:lang w:eastAsia="zh-CN"/>
              </w:rPr>
              <w:t>-劳动权利要求优先权(32)</w:t>
            </w:r>
          </w:p>
          <w:p>
            <w:pPr>
              <w:pStyle w:val="10"/>
              <w:spacing w:line="400" w:lineRule="exact"/>
              <w:jc w:val="both"/>
              <w:rPr>
                <w:rFonts w:eastAsia="宋体" w:cs="宋体"/>
                <w:sz w:val="24"/>
                <w:szCs w:val="24"/>
                <w:lang w:eastAsia="zh-CN"/>
              </w:rPr>
            </w:pPr>
            <w:r>
              <w:rPr>
                <w:rFonts w:hint="eastAsia" w:eastAsia="宋体" w:cs="宋体"/>
                <w:sz w:val="24"/>
                <w:szCs w:val="24"/>
                <w:lang w:eastAsia="zh-CN"/>
              </w:rPr>
              <w:t>-环境权利要求优先权(33)</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7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-劳动请求权特别制度(34)</w:t>
            </w:r>
          </w:p>
        </w:tc>
        <w:tc>
          <w:tcPr>
            <w:tcW w:w="1335"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tc>
        <w:tc>
          <w:tcPr>
            <w:tcW w:w="10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3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77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335"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4</w:t>
            </w:r>
          </w:p>
        </w:tc>
        <w:tc>
          <w:tcPr>
            <w:tcW w:w="1099"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5</w:t>
            </w:r>
          </w:p>
        </w:tc>
        <w:tc>
          <w:tcPr>
            <w:tcW w:w="133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9</w:t>
            </w:r>
          </w:p>
        </w:tc>
      </w:tr>
    </w:tbl>
    <w:p>
      <w:pPr>
        <w:spacing w:before="10" w:line="400" w:lineRule="exact"/>
        <w:ind w:left="109" w:firstLine="420" w:firstLineChars="200"/>
        <w:jc w:val="both"/>
        <w:rPr>
          <w:rFonts w:eastAsia="宋体"/>
          <w:iCs/>
          <w:sz w:val="21"/>
          <w:szCs w:val="21"/>
          <w:lang w:eastAsia="zh-CN"/>
        </w:rPr>
      </w:pPr>
      <w:r>
        <w:rPr>
          <w:rFonts w:eastAsia="宋体" w:cs="宋体"/>
          <w:i/>
          <w:iCs w:val="0"/>
          <w:sz w:val="21"/>
          <w:szCs w:val="21"/>
          <w:lang w:eastAsia="zh-CN"/>
        </w:rPr>
        <w:t>注:</w:t>
      </w:r>
      <w:r>
        <w:rPr>
          <w:rFonts w:eastAsia="宋体" w:cs="宋体"/>
          <w:iCs/>
          <w:sz w:val="21"/>
          <w:szCs w:val="21"/>
          <w:lang w:eastAsia="zh-CN"/>
        </w:rPr>
        <w:t>FFP =</w:t>
      </w:r>
      <w:r>
        <w:rPr>
          <w:rFonts w:hint="eastAsia" w:eastAsia="宋体" w:cs="宋体"/>
          <w:iCs/>
          <w:sz w:val="21"/>
          <w:szCs w:val="21"/>
          <w:lang w:eastAsia="zh-CN"/>
        </w:rPr>
        <w:t>企业灵活度</w:t>
      </w:r>
      <w:r>
        <w:rPr>
          <w:rFonts w:hint="eastAsia" w:eastAsia="宋体" w:cs="宋体"/>
          <w:iCs/>
          <w:sz w:val="21"/>
          <w:szCs w:val="21"/>
          <w:lang w:val="en-US" w:eastAsia="zh-CN"/>
        </w:rPr>
        <w:t>得</w:t>
      </w:r>
      <w:r>
        <w:rPr>
          <w:rFonts w:hint="eastAsia" w:eastAsia="宋体" w:cs="宋体"/>
          <w:iCs/>
          <w:sz w:val="21"/>
          <w:szCs w:val="21"/>
          <w:lang w:eastAsia="zh-CN"/>
        </w:rPr>
        <w:t>分</w:t>
      </w:r>
      <w:r>
        <w:rPr>
          <w:rFonts w:eastAsia="宋体" w:cs="宋体"/>
          <w:iCs/>
          <w:sz w:val="21"/>
          <w:szCs w:val="21"/>
          <w:lang w:eastAsia="zh-CN"/>
        </w:rPr>
        <w:t>;SBP =社会效益</w:t>
      </w:r>
      <w:r>
        <w:rPr>
          <w:rFonts w:hint="eastAsia" w:eastAsia="宋体" w:cs="宋体"/>
          <w:iCs/>
          <w:sz w:val="21"/>
          <w:szCs w:val="21"/>
          <w:lang w:val="en-US" w:eastAsia="zh-CN"/>
        </w:rPr>
        <w:t>得</w:t>
      </w:r>
      <w:r>
        <w:rPr>
          <w:rFonts w:eastAsia="宋体" w:cs="宋体"/>
          <w:iCs/>
          <w:sz w:val="21"/>
          <w:szCs w:val="21"/>
          <w:lang w:eastAsia="zh-CN"/>
        </w:rPr>
        <w:t>分。</w:t>
      </w:r>
    </w:p>
    <w:p>
      <w:pPr>
        <w:spacing w:line="400" w:lineRule="exact"/>
        <w:ind w:firstLine="560" w:firstLineChars="200"/>
        <w:jc w:val="both"/>
        <w:rPr>
          <w:rFonts w:eastAsia="宋体"/>
          <w:sz w:val="28"/>
          <w:lang w:eastAsia="zh-CN"/>
        </w:rPr>
      </w:pPr>
    </w:p>
    <w:p>
      <w:pPr>
        <w:spacing w:line="400" w:lineRule="exact"/>
        <w:ind w:firstLine="560" w:firstLineChars="200"/>
        <w:jc w:val="both"/>
        <w:rPr>
          <w:rFonts w:eastAsia="宋体"/>
          <w:sz w:val="28"/>
          <w:lang w:eastAsia="zh-CN"/>
        </w:rPr>
        <w:sectPr>
          <w:pgSz w:w="12240" w:h="15840"/>
          <w:pgMar w:top="1360" w:right="1240" w:bottom="280" w:left="1240" w:header="720" w:footer="720" w:gutter="0"/>
          <w:cols w:space="720" w:num="1"/>
        </w:sect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1.3专门的程序</w:t>
      </w:r>
    </w:p>
    <w:p>
      <w:pPr>
        <w:pStyle w:val="3"/>
        <w:spacing w:before="10" w:line="400" w:lineRule="exact"/>
        <w:ind w:firstLine="562" w:firstLineChars="200"/>
        <w:jc w:val="both"/>
        <w:rPr>
          <w:rFonts w:eastAsia="宋体"/>
          <w:b/>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1.3.1微型和小型企业(MSEs)</w:t>
      </w:r>
    </w:p>
    <w:p>
      <w:pPr>
        <w:pStyle w:val="3"/>
        <w:spacing w:line="400" w:lineRule="exact"/>
        <w:ind w:firstLine="562" w:firstLineChars="200"/>
        <w:jc w:val="both"/>
        <w:rPr>
          <w:rFonts w:eastAsia="宋体"/>
          <w:b/>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法律框架是否有清算无法生存的微型和小型企业，以及重组能够生存的微型和小型企业的专门程序?(Y /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如果Y→继续剩下的问题。</w:t>
      </w:r>
    </w:p>
    <w:p>
      <w:pPr>
        <w:pStyle w:val="3"/>
        <w:spacing w:before="1" w:line="400" w:lineRule="exact"/>
        <w:ind w:left="560" w:firstLine="560" w:firstLineChars="200"/>
        <w:jc w:val="both"/>
        <w:rPr>
          <w:rFonts w:eastAsia="宋体" w:cs="宋体"/>
          <w:sz w:val="28"/>
        </w:rPr>
      </w:pPr>
      <w:r>
        <w:rPr>
          <w:rFonts w:eastAsia="宋体" w:cs="宋体"/>
          <w:sz w:val="28"/>
        </w:rPr>
        <w:t>如果N→36 - 38题0分。</w:t>
      </w:r>
    </w:p>
    <w:p>
      <w:pPr>
        <w:pStyle w:val="3"/>
        <w:spacing w:before="10"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如果是，法律框架是否允许符合条件的债务人在财务困境的早期阶段申请启动破产程序，而无需证明破产?(Y / N)</w:t>
      </w:r>
    </w:p>
    <w:p>
      <w:pPr>
        <w:pStyle w:val="3"/>
        <w:spacing w:before="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法律框架是否规定了将微型和小型企业(MSEs)的简化重组程序转换为清算程序的可能性?(Y / N)</w:t>
      </w:r>
    </w:p>
    <w:p>
      <w:pPr>
        <w:pStyle w:val="3"/>
        <w:spacing w:before="1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法律框架是否规定了在微型和小型企业破产程序中清偿债务的条件，以及拒绝清偿债务的标准?(Y / N)</w:t>
      </w:r>
    </w:p>
    <w:p>
      <w:pPr>
        <w:pStyle w:val="3"/>
        <w:spacing w:before="2"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1.3.2跨境破产</w:t>
      </w:r>
    </w:p>
    <w:p>
      <w:pPr>
        <w:pStyle w:val="3"/>
        <w:spacing w:before="9"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法律框架是否为跨境破产制定了规则，并规定了承认外国程序的明确程序?(Y /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如果Y→进行第40题。</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如果N→第39题和第40题得0分。</w:t>
      </w:r>
    </w:p>
    <w:p>
      <w:pPr>
        <w:pStyle w:val="3"/>
        <w:spacing w:before="9"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法律框架是否规定了法院和破产管理人在国际破产程序中的合作?(Y / N)</w:t>
      </w:r>
    </w:p>
    <w:p>
      <w:pPr>
        <w:rPr>
          <w:rFonts w:eastAsia="宋体"/>
          <w:sz w:val="28"/>
          <w:lang w:eastAsia="zh-CN"/>
        </w:rPr>
      </w:pPr>
      <w:r>
        <w:rPr>
          <w:rFonts w:eastAsia="宋体"/>
          <w:sz w:val="28"/>
          <w:lang w:eastAsia="zh-CN"/>
        </w:rPr>
        <w:br w:type="page"/>
      </w:r>
    </w:p>
    <w:p>
      <w:pPr>
        <w:pStyle w:val="3"/>
        <w:spacing w:before="3" w:line="400" w:lineRule="exact"/>
        <w:ind w:firstLine="560" w:firstLineChars="200"/>
        <w:jc w:val="both"/>
        <w:rPr>
          <w:rFonts w:eastAsia="宋体"/>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2"/>
        <w:gridCol w:w="1500"/>
        <w:gridCol w:w="1199"/>
        <w:gridCol w:w="1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3" w:type="dxa"/>
            <w:gridSpan w:val="4"/>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1.3专门程序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1.3.1微型和小型企业(MSEs)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2"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500"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99"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32"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561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可获得性和资格(35和36)</w:t>
            </w:r>
          </w:p>
        </w:tc>
        <w:tc>
          <w:tcPr>
            <w:tcW w:w="150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61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诉讼程序转换(37)</w:t>
            </w:r>
          </w:p>
        </w:tc>
        <w:tc>
          <w:tcPr>
            <w:tcW w:w="150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61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债务清偿</w:t>
            </w:r>
          </w:p>
          <w:p>
            <w:pPr>
              <w:pStyle w:val="10"/>
              <w:spacing w:line="400" w:lineRule="exact"/>
              <w:jc w:val="both"/>
              <w:rPr>
                <w:rFonts w:eastAsia="宋体" w:cs="宋体"/>
                <w:sz w:val="24"/>
                <w:szCs w:val="24"/>
                <w:lang w:eastAsia="zh-CN"/>
              </w:rPr>
            </w:pPr>
            <w:r>
              <w:rPr>
                <w:rFonts w:hint="eastAsia" w:eastAsia="宋体" w:cs="宋体"/>
                <w:sz w:val="24"/>
                <w:szCs w:val="24"/>
                <w:lang w:eastAsia="zh-CN"/>
              </w:rPr>
              <w:t>-条件(38)</w:t>
            </w:r>
          </w:p>
          <w:p>
            <w:pPr>
              <w:pStyle w:val="10"/>
              <w:spacing w:line="400" w:lineRule="exact"/>
              <w:jc w:val="both"/>
              <w:rPr>
                <w:rFonts w:eastAsia="宋体" w:cs="宋体"/>
                <w:sz w:val="24"/>
                <w:szCs w:val="24"/>
                <w:lang w:eastAsia="zh-CN"/>
              </w:rPr>
            </w:pPr>
            <w:r>
              <w:rPr>
                <w:rFonts w:hint="eastAsia" w:eastAsia="宋体" w:cs="宋体"/>
                <w:sz w:val="24"/>
                <w:szCs w:val="24"/>
                <w:lang w:eastAsia="zh-CN"/>
              </w:rPr>
              <w:t>-拒绝标准(38)</w:t>
            </w:r>
          </w:p>
        </w:tc>
        <w:tc>
          <w:tcPr>
            <w:tcW w:w="150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1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val="en-US" w:eastAsia="zh-CN"/>
              </w:rPr>
              <w:t>总计</w:t>
            </w:r>
          </w:p>
        </w:tc>
        <w:tc>
          <w:tcPr>
            <w:tcW w:w="1500"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w:t>
            </w:r>
          </w:p>
        </w:tc>
        <w:tc>
          <w:tcPr>
            <w:tcW w:w="1199"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w:t>
            </w:r>
          </w:p>
        </w:tc>
        <w:tc>
          <w:tcPr>
            <w:tcW w:w="123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9543" w:type="dxa"/>
            <w:gridSpan w:val="4"/>
            <w:shd w:val="clear" w:color="auto" w:fill="D9E1F3"/>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1.3.2跨境破产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12" w:type="dxa"/>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指标</w:t>
            </w:r>
          </w:p>
        </w:tc>
        <w:tc>
          <w:tcPr>
            <w:tcW w:w="1500"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99"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32"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61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框架的存在与外国破产程序的承认(39)</w:t>
            </w:r>
          </w:p>
        </w:tc>
        <w:tc>
          <w:tcPr>
            <w:tcW w:w="150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tc>
        <w:tc>
          <w:tcPr>
            <w:tcW w:w="12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与外国法院和代表合作的法律框架(40)</w:t>
            </w:r>
          </w:p>
        </w:tc>
        <w:tc>
          <w:tcPr>
            <w:tcW w:w="1500"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9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w:t>
            </w:r>
          </w:p>
        </w:tc>
        <w:tc>
          <w:tcPr>
            <w:tcW w:w="123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61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val="en-US" w:eastAsia="zh-CN"/>
              </w:rPr>
              <w:t>总计</w:t>
            </w:r>
          </w:p>
        </w:tc>
        <w:tc>
          <w:tcPr>
            <w:tcW w:w="1500"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w:t>
            </w:r>
          </w:p>
        </w:tc>
        <w:tc>
          <w:tcPr>
            <w:tcW w:w="1199"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0</w:t>
            </w:r>
          </w:p>
        </w:tc>
        <w:tc>
          <w:tcPr>
            <w:tcW w:w="123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w:t>
            </w:r>
          </w:p>
        </w:tc>
      </w:tr>
    </w:tbl>
    <w:p>
      <w:pPr>
        <w:spacing w:before="6" w:line="400" w:lineRule="exact"/>
        <w:ind w:left="109" w:firstLine="420" w:firstLineChars="200"/>
        <w:jc w:val="both"/>
        <w:rPr>
          <w:rFonts w:eastAsia="宋体" w:cs="宋体"/>
          <w:iCs/>
          <w:sz w:val="21"/>
          <w:szCs w:val="21"/>
          <w:lang w:eastAsia="zh-CN"/>
        </w:rPr>
      </w:pPr>
      <w:r>
        <w:rPr>
          <w:rFonts w:eastAsia="宋体" w:cs="宋体"/>
          <w:i/>
          <w:iCs w:val="0"/>
          <w:sz w:val="21"/>
          <w:szCs w:val="21"/>
          <w:lang w:eastAsia="zh-CN"/>
        </w:rPr>
        <w:t>注:</w:t>
      </w:r>
      <w:r>
        <w:rPr>
          <w:rFonts w:eastAsia="宋体" w:cs="宋体"/>
          <w:iCs/>
          <w:sz w:val="21"/>
          <w:szCs w:val="21"/>
          <w:lang w:eastAsia="zh-CN"/>
        </w:rPr>
        <w:t xml:space="preserve">FFP = </w:t>
      </w:r>
      <w:r>
        <w:rPr>
          <w:rFonts w:hint="eastAsia" w:eastAsia="宋体" w:cs="宋体"/>
          <w:iCs/>
          <w:sz w:val="21"/>
          <w:szCs w:val="21"/>
          <w:lang w:eastAsia="zh-CN"/>
        </w:rPr>
        <w:t>企业灵活度</w:t>
      </w:r>
      <w:r>
        <w:rPr>
          <w:rFonts w:hint="eastAsia" w:eastAsia="宋体" w:cs="宋体"/>
          <w:iCs/>
          <w:sz w:val="21"/>
          <w:szCs w:val="21"/>
          <w:lang w:val="en-US" w:eastAsia="zh-CN"/>
        </w:rPr>
        <w:t>得</w:t>
      </w:r>
      <w:r>
        <w:rPr>
          <w:rFonts w:hint="eastAsia" w:eastAsia="宋体" w:cs="宋体"/>
          <w:iCs/>
          <w:sz w:val="21"/>
          <w:szCs w:val="21"/>
          <w:lang w:eastAsia="zh-CN"/>
        </w:rPr>
        <w:t>分</w:t>
      </w:r>
      <w:r>
        <w:rPr>
          <w:rFonts w:eastAsia="宋体" w:cs="宋体"/>
          <w:iCs/>
          <w:sz w:val="21"/>
          <w:szCs w:val="21"/>
          <w:lang w:eastAsia="zh-CN"/>
        </w:rPr>
        <w:t>;SBP =社会效益</w:t>
      </w:r>
      <w:r>
        <w:rPr>
          <w:rFonts w:hint="eastAsia" w:eastAsia="宋体" w:cs="宋体"/>
          <w:iCs/>
          <w:sz w:val="21"/>
          <w:szCs w:val="21"/>
          <w:lang w:val="en-US" w:eastAsia="zh-CN"/>
        </w:rPr>
        <w:t>得</w:t>
      </w:r>
      <w:r>
        <w:rPr>
          <w:rFonts w:eastAsia="宋体" w:cs="宋体"/>
          <w:iCs/>
          <w:sz w:val="21"/>
          <w:szCs w:val="21"/>
          <w:lang w:eastAsia="zh-CN"/>
        </w:rPr>
        <w:t>分。</w:t>
      </w:r>
    </w:p>
    <w:p>
      <w:pPr>
        <w:spacing w:before="6" w:line="400" w:lineRule="exact"/>
        <w:jc w:val="both"/>
        <w:rPr>
          <w:rFonts w:eastAsia="宋体" w:cs="宋体"/>
          <w:iCs/>
          <w:sz w:val="21"/>
          <w:szCs w:val="21"/>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453" w:type="dxa"/>
            <w:gridSpan w:val="2"/>
            <w:shd w:val="clear" w:color="auto" w:fill="0F6EC5"/>
            <w:vAlign w:val="center"/>
          </w:tcPr>
          <w:p>
            <w:pPr>
              <w:pStyle w:val="10"/>
              <w:spacing w:line="400" w:lineRule="exact"/>
              <w:jc w:val="both"/>
              <w:rPr>
                <w:rFonts w:eastAsia="宋体" w:cs="宋体"/>
                <w:b/>
                <w:bCs/>
                <w:sz w:val="24"/>
                <w:szCs w:val="24"/>
                <w:lang w:eastAsia="zh-CN"/>
              </w:rPr>
            </w:pPr>
            <w:r>
              <w:rPr>
                <w:rFonts w:hint="eastAsia" w:eastAsia="宋体" w:cs="宋体"/>
                <w:b/>
                <w:bCs/>
                <w:color w:val="FFFFFF" w:themeColor="background1"/>
                <w:sz w:val="24"/>
                <w:szCs w:val="24"/>
                <w:lang w:eastAsia="zh-CN"/>
                <w14:textFill>
                  <w14:solidFill>
                    <w14:schemeClr w14:val="bg1"/>
                  </w14:solidFill>
                </w14:textFill>
              </w:rPr>
              <w:t>维度II:破产程序的制度和业务基础设施的质量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3" w:type="dxa"/>
            <w:gridSpan w:val="2"/>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15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主管法院及其所在地</w:t>
            </w:r>
          </w:p>
        </w:tc>
        <w:tc>
          <w:tcPr>
            <w:tcW w:w="6301"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最大的(全国人口最多的城市)。地理位置决定了电力连接的可用性，以及所需的连接类型和建设。对于维度I，如果一个国家内各州的法规不同，专家将被要求提供有关最大城市法规的信息。</w:t>
            </w:r>
          </w:p>
        </w:tc>
      </w:tr>
    </w:tbl>
    <w:p>
      <w:pPr>
        <w:pStyle w:val="3"/>
        <w:spacing w:before="1"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2.1数字化和在线服务</w:t>
      </w:r>
    </w:p>
    <w:p>
      <w:pPr>
        <w:pStyle w:val="3"/>
        <w:spacing w:before="10" w:line="400" w:lineRule="exact"/>
        <w:ind w:firstLine="562" w:firstLineChars="200"/>
        <w:jc w:val="both"/>
        <w:rPr>
          <w:rFonts w:eastAsia="宋体"/>
          <w:b/>
          <w:sz w:val="28"/>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2.1.1 e-Courts</w:t>
      </w:r>
    </w:p>
    <w:p>
      <w:pPr>
        <w:pStyle w:val="3"/>
        <w:spacing w:before="1"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破产司法系统是否已数字化和/或已纳入[经济中最大的商业城市]更新的电子法院?(Y / 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以下哪项法庭自动化功能已在对债务人和债权人的破产程序中实施?(Y/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42</w:t>
      </w:r>
      <w:r>
        <w:rPr>
          <w:rFonts w:hint="eastAsia" w:eastAsia="宋体" w:cs="宋体"/>
          <w:sz w:val="28"/>
          <w:lang w:eastAsia="zh-CN"/>
        </w:rPr>
        <w:t xml:space="preserve">a. </w:t>
      </w:r>
      <w:r>
        <w:rPr>
          <w:rFonts w:eastAsia="宋体" w:cs="宋体"/>
          <w:sz w:val="28"/>
          <w:lang w:eastAsia="zh-CN"/>
        </w:rPr>
        <w:t>电子申请破产启动</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42b</w:t>
      </w:r>
      <w:r>
        <w:rPr>
          <w:rFonts w:hint="eastAsia" w:eastAsia="宋体" w:cs="宋体"/>
          <w:sz w:val="28"/>
          <w:lang w:eastAsia="zh-CN"/>
        </w:rPr>
        <w:t xml:space="preserve">. </w:t>
      </w:r>
      <w:r>
        <w:rPr>
          <w:rFonts w:eastAsia="宋体" w:cs="宋体"/>
          <w:sz w:val="28"/>
          <w:lang w:eastAsia="zh-CN"/>
        </w:rPr>
        <w:t>电子支付诉讼费</w:t>
      </w:r>
    </w:p>
    <w:p>
      <w:pPr>
        <w:pStyle w:val="3"/>
        <w:spacing w:before="2"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是否必须连同最初的索赔书一并提交一份书面文件?(Y / 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在实际中，是否需要与银行、法院或邮局进行物理交互才能完成电子支付?(Y / N)</w:t>
      </w:r>
    </w:p>
    <w:p>
      <w:pPr>
        <w:pStyle w:val="3"/>
        <w:spacing w:before="2"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主管法院是否设有功能齐全的电子案件管理系统?(Y/N)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如果Y→继续余下的问题。</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如果N→第46题至第48题0分。</w:t>
      </w:r>
    </w:p>
    <w:p>
      <w:pPr>
        <w:pStyle w:val="3"/>
        <w:spacing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sz w:val="28"/>
          <w:lang w:eastAsia="zh-CN"/>
        </w:rPr>
      </w:pPr>
      <w:r>
        <w:rPr>
          <w:rFonts w:hint="eastAsia" w:eastAsia="宋体"/>
          <w:b/>
          <w:sz w:val="28"/>
          <w:lang w:eastAsia="zh-CN"/>
        </w:rPr>
        <w:t>下列哪项案件管理功能已在破产程序中对以下个人实施?请选择所有适用的功能:</w:t>
      </w:r>
    </w:p>
    <w:p>
      <w:pPr>
        <w:pStyle w:val="3"/>
        <w:spacing w:before="1" w:line="400" w:lineRule="exact"/>
        <w:ind w:left="560" w:firstLine="560" w:firstLineChars="200"/>
        <w:jc w:val="both"/>
        <w:rPr>
          <w:rFonts w:eastAsia="宋体" w:cs="宋体"/>
          <w:sz w:val="28"/>
        </w:rPr>
      </w:pPr>
      <w:r>
        <w:rPr>
          <w:rFonts w:eastAsia="宋体" w:cs="宋体"/>
          <w:sz w:val="28"/>
        </w:rPr>
        <w:t>46</w:t>
      </w:r>
      <w:r>
        <w:rPr>
          <w:rFonts w:hint="eastAsia" w:eastAsia="宋体" w:cs="宋体"/>
          <w:sz w:val="28"/>
          <w:lang w:eastAsia="zh-CN"/>
        </w:rPr>
        <w:t xml:space="preserve">a. </w:t>
      </w:r>
      <w:r>
        <w:rPr>
          <w:rFonts w:eastAsia="宋体" w:cs="宋体"/>
          <w:sz w:val="28"/>
        </w:rPr>
        <w:t>法官</w:t>
      </w:r>
    </w:p>
    <w:p>
      <w:pPr>
        <w:pStyle w:val="9"/>
        <w:numPr>
          <w:ilvl w:val="1"/>
          <w:numId w:val="2"/>
        </w:numPr>
        <w:tabs>
          <w:tab w:val="left" w:pos="1280"/>
          <w:tab w:val="left" w:pos="1281"/>
        </w:tabs>
        <w:spacing w:line="400" w:lineRule="exact"/>
        <w:ind w:left="1280" w:firstLine="560" w:firstLineChars="200"/>
        <w:jc w:val="both"/>
        <w:rPr>
          <w:rFonts w:eastAsia="宋体"/>
          <w:sz w:val="28"/>
          <w:lang w:eastAsia="zh-CN"/>
        </w:rPr>
      </w:pPr>
      <w:r>
        <w:rPr>
          <w:rFonts w:eastAsia="宋体" w:cs="宋体"/>
          <w:sz w:val="28"/>
          <w:lang w:eastAsia="zh-CN"/>
        </w:rPr>
        <w:t>以电子方式发送和接收通知</w:t>
      </w:r>
    </w:p>
    <w:p>
      <w:pPr>
        <w:pStyle w:val="9"/>
        <w:numPr>
          <w:ilvl w:val="1"/>
          <w:numId w:val="2"/>
        </w:numPr>
        <w:tabs>
          <w:tab w:val="left" w:pos="1280"/>
          <w:tab w:val="left" w:pos="1281"/>
        </w:tabs>
        <w:spacing w:line="400" w:lineRule="exact"/>
        <w:ind w:left="1280" w:firstLine="560" w:firstLineChars="200"/>
        <w:jc w:val="both"/>
        <w:rPr>
          <w:rFonts w:eastAsia="宋体"/>
          <w:sz w:val="28"/>
          <w:lang w:eastAsia="zh-CN"/>
        </w:rPr>
      </w:pPr>
      <w:r>
        <w:rPr>
          <w:rFonts w:eastAsia="宋体" w:cs="宋体"/>
          <w:sz w:val="28"/>
          <w:lang w:eastAsia="zh-CN"/>
        </w:rPr>
        <w:t>以电子方式管理和归档程序性案件文件</w:t>
      </w:r>
    </w:p>
    <w:p>
      <w:pPr>
        <w:pStyle w:val="9"/>
        <w:numPr>
          <w:ilvl w:val="1"/>
          <w:numId w:val="2"/>
        </w:numPr>
        <w:tabs>
          <w:tab w:val="left" w:pos="1280"/>
          <w:tab w:val="left" w:pos="1281"/>
        </w:tabs>
        <w:spacing w:line="400" w:lineRule="exact"/>
        <w:ind w:left="1280" w:firstLine="560" w:firstLineChars="200"/>
        <w:jc w:val="both"/>
        <w:rPr>
          <w:rFonts w:eastAsia="宋体"/>
          <w:sz w:val="28"/>
          <w:lang w:eastAsia="zh-CN"/>
        </w:rPr>
      </w:pPr>
      <w:r>
        <w:rPr>
          <w:rFonts w:eastAsia="宋体" w:cs="宋体"/>
          <w:sz w:val="28"/>
          <w:lang w:eastAsia="zh-CN"/>
        </w:rPr>
        <w:t>查看和查阅法院命令和判决</w:t>
      </w:r>
    </w:p>
    <w:p>
      <w:pPr>
        <w:pStyle w:val="3"/>
        <w:spacing w:before="1" w:line="400" w:lineRule="exact"/>
        <w:ind w:left="560" w:firstLine="560" w:firstLineChars="200"/>
        <w:jc w:val="both"/>
        <w:rPr>
          <w:rFonts w:eastAsia="宋体" w:cs="宋体"/>
          <w:sz w:val="28"/>
        </w:rPr>
      </w:pPr>
      <w:r>
        <w:rPr>
          <w:rFonts w:eastAsia="宋体" w:cs="宋体"/>
          <w:sz w:val="28"/>
        </w:rPr>
        <w:t>46b</w:t>
      </w:r>
      <w:r>
        <w:rPr>
          <w:rFonts w:hint="eastAsia" w:eastAsia="宋体" w:cs="宋体"/>
          <w:sz w:val="28"/>
          <w:lang w:eastAsia="zh-CN"/>
        </w:rPr>
        <w:t xml:space="preserve">. </w:t>
      </w:r>
      <w:r>
        <w:rPr>
          <w:rFonts w:eastAsia="宋体" w:cs="宋体"/>
          <w:sz w:val="28"/>
        </w:rPr>
        <w:t>破产律师</w:t>
      </w:r>
    </w:p>
    <w:p>
      <w:pPr>
        <w:pStyle w:val="9"/>
        <w:numPr>
          <w:ilvl w:val="1"/>
          <w:numId w:val="2"/>
        </w:numPr>
        <w:tabs>
          <w:tab w:val="left" w:pos="1280"/>
          <w:tab w:val="left" w:pos="1281"/>
        </w:tabs>
        <w:spacing w:before="2" w:line="400" w:lineRule="exact"/>
        <w:ind w:left="1280" w:firstLine="560" w:firstLineChars="200"/>
        <w:jc w:val="both"/>
        <w:rPr>
          <w:rFonts w:eastAsia="宋体"/>
          <w:sz w:val="28"/>
        </w:rPr>
      </w:pPr>
      <w:r>
        <w:rPr>
          <w:rFonts w:eastAsia="宋体" w:cs="宋体"/>
          <w:sz w:val="28"/>
        </w:rPr>
        <w:t>电子发送和接收通知</w:t>
      </w:r>
    </w:p>
    <w:p>
      <w:pPr>
        <w:pStyle w:val="9"/>
        <w:numPr>
          <w:ilvl w:val="1"/>
          <w:numId w:val="2"/>
        </w:numPr>
        <w:tabs>
          <w:tab w:val="left" w:pos="1280"/>
          <w:tab w:val="left" w:pos="1281"/>
        </w:tabs>
        <w:spacing w:line="400" w:lineRule="exact"/>
        <w:ind w:left="1280" w:firstLine="560" w:firstLineChars="200"/>
        <w:jc w:val="both"/>
        <w:rPr>
          <w:rFonts w:eastAsia="宋体"/>
          <w:sz w:val="28"/>
          <w:lang w:eastAsia="zh-CN"/>
        </w:rPr>
      </w:pPr>
      <w:r>
        <w:rPr>
          <w:rFonts w:eastAsia="宋体" w:cs="宋体"/>
          <w:sz w:val="28"/>
          <w:lang w:eastAsia="zh-CN"/>
        </w:rPr>
        <w:t>以电子方式管理和归档程序性案件文件</w:t>
      </w:r>
    </w:p>
    <w:p>
      <w:pPr>
        <w:pStyle w:val="9"/>
        <w:numPr>
          <w:ilvl w:val="1"/>
          <w:numId w:val="2"/>
        </w:numPr>
        <w:tabs>
          <w:tab w:val="left" w:pos="1280"/>
          <w:tab w:val="left" w:pos="1281"/>
        </w:tabs>
        <w:spacing w:line="400" w:lineRule="exact"/>
        <w:ind w:left="1280" w:firstLine="560" w:firstLineChars="200"/>
        <w:jc w:val="both"/>
        <w:rPr>
          <w:rFonts w:eastAsia="宋体" w:cs="宋体"/>
          <w:sz w:val="28"/>
          <w:lang w:eastAsia="zh-CN"/>
        </w:rPr>
      </w:pPr>
      <w:r>
        <w:rPr>
          <w:rFonts w:hint="eastAsia" w:eastAsia="宋体" w:cs="宋体"/>
          <w:sz w:val="28"/>
          <w:lang w:eastAsia="zh-CN"/>
        </w:rPr>
        <w:t xml:space="preserve">  </w:t>
      </w:r>
      <w:r>
        <w:rPr>
          <w:rFonts w:eastAsia="宋体" w:cs="宋体"/>
          <w:sz w:val="28"/>
          <w:lang w:eastAsia="zh-CN"/>
        </w:rPr>
        <w:t>查看和访问法院命令和决定</w:t>
      </w:r>
    </w:p>
    <w:p>
      <w:pPr>
        <w:pStyle w:val="3"/>
        <w:spacing w:before="1" w:line="400" w:lineRule="exact"/>
        <w:ind w:left="560" w:firstLine="560" w:firstLineChars="200"/>
        <w:jc w:val="both"/>
        <w:rPr>
          <w:rFonts w:eastAsia="宋体" w:cs="宋体"/>
          <w:sz w:val="28"/>
          <w:lang w:eastAsia="zh-CN"/>
        </w:rPr>
      </w:pPr>
      <w:r>
        <w:rPr>
          <w:rFonts w:eastAsia="宋体" w:cs="宋体"/>
          <w:sz w:val="28"/>
        </w:rPr>
        <w:t>46c</w:t>
      </w:r>
      <w:r>
        <w:rPr>
          <w:rFonts w:hint="eastAsia" w:eastAsia="宋体" w:cs="宋体"/>
          <w:sz w:val="28"/>
          <w:lang w:eastAsia="zh-CN"/>
        </w:rPr>
        <w:t xml:space="preserve">. </w:t>
      </w:r>
      <w:r>
        <w:rPr>
          <w:rFonts w:eastAsia="宋体" w:cs="宋体"/>
          <w:sz w:val="28"/>
        </w:rPr>
        <w:t>破产管理</w:t>
      </w:r>
      <w:r>
        <w:rPr>
          <w:rFonts w:hint="eastAsia" w:eastAsia="宋体" w:cs="宋体"/>
          <w:sz w:val="28"/>
          <w:lang w:eastAsia="zh-CN"/>
        </w:rPr>
        <w:t>人</w:t>
      </w:r>
    </w:p>
    <w:p>
      <w:pPr>
        <w:pStyle w:val="9"/>
        <w:numPr>
          <w:ilvl w:val="1"/>
          <w:numId w:val="2"/>
        </w:numPr>
        <w:tabs>
          <w:tab w:val="left" w:pos="1280"/>
          <w:tab w:val="left" w:pos="1281"/>
        </w:tabs>
        <w:spacing w:before="5" w:line="400" w:lineRule="exact"/>
        <w:ind w:left="1280" w:firstLine="560" w:firstLineChars="200"/>
        <w:jc w:val="both"/>
        <w:rPr>
          <w:rFonts w:eastAsia="宋体"/>
          <w:sz w:val="28"/>
        </w:rPr>
      </w:pPr>
      <w:r>
        <w:rPr>
          <w:rFonts w:eastAsia="宋体" w:cs="宋体"/>
          <w:sz w:val="28"/>
        </w:rPr>
        <w:t>电子发送和接收通知</w:t>
      </w:r>
    </w:p>
    <w:p>
      <w:pPr>
        <w:pStyle w:val="9"/>
        <w:numPr>
          <w:ilvl w:val="1"/>
          <w:numId w:val="2"/>
        </w:numPr>
        <w:tabs>
          <w:tab w:val="left" w:pos="1280"/>
          <w:tab w:val="left" w:pos="1281"/>
        </w:tabs>
        <w:spacing w:line="400" w:lineRule="exact"/>
        <w:ind w:left="1280" w:firstLine="560" w:firstLineChars="200"/>
        <w:jc w:val="both"/>
        <w:rPr>
          <w:rFonts w:eastAsia="宋体"/>
          <w:sz w:val="28"/>
          <w:lang w:eastAsia="zh-CN"/>
        </w:rPr>
      </w:pPr>
      <w:r>
        <w:rPr>
          <w:rFonts w:eastAsia="宋体" w:cs="宋体"/>
          <w:sz w:val="28"/>
          <w:lang w:eastAsia="zh-CN"/>
        </w:rPr>
        <w:t>以电子方式管理和归档程序性案件文件</w:t>
      </w:r>
    </w:p>
    <w:p>
      <w:pPr>
        <w:pStyle w:val="9"/>
        <w:numPr>
          <w:ilvl w:val="1"/>
          <w:numId w:val="2"/>
        </w:numPr>
        <w:tabs>
          <w:tab w:val="left" w:pos="1280"/>
          <w:tab w:val="left" w:pos="1281"/>
        </w:tabs>
        <w:spacing w:line="400" w:lineRule="exact"/>
        <w:ind w:left="1280" w:firstLine="560" w:firstLineChars="200"/>
        <w:jc w:val="both"/>
        <w:rPr>
          <w:rFonts w:eastAsia="宋体"/>
          <w:sz w:val="28"/>
          <w:lang w:eastAsia="zh-CN"/>
        </w:rPr>
      </w:pPr>
      <w:r>
        <w:rPr>
          <w:rFonts w:eastAsia="宋体" w:cs="宋体"/>
          <w:sz w:val="28"/>
          <w:lang w:eastAsia="zh-CN"/>
        </w:rPr>
        <w:t>查看和查阅法院命令和判决</w:t>
      </w:r>
    </w:p>
    <w:p>
      <w:pPr>
        <w:pStyle w:val="3"/>
        <w:spacing w:before="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债权人和债务人能否以电子方式监控破产程序的状态?(Y / N)</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案件管理系统和电子立案系统是否互联互通?(Y / N)</w:t>
      </w:r>
    </w:p>
    <w:p>
      <w:pPr>
        <w:pStyle w:val="3"/>
        <w:spacing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电子拍卖是否在相关法院进行?(Y / N)</w:t>
      </w:r>
    </w:p>
    <w:p>
      <w:pPr>
        <w:spacing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在破产程序中的电子拍卖过程中，以下哪些做法会发生?(Y/N)(未记分)</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50</w:t>
      </w:r>
      <w:r>
        <w:rPr>
          <w:rFonts w:hint="eastAsia" w:eastAsia="宋体" w:cs="宋体"/>
          <w:sz w:val="28"/>
          <w:lang w:eastAsia="zh-CN"/>
        </w:rPr>
        <w:t xml:space="preserve">a. </w:t>
      </w:r>
      <w:r>
        <w:rPr>
          <w:rFonts w:eastAsia="宋体" w:cs="宋体"/>
          <w:sz w:val="28"/>
          <w:lang w:eastAsia="zh-CN"/>
        </w:rPr>
        <w:t>实物/现场拍卖需要与电子拍卖一起进行。</w:t>
      </w:r>
    </w:p>
    <w:p>
      <w:pPr>
        <w:pStyle w:val="3"/>
        <w:spacing w:before="1" w:line="400" w:lineRule="exact"/>
        <w:ind w:left="560" w:firstLine="560" w:firstLineChars="200"/>
        <w:jc w:val="both"/>
        <w:rPr>
          <w:rFonts w:eastAsia="宋体" w:cs="宋体"/>
          <w:sz w:val="28"/>
        </w:rPr>
      </w:pPr>
      <w:r>
        <w:rPr>
          <w:rFonts w:eastAsia="宋体" w:cs="宋体"/>
          <w:sz w:val="28"/>
        </w:rPr>
        <w:t>50</w:t>
      </w:r>
      <w:r>
        <w:rPr>
          <w:rFonts w:hint="eastAsia" w:eastAsia="宋体" w:cs="宋体"/>
          <w:sz w:val="28"/>
          <w:lang w:eastAsia="zh-CN"/>
        </w:rPr>
        <w:t xml:space="preserve">b. </w:t>
      </w:r>
      <w:r>
        <w:rPr>
          <w:rFonts w:eastAsia="宋体" w:cs="宋体"/>
          <w:sz w:val="28"/>
        </w:rPr>
        <w:t>要求竞标者交保证金</w:t>
      </w:r>
    </w:p>
    <w:p>
      <w:pPr>
        <w:pStyle w:val="3"/>
        <w:spacing w:before="11"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能否在相关法院进行虚拟听证?(Y / N)</w:t>
      </w:r>
    </w:p>
    <w:p>
      <w:pPr>
        <w:pStyle w:val="3"/>
        <w:spacing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2.1.2破产程序服务(电子服务)的互操作性和信息的公开可用性</w:t>
      </w:r>
    </w:p>
    <w:p>
      <w:pPr>
        <w:pStyle w:val="3"/>
        <w:spacing w:before="10" w:line="400" w:lineRule="exact"/>
        <w:ind w:firstLine="562" w:firstLineChars="200"/>
        <w:jc w:val="both"/>
        <w:rPr>
          <w:rFonts w:eastAsia="宋体"/>
          <w:b/>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破产事宜的电子案件管理系统在实际中是否与外部系统相连，以便与其他当局(如商业/商业登记处和执法机构)交换数据?(Y / N)</w:t>
      </w:r>
    </w:p>
    <w:p>
      <w:pPr>
        <w:pStyle w:val="3"/>
        <w:spacing w:before="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关于破产程序判决书和信息的公布，公众是否可以获得以下数据和信息?(Y / N)</w:t>
      </w:r>
    </w:p>
    <w:p>
      <w:pPr>
        <w:spacing w:line="400" w:lineRule="exact"/>
        <w:ind w:left="560" w:right="197" w:firstLine="560" w:firstLineChars="200"/>
        <w:jc w:val="both"/>
        <w:rPr>
          <w:rFonts w:eastAsia="宋体"/>
          <w:i/>
          <w:sz w:val="28"/>
          <w:lang w:eastAsia="zh-CN"/>
        </w:rPr>
      </w:pPr>
      <w:r>
        <w:rPr>
          <w:rFonts w:eastAsia="宋体" w:cs="宋体"/>
          <w:i/>
          <w:sz w:val="28"/>
          <w:lang w:eastAsia="zh-CN"/>
        </w:rPr>
        <w:t>注:可通过任何方式公布此类数据和信息，包括在官方公报、报纸、互联网、法院网站或公开的破产登记处公布。</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53</w:t>
      </w:r>
      <w:r>
        <w:rPr>
          <w:rFonts w:hint="eastAsia" w:eastAsia="宋体" w:cs="宋体"/>
          <w:sz w:val="28"/>
          <w:lang w:eastAsia="zh-CN"/>
        </w:rPr>
        <w:t xml:space="preserve">a. </w:t>
      </w:r>
      <w:r>
        <w:rPr>
          <w:rFonts w:eastAsia="宋体" w:cs="宋体"/>
          <w:sz w:val="28"/>
          <w:lang w:eastAsia="zh-CN"/>
        </w:rPr>
        <w:t>有关在主管法院作出的破产程序的判决。</w:t>
      </w:r>
    </w:p>
    <w:p>
      <w:pPr>
        <w:pStyle w:val="3"/>
        <w:spacing w:before="1" w:line="400" w:lineRule="exact"/>
        <w:ind w:left="560" w:firstLine="560" w:firstLineChars="200"/>
        <w:jc w:val="both"/>
        <w:rPr>
          <w:rFonts w:eastAsia="宋体" w:cs="宋体"/>
          <w:sz w:val="28"/>
          <w:lang w:eastAsia="zh-CN"/>
        </w:rPr>
      </w:pPr>
      <w:r>
        <w:rPr>
          <w:rFonts w:hint="eastAsia" w:eastAsia="宋体" w:cs="宋体"/>
          <w:sz w:val="28"/>
          <w:lang w:eastAsia="zh-CN"/>
        </w:rPr>
        <w:t xml:space="preserve">53b. </w:t>
      </w:r>
      <w:r>
        <w:rPr>
          <w:rFonts w:eastAsia="宋体" w:cs="宋体"/>
          <w:sz w:val="28"/>
          <w:lang w:eastAsia="zh-CN"/>
        </w:rPr>
        <w:t>每年中破产程序的数量和类型的数据</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53c</w:t>
      </w:r>
      <w:r>
        <w:rPr>
          <w:rFonts w:hint="eastAsia" w:eastAsia="宋体" w:cs="宋体"/>
          <w:sz w:val="28"/>
          <w:lang w:eastAsia="zh-CN"/>
        </w:rPr>
        <w:t xml:space="preserve">. </w:t>
      </w:r>
      <w:r>
        <w:rPr>
          <w:rFonts w:eastAsia="宋体" w:cs="宋体"/>
          <w:sz w:val="28"/>
          <w:lang w:eastAsia="zh-CN"/>
        </w:rPr>
        <w:t>破产程序平均时间的数据</w:t>
      </w:r>
    </w:p>
    <w:p>
      <w:pPr>
        <w:pStyle w:val="3"/>
        <w:spacing w:before="10"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是否有资格提供破产从业员和/或有破产服务的公司登记册?(Y / N)</w:t>
      </w:r>
    </w:p>
    <w:p>
      <w:pPr>
        <w:pStyle w:val="3"/>
        <w:spacing w:before="2"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该登记册是否通过官方公报、报纸或互联网或法院网站向公众公布?(Y / N)</w:t>
      </w: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48"/>
        <w:gridCol w:w="1464"/>
        <w:gridCol w:w="1218"/>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2.1数字化和在线服务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2.1.1 e-Courts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464"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218"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13"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64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电子备案仅适用于债务人(42a)</w:t>
            </w:r>
          </w:p>
          <w:p>
            <w:pPr>
              <w:pStyle w:val="10"/>
              <w:spacing w:line="400" w:lineRule="exact"/>
              <w:jc w:val="both"/>
              <w:rPr>
                <w:rFonts w:eastAsia="宋体" w:cs="宋体"/>
                <w:sz w:val="24"/>
                <w:szCs w:val="24"/>
                <w:lang w:eastAsia="zh-CN"/>
              </w:rPr>
            </w:pPr>
            <w:r>
              <w:rPr>
                <w:rFonts w:hint="eastAsia" w:eastAsia="宋体" w:cs="宋体"/>
                <w:sz w:val="24"/>
                <w:szCs w:val="24"/>
                <w:lang w:eastAsia="zh-CN"/>
              </w:rPr>
              <w:t>-仅适用于债权人(42a)</w:t>
            </w:r>
          </w:p>
        </w:tc>
        <w:tc>
          <w:tcPr>
            <w:tcW w:w="14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64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以电子方式支付法庭费用</w:t>
            </w:r>
          </w:p>
        </w:tc>
        <w:tc>
          <w:tcPr>
            <w:tcW w:w="1464"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64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-仅对债务人可用(42c)</w:t>
            </w:r>
          </w:p>
        </w:tc>
        <w:tc>
          <w:tcPr>
            <w:tcW w:w="1464"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3"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64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-仅供债权人使用(42c)</w:t>
            </w:r>
          </w:p>
        </w:tc>
        <w:tc>
          <w:tcPr>
            <w:tcW w:w="1464"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3"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64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法官和律师的电子案件管理</w:t>
            </w:r>
          </w:p>
        </w:tc>
        <w:tc>
          <w:tcPr>
            <w:tcW w:w="1464"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tcBorders>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64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-平台可用，法官可全面操作(46a)</w:t>
            </w:r>
          </w:p>
        </w:tc>
        <w:tc>
          <w:tcPr>
            <w:tcW w:w="1464"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8"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3" w:type="dxa"/>
            <w:tcBorders>
              <w:top w:val="nil"/>
              <w:bottom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64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-平台可供法官使用并可全面操作(46b)</w:t>
            </w:r>
          </w:p>
        </w:tc>
        <w:tc>
          <w:tcPr>
            <w:tcW w:w="1464"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8"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0.50</w:t>
            </w:r>
          </w:p>
        </w:tc>
        <w:tc>
          <w:tcPr>
            <w:tcW w:w="1213" w:type="dxa"/>
            <w:tcBorders>
              <w:top w:val="nil"/>
            </w:tcBorders>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4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破产管理人的电子案件管理(46c)</w:t>
            </w:r>
          </w:p>
        </w:tc>
        <w:tc>
          <w:tcPr>
            <w:tcW w:w="14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4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电子拍卖(49)</w:t>
            </w:r>
          </w:p>
        </w:tc>
        <w:tc>
          <w:tcPr>
            <w:tcW w:w="14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4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虚拟听证(51)</w:t>
            </w:r>
          </w:p>
        </w:tc>
        <w:tc>
          <w:tcPr>
            <w:tcW w:w="14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64"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6</w:t>
            </w:r>
          </w:p>
        </w:tc>
        <w:tc>
          <w:tcPr>
            <w:tcW w:w="1218"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6</w:t>
            </w:r>
          </w:p>
        </w:tc>
        <w:tc>
          <w:tcPr>
            <w:tcW w:w="121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3" w:type="dxa"/>
            <w:gridSpan w:val="4"/>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2.1.2破产程序服务(电子服务)的互操作性和信息的公开可用性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464" w:type="dxa"/>
            <w:vAlign w:val="center"/>
          </w:tcPr>
          <w:p>
            <w:pPr>
              <w:pStyle w:val="10"/>
              <w:spacing w:line="400" w:lineRule="exact"/>
              <w:jc w:val="both"/>
              <w:rPr>
                <w:rFonts w:hint="default" w:eastAsia="宋体" w:cs="宋体"/>
                <w:b/>
                <w:bCs/>
                <w:sz w:val="24"/>
                <w:szCs w:val="24"/>
                <w:lang w:val="en-US"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218" w:type="dxa"/>
            <w:vAlign w:val="center"/>
          </w:tcPr>
          <w:p>
            <w:pPr>
              <w:pStyle w:val="10"/>
              <w:spacing w:line="400" w:lineRule="exact"/>
              <w:jc w:val="both"/>
              <w:rPr>
                <w:rFonts w:hint="default" w:eastAsia="宋体" w:cs="宋体"/>
                <w:b/>
                <w:bCs/>
                <w:sz w:val="24"/>
                <w:szCs w:val="24"/>
                <w:lang w:val="en-US"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13"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与外部系统的互操作性(52分)</w:t>
            </w:r>
          </w:p>
        </w:tc>
        <w:tc>
          <w:tcPr>
            <w:tcW w:w="1464"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公布破产程序判决书(53a)</w:t>
            </w:r>
          </w:p>
        </w:tc>
        <w:tc>
          <w:tcPr>
            <w:tcW w:w="1464"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公布破产程序(53b及53c)</w:t>
            </w:r>
          </w:p>
        </w:tc>
        <w:tc>
          <w:tcPr>
            <w:tcW w:w="1464"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出版破产从业员登记册(第54及55号)</w:t>
            </w:r>
          </w:p>
        </w:tc>
        <w:tc>
          <w:tcPr>
            <w:tcW w:w="1464"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8"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13"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48"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64"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4</w:t>
            </w:r>
          </w:p>
        </w:tc>
        <w:tc>
          <w:tcPr>
            <w:tcW w:w="1218"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4</w:t>
            </w:r>
          </w:p>
        </w:tc>
        <w:tc>
          <w:tcPr>
            <w:tcW w:w="1213"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8</w:t>
            </w:r>
          </w:p>
        </w:tc>
      </w:tr>
    </w:tbl>
    <w:p>
      <w:pPr>
        <w:spacing w:before="3" w:line="400" w:lineRule="exact"/>
        <w:ind w:left="109" w:firstLine="420" w:firstLineChars="200"/>
        <w:jc w:val="both"/>
        <w:rPr>
          <w:rFonts w:eastAsia="宋体"/>
          <w:iCs/>
          <w:sz w:val="21"/>
          <w:szCs w:val="21"/>
          <w:lang w:eastAsia="zh-CN"/>
        </w:rPr>
      </w:pPr>
      <w:r>
        <w:rPr>
          <w:rFonts w:eastAsia="宋体" w:cs="宋体"/>
          <w:i/>
          <w:iCs w:val="0"/>
          <w:sz w:val="21"/>
          <w:szCs w:val="21"/>
          <w:lang w:eastAsia="zh-CN"/>
        </w:rPr>
        <w:t>注:</w:t>
      </w:r>
      <w:r>
        <w:rPr>
          <w:rFonts w:eastAsia="宋体" w:cs="宋体"/>
          <w:iCs/>
          <w:sz w:val="21"/>
          <w:szCs w:val="21"/>
          <w:lang w:eastAsia="zh-CN"/>
        </w:rPr>
        <w:t>FFP =</w:t>
      </w:r>
      <w:r>
        <w:rPr>
          <w:rFonts w:hint="eastAsia" w:eastAsia="宋体" w:cs="宋体"/>
          <w:iCs/>
          <w:sz w:val="21"/>
          <w:szCs w:val="21"/>
          <w:lang w:eastAsia="zh-CN"/>
        </w:rPr>
        <w:t>企业灵活</w:t>
      </w:r>
      <w:r>
        <w:rPr>
          <w:rFonts w:hint="eastAsia" w:eastAsia="宋体" w:cs="宋体"/>
          <w:iCs/>
          <w:sz w:val="21"/>
          <w:szCs w:val="21"/>
          <w:lang w:val="en-US" w:eastAsia="zh-CN"/>
        </w:rPr>
        <w:t>度得</w:t>
      </w:r>
      <w:r>
        <w:rPr>
          <w:rFonts w:eastAsia="宋体" w:cs="宋体"/>
          <w:iCs/>
          <w:sz w:val="21"/>
          <w:szCs w:val="21"/>
          <w:lang w:eastAsia="zh-CN"/>
        </w:rPr>
        <w:t>分;SBP =社会效益</w:t>
      </w:r>
      <w:r>
        <w:rPr>
          <w:rFonts w:hint="eastAsia" w:eastAsia="宋体" w:cs="宋体"/>
          <w:iCs/>
          <w:sz w:val="21"/>
          <w:szCs w:val="21"/>
          <w:lang w:val="en-US" w:eastAsia="zh-CN"/>
        </w:rPr>
        <w:t>得</w:t>
      </w:r>
      <w:r>
        <w:rPr>
          <w:rFonts w:eastAsia="宋体" w:cs="宋体"/>
          <w:iCs/>
          <w:sz w:val="21"/>
          <w:szCs w:val="21"/>
          <w:lang w:eastAsia="zh-CN"/>
        </w:rPr>
        <w:t>分。</w:t>
      </w:r>
    </w:p>
    <w:p>
      <w:pPr>
        <w:pStyle w:val="3"/>
        <w:spacing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2.2公职人员和破产管理人</w:t>
      </w:r>
    </w:p>
    <w:p>
      <w:pPr>
        <w:pStyle w:val="3"/>
        <w:spacing w:before="11" w:line="400" w:lineRule="exact"/>
        <w:ind w:firstLine="562" w:firstLineChars="200"/>
        <w:jc w:val="both"/>
        <w:rPr>
          <w:rFonts w:eastAsia="宋体"/>
          <w:b/>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2.2.1破产法院或破产法官的专业化</w:t>
      </w:r>
    </w:p>
    <w:p>
      <w:pPr>
        <w:pStyle w:val="3"/>
        <w:spacing w:line="400" w:lineRule="exact"/>
        <w:ind w:firstLine="562" w:firstLineChars="200"/>
        <w:jc w:val="both"/>
        <w:rPr>
          <w:rFonts w:eastAsia="宋体"/>
          <w:b/>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在[经济中最大的商业城市]，是否有专门的破产法庭或商事法庭中是否有专门处理破产事务的法官/分庭/法官席?(Y /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如果Y→继续第57、58、59题。</w:t>
      </w:r>
    </w:p>
    <w:p>
      <w:pPr>
        <w:pStyle w:val="3"/>
        <w:spacing w:before="1" w:line="400" w:lineRule="exact"/>
        <w:ind w:left="560" w:firstLine="560" w:firstLineChars="200"/>
        <w:jc w:val="both"/>
        <w:rPr>
          <w:rFonts w:eastAsia="宋体" w:cs="宋体"/>
          <w:sz w:val="28"/>
        </w:rPr>
      </w:pPr>
      <w:r>
        <w:rPr>
          <w:rFonts w:eastAsia="宋体" w:cs="宋体"/>
          <w:sz w:val="28"/>
        </w:rPr>
        <w:t>如果N→60题0分。</w:t>
      </w:r>
    </w:p>
    <w:p>
      <w:pPr>
        <w:pStyle w:val="3"/>
        <w:spacing w:line="400" w:lineRule="exact"/>
        <w:ind w:firstLine="560" w:firstLineChars="200"/>
        <w:jc w:val="both"/>
        <w:rPr>
          <w:rFonts w:eastAsia="宋体"/>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破产法院、分院、审判席或破产法官的名称是什么?(不计分)</w:t>
      </w:r>
    </w:p>
    <w:p>
      <w:pPr>
        <w:pStyle w:val="3"/>
        <w:spacing w:before="11" w:line="400" w:lineRule="exact"/>
        <w:ind w:firstLine="560" w:firstLineChars="200"/>
        <w:jc w:val="both"/>
        <w:rPr>
          <w:rFonts w:eastAsia="宋体"/>
          <w:i/>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[法院名称]在实践中是否完全运作(要求将所有破产事宜分配给他们)?(Y / N)</w:t>
      </w:r>
    </w:p>
    <w:p>
      <w:pPr>
        <w:pStyle w:val="3"/>
        <w:spacing w:before="11" w:line="400" w:lineRule="exact"/>
        <w:ind w:firstLine="560" w:firstLineChars="200"/>
        <w:jc w:val="both"/>
        <w:rPr>
          <w:rFonts w:eastAsia="宋体"/>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在【最大的商业城市】，是否所有的破产事务都交由现有的商事法庭/破产法庭/破产法官处理?(Y / N)</w:t>
      </w:r>
    </w:p>
    <w:p>
      <w:pPr>
        <w:pStyle w:val="3"/>
        <w:spacing w:before="11"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2.1.2破产管理人在实践中的专业知识</w:t>
      </w:r>
    </w:p>
    <w:p>
      <w:pPr>
        <w:pStyle w:val="3"/>
        <w:spacing w:after="120" w:afterLines="50" w:line="400" w:lineRule="exact"/>
        <w:ind w:left="440" w:leftChars="200"/>
        <w:jc w:val="both"/>
        <w:rPr>
          <w:rFonts w:eastAsia="宋体"/>
          <w:b/>
          <w:sz w:val="28"/>
          <w:lang w:eastAsia="zh-CN"/>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在实际中破产管理人的资格/要求需要符合下列哪一项?(Y / N)</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60</w:t>
      </w:r>
      <w:r>
        <w:rPr>
          <w:rFonts w:hint="eastAsia" w:eastAsia="宋体" w:cs="宋体"/>
          <w:sz w:val="28"/>
          <w:lang w:eastAsia="zh-CN"/>
        </w:rPr>
        <w:t xml:space="preserve">a. </w:t>
      </w:r>
      <w:r>
        <w:rPr>
          <w:rFonts w:eastAsia="宋体" w:cs="宋体"/>
          <w:sz w:val="28"/>
          <w:lang w:eastAsia="zh-CN"/>
        </w:rPr>
        <w:t>最低实践经验年数</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60b</w:t>
      </w:r>
      <w:r>
        <w:rPr>
          <w:rFonts w:hint="eastAsia" w:eastAsia="宋体" w:cs="宋体"/>
          <w:sz w:val="28"/>
          <w:lang w:eastAsia="zh-CN"/>
        </w:rPr>
        <w:t xml:space="preserve">. </w:t>
      </w:r>
      <w:r>
        <w:rPr>
          <w:rFonts w:eastAsia="宋体" w:cs="宋体"/>
          <w:sz w:val="28"/>
          <w:lang w:eastAsia="zh-CN"/>
        </w:rPr>
        <w:t>具有大学法律学位(至少法学博士或法学学士)或会计学位</w:t>
      </w:r>
    </w:p>
    <w:p>
      <w:pPr>
        <w:pStyle w:val="3"/>
        <w:spacing w:before="1" w:line="400" w:lineRule="exact"/>
        <w:ind w:left="560" w:firstLine="560" w:firstLineChars="200"/>
        <w:jc w:val="both"/>
        <w:rPr>
          <w:rFonts w:eastAsia="宋体" w:cs="宋体"/>
          <w:sz w:val="28"/>
          <w:lang w:eastAsia="zh-CN"/>
        </w:rPr>
      </w:pPr>
      <w:r>
        <w:rPr>
          <w:rFonts w:hint="eastAsia" w:eastAsia="宋体" w:cs="宋体"/>
          <w:sz w:val="28"/>
          <w:lang w:eastAsia="zh-CN"/>
        </w:rPr>
        <w:t xml:space="preserve">60c. </w:t>
      </w:r>
      <w:r>
        <w:rPr>
          <w:rFonts w:eastAsia="宋体" w:cs="宋体"/>
          <w:sz w:val="28"/>
          <w:lang w:eastAsia="zh-CN"/>
        </w:rPr>
        <w:t>持有执照</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60</w:t>
      </w:r>
      <w:r>
        <w:rPr>
          <w:rFonts w:hint="eastAsia" w:eastAsia="宋体" w:cs="宋体"/>
          <w:sz w:val="28"/>
          <w:lang w:eastAsia="zh-CN"/>
        </w:rPr>
        <w:t>d.</w:t>
      </w:r>
      <w:r>
        <w:rPr>
          <w:rFonts w:eastAsia="宋体" w:cs="宋体"/>
          <w:sz w:val="28"/>
          <w:lang w:eastAsia="zh-CN"/>
        </w:rPr>
        <w:t>成为一个协会的注册会员。</w:t>
      </w:r>
    </w:p>
    <w:p>
      <w:pPr>
        <w:pStyle w:val="3"/>
        <w:spacing w:before="1" w:line="400" w:lineRule="exact"/>
        <w:ind w:left="560" w:firstLine="560" w:firstLineChars="200"/>
        <w:jc w:val="both"/>
        <w:rPr>
          <w:rFonts w:eastAsia="宋体" w:cs="宋体"/>
          <w:sz w:val="28"/>
          <w:lang w:eastAsia="zh-CN"/>
        </w:rPr>
      </w:pPr>
      <w:r>
        <w:rPr>
          <w:rFonts w:hint="eastAsia" w:eastAsia="宋体" w:cs="宋体"/>
          <w:sz w:val="28"/>
          <w:lang w:eastAsia="zh-CN"/>
        </w:rPr>
        <w:t xml:space="preserve">60e. </w:t>
      </w:r>
      <w:r>
        <w:rPr>
          <w:rFonts w:eastAsia="宋体" w:cs="宋体"/>
          <w:sz w:val="28"/>
          <w:lang w:eastAsia="zh-CN"/>
        </w:rPr>
        <w:t>通过资格考试</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60</w:t>
      </w:r>
      <w:r>
        <w:rPr>
          <w:rFonts w:hint="eastAsia" w:eastAsia="宋体" w:cs="宋体"/>
          <w:sz w:val="28"/>
          <w:lang w:eastAsia="zh-CN"/>
        </w:rPr>
        <w:t xml:space="preserve">f. </w:t>
      </w:r>
      <w:r>
        <w:rPr>
          <w:rFonts w:eastAsia="宋体" w:cs="宋体"/>
          <w:sz w:val="28"/>
          <w:lang w:eastAsia="zh-CN"/>
        </w:rPr>
        <w:t>完成专业培训</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60</w:t>
      </w:r>
      <w:r>
        <w:rPr>
          <w:rFonts w:hint="eastAsia" w:eastAsia="宋体" w:cs="宋体"/>
          <w:sz w:val="28"/>
          <w:lang w:eastAsia="zh-CN"/>
        </w:rPr>
        <w:t xml:space="preserve">g. </w:t>
      </w:r>
      <w:r>
        <w:rPr>
          <w:rFonts w:eastAsia="宋体" w:cs="宋体"/>
          <w:sz w:val="28"/>
          <w:lang w:eastAsia="zh-CN"/>
        </w:rPr>
        <w:t>无犯罪记录或财务违规记录</w:t>
      </w:r>
    </w:p>
    <w:p>
      <w:pPr>
        <w:pStyle w:val="3"/>
        <w:spacing w:before="1" w:line="400" w:lineRule="exact"/>
        <w:ind w:left="560" w:firstLine="560" w:firstLineChars="200"/>
        <w:jc w:val="both"/>
        <w:rPr>
          <w:rFonts w:eastAsia="宋体" w:cs="宋体"/>
          <w:sz w:val="28"/>
        </w:rPr>
      </w:pPr>
      <w:r>
        <w:rPr>
          <w:rFonts w:eastAsia="宋体" w:cs="宋体"/>
          <w:sz w:val="28"/>
        </w:rPr>
        <w:t>60h</w:t>
      </w:r>
      <w:r>
        <w:rPr>
          <w:rFonts w:hint="eastAsia" w:eastAsia="宋体" w:cs="宋体"/>
          <w:sz w:val="28"/>
          <w:lang w:eastAsia="zh-CN"/>
        </w:rPr>
        <w:t xml:space="preserve">. </w:t>
      </w:r>
      <w:r>
        <w:rPr>
          <w:rFonts w:eastAsia="宋体" w:cs="宋体"/>
          <w:sz w:val="28"/>
        </w:rPr>
        <w:t>其他，请说明</w:t>
      </w:r>
    </w:p>
    <w:p>
      <w:pPr>
        <w:pStyle w:val="3"/>
        <w:spacing w:before="1" w:line="400" w:lineRule="exact"/>
        <w:ind w:firstLine="560" w:firstLineChars="200"/>
        <w:jc w:val="both"/>
        <w:rPr>
          <w:rFonts w:eastAsia="宋体"/>
          <w:sz w:val="28"/>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93"/>
        <w:gridCol w:w="1419"/>
        <w:gridCol w:w="991"/>
        <w:gridCol w:w="163"/>
        <w:gridCol w:w="12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5"/>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2.2公职人员和破产管理人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543" w:type="dxa"/>
            <w:gridSpan w:val="5"/>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2.2.1破产法院或破产法官的专业化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93" w:type="dx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指标</w:t>
            </w:r>
          </w:p>
        </w:tc>
        <w:tc>
          <w:tcPr>
            <w:tcW w:w="1419"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54" w:type="dxa"/>
            <w:gridSpan w:val="2"/>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77" w:type="dxa"/>
            <w:vAlign w:val="center"/>
          </w:tcPr>
          <w:p>
            <w:pPr>
              <w:pStyle w:val="10"/>
              <w:spacing w:line="400" w:lineRule="exact"/>
              <w:ind w:left="107" w:leftChars="0"/>
              <w:jc w:val="center"/>
              <w:rPr>
                <w:rFonts w:eastAsia="宋体" w:cs="宋体"/>
                <w:b/>
                <w:bCs/>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9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专门法庭(58分和59分)</w:t>
            </w:r>
          </w:p>
        </w:tc>
        <w:tc>
          <w:tcPr>
            <w:tcW w:w="141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54" w:type="dxa"/>
            <w:gridSpan w:val="2"/>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93"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19"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w:t>
            </w:r>
          </w:p>
        </w:tc>
        <w:tc>
          <w:tcPr>
            <w:tcW w:w="1154" w:type="dxa"/>
            <w:gridSpan w:val="2"/>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w:t>
            </w:r>
          </w:p>
        </w:tc>
        <w:tc>
          <w:tcPr>
            <w:tcW w:w="1277"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3" w:type="dxa"/>
            <w:gridSpan w:val="5"/>
            <w:shd w:val="clear" w:color="auto" w:fill="E7EBF5"/>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2.2.2破产管理人的实务专长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93" w:type="dxa"/>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指标</w:t>
            </w:r>
          </w:p>
        </w:tc>
        <w:tc>
          <w:tcPr>
            <w:tcW w:w="1419"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54" w:type="dxa"/>
            <w:gridSpan w:val="2"/>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77"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693"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资格要求(60分)</w:t>
            </w:r>
          </w:p>
          <w:p>
            <w:pPr>
              <w:pStyle w:val="10"/>
              <w:spacing w:line="400" w:lineRule="exact"/>
              <w:jc w:val="both"/>
              <w:rPr>
                <w:rFonts w:eastAsia="宋体" w:cs="宋体"/>
                <w:sz w:val="24"/>
                <w:szCs w:val="24"/>
                <w:lang w:eastAsia="zh-CN"/>
              </w:rPr>
            </w:pPr>
            <w:r>
              <w:rPr>
                <w:rFonts w:hint="eastAsia" w:eastAsia="宋体" w:cs="宋体"/>
                <w:sz w:val="24"/>
                <w:szCs w:val="24"/>
                <w:lang w:eastAsia="zh-CN"/>
              </w:rPr>
              <w:t>在实践中必须至少遵守所列要求中的3项才能获得分数</w:t>
            </w:r>
          </w:p>
        </w:tc>
        <w:tc>
          <w:tcPr>
            <w:tcW w:w="141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154" w:type="dxa"/>
            <w:gridSpan w:val="2"/>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w:t>
            </w:r>
          </w:p>
        </w:tc>
        <w:tc>
          <w:tcPr>
            <w:tcW w:w="1277"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93"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419"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w:t>
            </w:r>
          </w:p>
        </w:tc>
        <w:tc>
          <w:tcPr>
            <w:tcW w:w="991"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w:t>
            </w:r>
          </w:p>
        </w:tc>
        <w:tc>
          <w:tcPr>
            <w:tcW w:w="1440" w:type="dxa"/>
            <w:gridSpan w:val="2"/>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2</w:t>
            </w:r>
          </w:p>
        </w:tc>
      </w:tr>
    </w:tbl>
    <w:p>
      <w:pPr>
        <w:spacing w:before="1" w:line="400" w:lineRule="exact"/>
        <w:ind w:left="109" w:firstLine="420" w:firstLineChars="200"/>
        <w:jc w:val="both"/>
        <w:rPr>
          <w:rFonts w:eastAsia="宋体"/>
          <w:iCs/>
          <w:sz w:val="21"/>
          <w:szCs w:val="21"/>
          <w:lang w:eastAsia="zh-CN"/>
        </w:rPr>
      </w:pPr>
      <w:r>
        <w:rPr>
          <w:rFonts w:eastAsia="宋体" w:cs="宋体"/>
          <w:i/>
          <w:iCs w:val="0"/>
          <w:sz w:val="21"/>
          <w:szCs w:val="21"/>
          <w:lang w:eastAsia="zh-CN"/>
        </w:rPr>
        <w:t>注</w:t>
      </w:r>
      <w:r>
        <w:rPr>
          <w:rFonts w:eastAsia="宋体" w:cs="宋体"/>
          <w:iCs/>
          <w:sz w:val="21"/>
          <w:szCs w:val="21"/>
          <w:lang w:eastAsia="zh-CN"/>
        </w:rPr>
        <w:t xml:space="preserve">:FFP = </w:t>
      </w:r>
      <w:r>
        <w:rPr>
          <w:rFonts w:hint="eastAsia" w:eastAsia="宋体" w:cs="宋体"/>
          <w:iCs/>
          <w:sz w:val="21"/>
          <w:szCs w:val="21"/>
          <w:lang w:eastAsia="zh-CN"/>
        </w:rPr>
        <w:t>企业灵活度</w:t>
      </w:r>
      <w:r>
        <w:rPr>
          <w:rFonts w:hint="eastAsia" w:eastAsia="宋体" w:cs="宋体"/>
          <w:iCs/>
          <w:sz w:val="21"/>
          <w:szCs w:val="21"/>
          <w:lang w:val="en-US" w:eastAsia="zh-CN"/>
        </w:rPr>
        <w:t>得</w:t>
      </w:r>
      <w:r>
        <w:rPr>
          <w:rFonts w:hint="eastAsia" w:eastAsia="宋体" w:cs="宋体"/>
          <w:iCs/>
          <w:sz w:val="21"/>
          <w:szCs w:val="21"/>
          <w:lang w:eastAsia="zh-CN"/>
        </w:rPr>
        <w:t>分</w:t>
      </w:r>
      <w:r>
        <w:rPr>
          <w:rFonts w:eastAsia="宋体" w:cs="宋体"/>
          <w:iCs/>
          <w:sz w:val="21"/>
          <w:szCs w:val="21"/>
          <w:lang w:eastAsia="zh-CN"/>
        </w:rPr>
        <w:t>;SBP =社会效益</w:t>
      </w:r>
      <w:r>
        <w:rPr>
          <w:rFonts w:hint="eastAsia" w:eastAsia="宋体" w:cs="宋体"/>
          <w:iCs/>
          <w:sz w:val="21"/>
          <w:szCs w:val="21"/>
          <w:lang w:val="en-US" w:eastAsia="zh-CN"/>
        </w:rPr>
        <w:t>得</w:t>
      </w:r>
      <w:r>
        <w:rPr>
          <w:rFonts w:eastAsia="宋体" w:cs="宋体"/>
          <w:iCs/>
          <w:sz w:val="21"/>
          <w:szCs w:val="21"/>
          <w:lang w:eastAsia="zh-CN"/>
        </w:rPr>
        <w:t>分。</w:t>
      </w:r>
    </w:p>
    <w:p>
      <w:pPr>
        <w:pStyle w:val="3"/>
        <w:spacing w:before="4" w:line="400" w:lineRule="exact"/>
        <w:ind w:firstLine="560" w:firstLineChars="200"/>
        <w:jc w:val="both"/>
        <w:rPr>
          <w:rFonts w:eastAsia="宋体"/>
          <w:sz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vAlign w:val="center"/>
          </w:tcPr>
          <w:p>
            <w:pPr>
              <w:pStyle w:val="10"/>
              <w:spacing w:line="400" w:lineRule="exact"/>
              <w:jc w:val="both"/>
              <w:rPr>
                <w:rFonts w:eastAsia="宋体" w:cs="宋体"/>
                <w:b/>
                <w:bCs/>
                <w:sz w:val="24"/>
                <w:szCs w:val="24"/>
                <w:lang w:eastAsia="zh-CN"/>
              </w:rPr>
            </w:pPr>
            <w:r>
              <w:rPr>
                <w:rFonts w:hint="eastAsia" w:eastAsia="宋体" w:cs="宋体"/>
                <w:b/>
                <w:bCs/>
                <w:color w:val="FFFFFF" w:themeColor="background1"/>
                <w:sz w:val="24"/>
                <w:szCs w:val="24"/>
                <w:lang w:eastAsia="zh-CN"/>
                <w14:textFill>
                  <w14:solidFill>
                    <w14:schemeClr w14:val="bg1"/>
                  </w14:solidFill>
                </w14:textFill>
              </w:rPr>
              <w:t>维度III——在实践中解决司法破产程序的效率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2"/>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1" w:hRule="atLeast"/>
        </w:trPr>
        <w:tc>
          <w:tcPr>
            <w:tcW w:w="315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负债公司</w:t>
            </w:r>
          </w:p>
        </w:tc>
        <w:tc>
          <w:tcPr>
            <w:tcW w:w="639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企业破产假定债务人是在每个经济体中最大的商业城市经营的国内有限责任公司(LLC)。公司的资产规模由公司在每个经济体的市场价值决定，该市场价值是根据国民总收入(GNI)的150到200倍设定的。有限责任公司拖欠其有担保和无担保债权人的债务到期时的债务，或者债务人负债的价值超过其资产的价值。建立一个具有非常具体特征的标准化债务人公司，是在衡量破产时间和成本时保持可比性的唯一方法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15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主管法院及其所在地</w:t>
            </w:r>
          </w:p>
        </w:tc>
        <w:tc>
          <w:tcPr>
            <w:tcW w:w="639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最大的(全国人口最多的城市)。地理位置决定了电力连接的可用性，以及所需的连接类型和建设。对于维度I，如果一个国家内各州的法规不同，专家将被要求提供有关最大城市法规的信息。</w:t>
            </w:r>
          </w:p>
        </w:tc>
      </w:tr>
    </w:tbl>
    <w:p>
      <w:pPr>
        <w:pStyle w:val="3"/>
        <w:spacing w:before="1"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3.1实践中的清算程序</w:t>
      </w:r>
    </w:p>
    <w:p>
      <w:pPr>
        <w:pStyle w:val="3"/>
        <w:spacing w:before="9"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根据【经济中最大的商业城市】的实践:</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61</w:t>
      </w:r>
      <w:r>
        <w:rPr>
          <w:rFonts w:hint="eastAsia" w:eastAsia="宋体" w:cs="宋体"/>
          <w:sz w:val="28"/>
          <w:lang w:eastAsia="zh-CN"/>
        </w:rPr>
        <w:t xml:space="preserve">a. </w:t>
      </w:r>
      <w:r>
        <w:rPr>
          <w:rFonts w:eastAsia="宋体" w:cs="宋体"/>
          <w:sz w:val="28"/>
          <w:lang w:eastAsia="zh-CN"/>
        </w:rPr>
        <w:t>破产公司(按上述指示的定义)完成</w:t>
      </w:r>
      <w:r>
        <w:rPr>
          <w:rFonts w:hint="eastAsia" w:eastAsia="宋体" w:cs="宋体"/>
          <w:sz w:val="28"/>
          <w:lang w:eastAsia="zh-CN"/>
        </w:rPr>
        <w:t>清算</w:t>
      </w:r>
      <w:r>
        <w:rPr>
          <w:rFonts w:eastAsia="宋体" w:cs="宋体"/>
          <w:sz w:val="28"/>
          <w:lang w:eastAsia="zh-CN"/>
        </w:rPr>
        <w:t>程序需要多长时间?</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61</w:t>
      </w:r>
      <w:r>
        <w:rPr>
          <w:rFonts w:hint="eastAsia" w:eastAsia="宋体" w:cs="宋体"/>
          <w:sz w:val="28"/>
          <w:lang w:eastAsia="zh-CN"/>
        </w:rPr>
        <w:t xml:space="preserve">b. </w:t>
      </w:r>
      <w:r>
        <w:rPr>
          <w:rFonts w:eastAsia="宋体" w:cs="宋体"/>
          <w:sz w:val="28"/>
          <w:lang w:eastAsia="zh-CN"/>
        </w:rPr>
        <w:t>破产公司(按上述说明的定义)完成清算程序需要多少费用?</w:t>
      </w:r>
    </w:p>
    <w:p>
      <w:pPr>
        <w:pStyle w:val="3"/>
        <w:spacing w:line="400" w:lineRule="exact"/>
        <w:ind w:firstLine="560" w:firstLineChars="200"/>
        <w:jc w:val="both"/>
        <w:rPr>
          <w:rFonts w:eastAsia="宋体"/>
          <w:sz w:val="28"/>
          <w:lang w:eastAsia="zh-CN"/>
        </w:rPr>
      </w:pPr>
    </w:p>
    <w:p>
      <w:pPr>
        <w:pStyle w:val="3"/>
        <w:spacing w:after="120" w:afterLines="50" w:line="400" w:lineRule="exact"/>
        <w:ind w:firstLine="562" w:firstLineChars="200"/>
        <w:jc w:val="both"/>
        <w:rPr>
          <w:rFonts w:eastAsia="宋体"/>
          <w:b/>
          <w:sz w:val="28"/>
          <w:lang w:eastAsia="zh-CN"/>
        </w:rPr>
      </w:pPr>
      <w:r>
        <w:rPr>
          <w:rFonts w:hint="eastAsia" w:eastAsia="宋体"/>
          <w:b/>
          <w:sz w:val="28"/>
          <w:lang w:eastAsia="zh-CN"/>
        </w:rPr>
        <w:t>3.2实践中的重整程序</w:t>
      </w:r>
    </w:p>
    <w:p>
      <w:pPr>
        <w:pStyle w:val="3"/>
        <w:spacing w:line="400" w:lineRule="exact"/>
        <w:ind w:firstLine="562" w:firstLineChars="200"/>
        <w:jc w:val="both"/>
        <w:rPr>
          <w:rFonts w:eastAsia="宋体"/>
          <w:b/>
          <w:sz w:val="28"/>
        </w:rPr>
      </w:pPr>
    </w:p>
    <w:p>
      <w:pPr>
        <w:pStyle w:val="3"/>
        <w:numPr>
          <w:ilvl w:val="0"/>
          <w:numId w:val="1"/>
        </w:numPr>
        <w:spacing w:after="120" w:afterLines="50" w:line="400" w:lineRule="exact"/>
        <w:ind w:firstLine="562" w:firstLineChars="200"/>
        <w:jc w:val="both"/>
        <w:rPr>
          <w:rFonts w:eastAsia="宋体"/>
          <w:b/>
          <w:sz w:val="28"/>
          <w:lang w:eastAsia="zh-CN"/>
        </w:rPr>
      </w:pPr>
      <w:r>
        <w:rPr>
          <w:rFonts w:hint="eastAsia" w:eastAsia="宋体"/>
          <w:b/>
          <w:sz w:val="28"/>
          <w:lang w:eastAsia="zh-CN"/>
        </w:rPr>
        <w:t>按照【经济中最大的商业城市】的做法:</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62</w:t>
      </w:r>
      <w:r>
        <w:rPr>
          <w:rFonts w:hint="eastAsia" w:eastAsia="宋体" w:cs="宋体"/>
          <w:sz w:val="28"/>
          <w:lang w:eastAsia="zh-CN"/>
        </w:rPr>
        <w:t xml:space="preserve">a. </w:t>
      </w:r>
      <w:r>
        <w:rPr>
          <w:rFonts w:eastAsia="宋体" w:cs="宋体"/>
          <w:sz w:val="28"/>
          <w:lang w:eastAsia="zh-CN"/>
        </w:rPr>
        <w:t>破产公司(按上述说明的定义)完成重组程序需要多长时间?</w:t>
      </w:r>
    </w:p>
    <w:p>
      <w:pPr>
        <w:pStyle w:val="3"/>
        <w:spacing w:before="1" w:line="400" w:lineRule="exact"/>
        <w:ind w:left="560" w:firstLine="560" w:firstLineChars="200"/>
        <w:jc w:val="both"/>
        <w:rPr>
          <w:rFonts w:eastAsia="宋体" w:cs="宋体"/>
          <w:sz w:val="28"/>
          <w:lang w:eastAsia="zh-CN"/>
        </w:rPr>
      </w:pPr>
      <w:r>
        <w:rPr>
          <w:rFonts w:eastAsia="宋体" w:cs="宋体"/>
          <w:sz w:val="28"/>
          <w:lang w:eastAsia="zh-CN"/>
        </w:rPr>
        <w:t>62</w:t>
      </w:r>
      <w:r>
        <w:rPr>
          <w:rFonts w:hint="eastAsia" w:eastAsia="宋体" w:cs="宋体"/>
          <w:sz w:val="28"/>
          <w:lang w:eastAsia="zh-CN"/>
        </w:rPr>
        <w:t xml:space="preserve">b. </w:t>
      </w:r>
      <w:r>
        <w:rPr>
          <w:rFonts w:eastAsia="宋体" w:cs="宋体"/>
          <w:sz w:val="28"/>
          <w:lang w:eastAsia="zh-CN"/>
        </w:rPr>
        <w:t>破产公司(如上述说明所定义)完成重组程序需要多少费用?</w:t>
      </w:r>
    </w:p>
    <w:p>
      <w:pPr>
        <w:rPr>
          <w:rFonts w:eastAsia="宋体" w:cs="宋体"/>
          <w:sz w:val="28"/>
          <w:lang w:eastAsia="zh-CN"/>
        </w:rPr>
      </w:pPr>
      <w:r>
        <w:rPr>
          <w:rFonts w:eastAsia="宋体" w:cs="宋体"/>
          <w:sz w:val="28"/>
          <w:lang w:eastAsia="zh-CN"/>
        </w:rPr>
        <w:br w:type="page"/>
      </w: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6"/>
        <w:gridCol w:w="1546"/>
        <w:gridCol w:w="1172"/>
        <w:gridCol w:w="12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CCD4EA"/>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3.1实践中的清算程序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6" w:type="dxa"/>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指标</w:t>
            </w:r>
          </w:p>
        </w:tc>
        <w:tc>
          <w:tcPr>
            <w:tcW w:w="1546"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72"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59"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庭内清盘程序的解决时间(61a)</w:t>
            </w:r>
          </w:p>
        </w:tc>
        <w:tc>
          <w:tcPr>
            <w:tcW w:w="154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c>
          <w:tcPr>
            <w:tcW w:w="117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125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解决庭内清算程序的费用(61b)</w:t>
            </w:r>
          </w:p>
        </w:tc>
        <w:tc>
          <w:tcPr>
            <w:tcW w:w="154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c>
          <w:tcPr>
            <w:tcW w:w="117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125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6"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546"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1172"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不适用</w:t>
            </w:r>
          </w:p>
        </w:tc>
        <w:tc>
          <w:tcPr>
            <w:tcW w:w="1259" w:type="dxa"/>
            <w:shd w:val="clear" w:color="auto" w:fill="FFC000"/>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CCD4EA"/>
            <w:vAlign w:val="center"/>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3.2实践中的重整程序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566" w:type="dxa"/>
            <w:vAlign w:val="center"/>
          </w:tcPr>
          <w:p>
            <w:pPr>
              <w:pStyle w:val="10"/>
              <w:spacing w:line="400" w:lineRule="exact"/>
              <w:jc w:val="both"/>
              <w:rPr>
                <w:rFonts w:eastAsia="宋体" w:cs="宋体"/>
                <w:sz w:val="24"/>
                <w:szCs w:val="24"/>
                <w:lang w:eastAsia="zh-CN"/>
              </w:rPr>
            </w:pPr>
            <w:r>
              <w:rPr>
                <w:rFonts w:hint="eastAsia" w:eastAsia="宋体" w:cs="宋体"/>
                <w:b/>
                <w:bCs/>
                <w:sz w:val="24"/>
                <w:szCs w:val="24"/>
                <w:lang w:eastAsia="zh-CN"/>
              </w:rPr>
              <w:t>指标</w:t>
            </w:r>
          </w:p>
        </w:tc>
        <w:tc>
          <w:tcPr>
            <w:tcW w:w="1546"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企业灵活度</w:t>
            </w:r>
            <w:r>
              <w:rPr>
                <w:rFonts w:hint="eastAsia" w:eastAsia="宋体" w:cs="宋体"/>
                <w:b/>
                <w:bCs/>
                <w:sz w:val="24"/>
                <w:szCs w:val="24"/>
                <w:lang w:val="en-US" w:eastAsia="zh-CN"/>
              </w:rPr>
              <w:t>得分</w:t>
            </w:r>
          </w:p>
        </w:tc>
        <w:tc>
          <w:tcPr>
            <w:tcW w:w="1172"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社会效益</w:t>
            </w:r>
            <w:r>
              <w:rPr>
                <w:rFonts w:hint="eastAsia" w:eastAsia="宋体" w:cs="宋体"/>
                <w:b/>
                <w:bCs/>
                <w:sz w:val="24"/>
                <w:szCs w:val="24"/>
                <w:lang w:val="en-US" w:eastAsia="zh-CN"/>
              </w:rPr>
              <w:t>得分</w:t>
            </w:r>
          </w:p>
        </w:tc>
        <w:tc>
          <w:tcPr>
            <w:tcW w:w="1259" w:type="dxa"/>
            <w:vAlign w:val="center"/>
          </w:tcPr>
          <w:p>
            <w:pPr>
              <w:pStyle w:val="10"/>
              <w:spacing w:line="400" w:lineRule="exact"/>
              <w:ind w:left="107" w:leftChars="0"/>
              <w:jc w:val="center"/>
              <w:rPr>
                <w:rFonts w:eastAsia="宋体" w:cs="宋体"/>
                <w:sz w:val="24"/>
                <w:szCs w:val="24"/>
                <w:lang w:eastAsia="zh-CN"/>
              </w:rPr>
            </w:pPr>
            <w:r>
              <w:rPr>
                <w:rFonts w:hint="eastAsia" w:eastAsia="宋体" w:cs="宋体"/>
                <w:b/>
                <w:bCs/>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6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解决庭内重组程序的时间(62a)</w:t>
            </w:r>
          </w:p>
        </w:tc>
        <w:tc>
          <w:tcPr>
            <w:tcW w:w="1546"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c>
          <w:tcPr>
            <w:tcW w:w="1172"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1259" w:type="dxa"/>
            <w:vAlign w:val="center"/>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66"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解决庭内重组程序的费用(62b)</w:t>
            </w:r>
          </w:p>
        </w:tc>
        <w:tc>
          <w:tcPr>
            <w:tcW w:w="1546"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c>
          <w:tcPr>
            <w:tcW w:w="1172"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不适用</w:t>
            </w:r>
          </w:p>
        </w:tc>
        <w:tc>
          <w:tcPr>
            <w:tcW w:w="1259" w:type="dxa"/>
          </w:tcPr>
          <w:p>
            <w:pPr>
              <w:pStyle w:val="10"/>
              <w:spacing w:line="400" w:lineRule="exact"/>
              <w:jc w:val="both"/>
              <w:rPr>
                <w:rFonts w:eastAsia="宋体" w:cs="宋体"/>
                <w:sz w:val="24"/>
                <w:szCs w:val="24"/>
                <w:lang w:eastAsia="zh-CN"/>
              </w:rPr>
            </w:pPr>
            <w:r>
              <w:rPr>
                <w:rFonts w:hint="eastAsia" w:eastAsia="宋体" w:cs="宋体"/>
                <w:sz w:val="24"/>
                <w:szCs w:val="24"/>
                <w:lang w:eastAsia="zh-CN"/>
              </w:rPr>
              <w:t>100(50%)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6"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总</w:t>
            </w:r>
            <w:r>
              <w:rPr>
                <w:rFonts w:hint="eastAsia" w:eastAsia="宋体" w:cs="宋体"/>
                <w:b/>
                <w:bCs/>
                <w:sz w:val="24"/>
                <w:szCs w:val="24"/>
                <w:lang w:val="en-US" w:eastAsia="zh-CN"/>
              </w:rPr>
              <w:t>计</w:t>
            </w:r>
          </w:p>
        </w:tc>
        <w:tc>
          <w:tcPr>
            <w:tcW w:w="1546"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c>
          <w:tcPr>
            <w:tcW w:w="1172"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不适用</w:t>
            </w:r>
          </w:p>
        </w:tc>
        <w:tc>
          <w:tcPr>
            <w:tcW w:w="1259" w:type="dxa"/>
            <w:shd w:val="clear" w:color="auto" w:fill="FFC000"/>
          </w:tcPr>
          <w:p>
            <w:pPr>
              <w:pStyle w:val="10"/>
              <w:spacing w:line="400" w:lineRule="exact"/>
              <w:jc w:val="both"/>
              <w:rPr>
                <w:rFonts w:eastAsia="宋体" w:cs="宋体"/>
                <w:b/>
                <w:bCs/>
                <w:sz w:val="24"/>
                <w:szCs w:val="24"/>
                <w:lang w:eastAsia="zh-CN"/>
              </w:rPr>
            </w:pPr>
            <w:r>
              <w:rPr>
                <w:rFonts w:hint="eastAsia" w:eastAsia="宋体" w:cs="宋体"/>
                <w:b/>
                <w:bCs/>
                <w:sz w:val="24"/>
                <w:szCs w:val="24"/>
                <w:lang w:eastAsia="zh-CN"/>
              </w:rPr>
              <w:t>100</w:t>
            </w:r>
          </w:p>
        </w:tc>
      </w:tr>
    </w:tbl>
    <w:p>
      <w:pPr>
        <w:spacing w:before="1" w:line="400" w:lineRule="exact"/>
        <w:ind w:left="560" w:right="265" w:firstLine="420" w:firstLineChars="200"/>
        <w:jc w:val="both"/>
        <w:rPr>
          <w:rFonts w:eastAsia="宋体"/>
          <w:iCs/>
          <w:sz w:val="21"/>
          <w:szCs w:val="21"/>
          <w:lang w:eastAsia="zh-CN"/>
        </w:rPr>
      </w:pPr>
      <w:r>
        <w:rPr>
          <w:rFonts w:eastAsia="宋体" w:cs="宋体"/>
          <w:i/>
          <w:iCs w:val="0"/>
          <w:sz w:val="21"/>
          <w:szCs w:val="21"/>
          <w:lang w:eastAsia="zh-CN"/>
        </w:rPr>
        <w:t>注</w:t>
      </w:r>
      <w:r>
        <w:rPr>
          <w:rFonts w:eastAsia="宋体" w:cs="宋体"/>
          <w:iCs/>
          <w:sz w:val="21"/>
          <w:szCs w:val="21"/>
          <w:lang w:eastAsia="zh-CN"/>
        </w:rPr>
        <w:t>:n.a. =不适用(指对企业或社会的影响不明确或不存在的情况)。FFP =企业</w:t>
      </w:r>
      <w:r>
        <w:rPr>
          <w:rFonts w:hint="eastAsia" w:eastAsia="宋体" w:cs="宋体"/>
          <w:iCs/>
          <w:sz w:val="21"/>
          <w:szCs w:val="21"/>
          <w:lang w:eastAsia="zh-CN"/>
        </w:rPr>
        <w:t>灵活度</w:t>
      </w:r>
      <w:r>
        <w:rPr>
          <w:rFonts w:hint="eastAsia" w:eastAsia="宋体" w:cs="宋体"/>
          <w:iCs/>
          <w:sz w:val="21"/>
          <w:szCs w:val="21"/>
          <w:lang w:val="en-US" w:eastAsia="zh-CN"/>
        </w:rPr>
        <w:t>得</w:t>
      </w:r>
      <w:r>
        <w:rPr>
          <w:rFonts w:hint="eastAsia" w:eastAsia="宋体" w:cs="宋体"/>
          <w:iCs/>
          <w:sz w:val="21"/>
          <w:szCs w:val="21"/>
          <w:lang w:eastAsia="zh-CN"/>
        </w:rPr>
        <w:t>分</w:t>
      </w:r>
      <w:r>
        <w:rPr>
          <w:rFonts w:eastAsia="宋体" w:cs="宋体"/>
          <w:iCs/>
          <w:sz w:val="21"/>
          <w:szCs w:val="21"/>
          <w:lang w:eastAsia="zh-CN"/>
        </w:rPr>
        <w:t>;SBP =社会效益</w:t>
      </w:r>
      <w:r>
        <w:rPr>
          <w:rFonts w:hint="eastAsia" w:eastAsia="宋体" w:cs="宋体"/>
          <w:iCs/>
          <w:sz w:val="21"/>
          <w:szCs w:val="21"/>
          <w:lang w:val="en-US" w:eastAsia="zh-CN"/>
        </w:rPr>
        <w:t>得</w:t>
      </w:r>
      <w:r>
        <w:rPr>
          <w:rFonts w:eastAsia="宋体" w:cs="宋体"/>
          <w:iCs/>
          <w:sz w:val="21"/>
          <w:szCs w:val="21"/>
          <w:lang w:eastAsia="zh-CN"/>
        </w:rPr>
        <w:t>分。</w:t>
      </w:r>
    </w:p>
    <w:p>
      <w:pPr>
        <w:pStyle w:val="3"/>
        <w:spacing w:before="9" w:line="400" w:lineRule="exact"/>
        <w:ind w:firstLine="560" w:firstLineChars="200"/>
        <w:jc w:val="both"/>
        <w:rPr>
          <w:rFonts w:eastAsia="宋体"/>
          <w:sz w:val="28"/>
          <w:lang w:eastAsia="zh-CN"/>
        </w:rPr>
      </w:pPr>
    </w:p>
    <w:p>
      <w:pPr>
        <w:pStyle w:val="3"/>
        <w:spacing w:line="400" w:lineRule="exact"/>
        <w:ind w:left="200" w:right="199" w:firstLine="560" w:firstLineChars="200"/>
        <w:jc w:val="both"/>
        <w:rPr>
          <w:rFonts w:eastAsia="宋体"/>
          <w:sz w:val="28"/>
          <w:lang w:eastAsia="zh-CN"/>
        </w:rPr>
        <w:sectPr>
          <w:type w:val="continuous"/>
          <w:pgSz w:w="12240" w:h="15840"/>
          <w:pgMar w:top="1440" w:right="1240" w:bottom="280" w:left="1240" w:header="720" w:footer="720" w:gutter="0"/>
          <w:cols w:space="720" w:num="1"/>
        </w:sectPr>
      </w:pPr>
      <w:r>
        <w:rPr>
          <w:rFonts w:hint="eastAsia" w:eastAsia="宋体" w:cs="宋体"/>
          <w:sz w:val="28"/>
          <w:lang w:eastAsia="zh-CN"/>
        </w:rPr>
        <w:t>维度III</w:t>
      </w:r>
      <w:r>
        <w:rPr>
          <w:rFonts w:eastAsia="宋体" w:cs="宋体"/>
          <w:sz w:val="28"/>
          <w:lang w:eastAsia="zh-CN"/>
        </w:rPr>
        <w:t>指标的数据将被归一为一个共同的单位——例如，在0到100分的尺度上，其中0代表最低，100代表最好的表现。反过来，最佳(最差)绩效由最高(最低)标准和/或实践来定义，以单点或值范围来衡量。</w:t>
      </w:r>
    </w:p>
    <w:p>
      <w:pPr>
        <w:pStyle w:val="9"/>
        <w:tabs>
          <w:tab w:val="left" w:pos="560"/>
          <w:tab w:val="left" w:pos="561"/>
        </w:tabs>
        <w:spacing w:before="1" w:line="400" w:lineRule="exact"/>
        <w:ind w:left="0" w:right="466" w:firstLine="0"/>
        <w:jc w:val="both"/>
        <w:rPr>
          <w:rFonts w:eastAsia="宋体"/>
          <w:sz w:val="28"/>
          <w:lang w:eastAsia="zh-CN"/>
        </w:rPr>
      </w:pPr>
    </w:p>
    <w:sectPr>
      <w:type w:val="continuous"/>
      <w:pgSz w:w="12240" w:h="15840"/>
      <w:pgMar w:top="1440" w:right="1240" w:bottom="280" w:left="12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Songti SC Bold">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 w:name="Times New Roman Bold">
    <w:altName w:val="Times New Roman"/>
    <w:panose1 w:val="02020803070505020304"/>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879AEF"/>
    <w:multiLevelType w:val="multilevel"/>
    <w:tmpl w:val="C8879AEF"/>
    <w:lvl w:ilvl="0" w:tentative="0">
      <w:start w:val="1"/>
      <w:numFmt w:val="decimal"/>
      <w:lvlText w:val="%1."/>
      <w:lvlJc w:val="left"/>
      <w:pPr>
        <w:ind w:left="560" w:hanging="360"/>
        <w:jc w:val="left"/>
      </w:pPr>
      <w:rPr>
        <w:rFonts w:hint="default" w:ascii="Times New Roman" w:hAnsi="Times New Roman" w:eastAsia="Times New Roman" w:cs="Times New Roman"/>
        <w:b/>
        <w:bCs/>
        <w:i w:val="0"/>
        <w:iCs w:val="0"/>
        <w:w w:val="100"/>
        <w:sz w:val="22"/>
        <w:szCs w:val="22"/>
        <w:lang w:val="en-US" w:eastAsia="en-US" w:bidi="ar-SA"/>
      </w:rPr>
    </w:lvl>
    <w:lvl w:ilvl="1" w:tentative="0">
      <w:start w:val="0"/>
      <w:numFmt w:val="bullet"/>
      <w:lvlText w:val="-"/>
      <w:lvlJc w:val="left"/>
      <w:pPr>
        <w:ind w:left="560" w:hanging="360"/>
      </w:pPr>
      <w:rPr>
        <w:rFonts w:hint="default" w:ascii="Calibri" w:hAnsi="Calibri" w:eastAsia="Calibri" w:cs="Calibri"/>
        <w:b w:val="0"/>
        <w:bCs w:val="0"/>
        <w:i w:val="0"/>
        <w:iCs w:val="0"/>
        <w:w w:val="100"/>
        <w:sz w:val="22"/>
        <w:szCs w:val="22"/>
        <w:lang w:val="en-US" w:eastAsia="en-US" w:bidi="ar-SA"/>
      </w:rPr>
    </w:lvl>
    <w:lvl w:ilvl="2" w:tentative="0">
      <w:start w:val="0"/>
      <w:numFmt w:val="bullet"/>
      <w:lvlText w:val="•"/>
      <w:lvlJc w:val="left"/>
      <w:pPr>
        <w:ind w:left="2400" w:hanging="360"/>
      </w:pPr>
      <w:rPr>
        <w:rFonts w:hint="default"/>
        <w:lang w:val="en-US" w:eastAsia="en-US" w:bidi="ar-SA"/>
      </w:rPr>
    </w:lvl>
    <w:lvl w:ilvl="3" w:tentative="0">
      <w:start w:val="0"/>
      <w:numFmt w:val="bullet"/>
      <w:lvlText w:val="•"/>
      <w:lvlJc w:val="left"/>
      <w:pPr>
        <w:ind w:left="3320" w:hanging="360"/>
      </w:pPr>
      <w:rPr>
        <w:rFonts w:hint="default"/>
        <w:lang w:val="en-US" w:eastAsia="en-US" w:bidi="ar-SA"/>
      </w:rPr>
    </w:lvl>
    <w:lvl w:ilvl="4" w:tentative="0">
      <w:start w:val="0"/>
      <w:numFmt w:val="bullet"/>
      <w:lvlText w:val="•"/>
      <w:lvlJc w:val="left"/>
      <w:pPr>
        <w:ind w:left="4240" w:hanging="360"/>
      </w:pPr>
      <w:rPr>
        <w:rFonts w:hint="default"/>
        <w:lang w:val="en-US" w:eastAsia="en-US" w:bidi="ar-SA"/>
      </w:rPr>
    </w:lvl>
    <w:lvl w:ilvl="5" w:tentative="0">
      <w:start w:val="0"/>
      <w:numFmt w:val="bullet"/>
      <w:lvlText w:val="•"/>
      <w:lvlJc w:val="left"/>
      <w:pPr>
        <w:ind w:left="5160" w:hanging="360"/>
      </w:pPr>
      <w:rPr>
        <w:rFonts w:hint="default"/>
        <w:lang w:val="en-US" w:eastAsia="en-US" w:bidi="ar-SA"/>
      </w:rPr>
    </w:lvl>
    <w:lvl w:ilvl="6" w:tentative="0">
      <w:start w:val="0"/>
      <w:numFmt w:val="bullet"/>
      <w:lvlText w:val="•"/>
      <w:lvlJc w:val="left"/>
      <w:pPr>
        <w:ind w:left="6080" w:hanging="360"/>
      </w:pPr>
      <w:rPr>
        <w:rFonts w:hint="default"/>
        <w:lang w:val="en-US" w:eastAsia="en-US" w:bidi="ar-SA"/>
      </w:rPr>
    </w:lvl>
    <w:lvl w:ilvl="7" w:tentative="0">
      <w:start w:val="0"/>
      <w:numFmt w:val="bullet"/>
      <w:lvlText w:val="•"/>
      <w:lvlJc w:val="left"/>
      <w:pPr>
        <w:ind w:left="7000" w:hanging="360"/>
      </w:pPr>
      <w:rPr>
        <w:rFonts w:hint="default"/>
        <w:lang w:val="en-US" w:eastAsia="en-US" w:bidi="ar-SA"/>
      </w:rPr>
    </w:lvl>
    <w:lvl w:ilvl="8" w:tentative="0">
      <w:start w:val="0"/>
      <w:numFmt w:val="bullet"/>
      <w:lvlText w:val="•"/>
      <w:lvlJc w:val="left"/>
      <w:pPr>
        <w:ind w:left="7920" w:hanging="360"/>
      </w:pPr>
      <w:rPr>
        <w:rFonts w:hint="default"/>
        <w:lang w:val="en-US" w:eastAsia="en-US" w:bidi="ar-SA"/>
      </w:rPr>
    </w:lvl>
  </w:abstractNum>
  <w:abstractNum w:abstractNumId="1">
    <w:nsid w:val="D8EE513B"/>
    <w:multiLevelType w:val="singleLevel"/>
    <w:tmpl w:val="D8EE513B"/>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g4Y2U2MDgzMmU4MWM2MGFlNjU0MWVlMDMxYWRjYzIifQ=="/>
  </w:docVars>
  <w:rsids>
    <w:rsidRoot w:val="00705CCF"/>
    <w:rsid w:val="004C59FC"/>
    <w:rsid w:val="00705CCF"/>
    <w:rsid w:val="00B00377"/>
    <w:rsid w:val="06B72DBC"/>
    <w:rsid w:val="082F3D7D"/>
    <w:rsid w:val="08F25441"/>
    <w:rsid w:val="0A002E1E"/>
    <w:rsid w:val="0C1B5A9E"/>
    <w:rsid w:val="0EC532D1"/>
    <w:rsid w:val="11893C2C"/>
    <w:rsid w:val="15B17473"/>
    <w:rsid w:val="1F63002C"/>
    <w:rsid w:val="21D610AA"/>
    <w:rsid w:val="22877591"/>
    <w:rsid w:val="29A924E3"/>
    <w:rsid w:val="2CB35427"/>
    <w:rsid w:val="2DB152F1"/>
    <w:rsid w:val="2FAA4F22"/>
    <w:rsid w:val="319F3C0F"/>
    <w:rsid w:val="35973EAC"/>
    <w:rsid w:val="3DE14C60"/>
    <w:rsid w:val="3DF33AEA"/>
    <w:rsid w:val="43B42094"/>
    <w:rsid w:val="464E3D9E"/>
    <w:rsid w:val="4AF126BD"/>
    <w:rsid w:val="4E6E5C4C"/>
    <w:rsid w:val="50CF3883"/>
    <w:rsid w:val="539A6875"/>
    <w:rsid w:val="54D510E7"/>
    <w:rsid w:val="59325EEC"/>
    <w:rsid w:val="5DEC7816"/>
    <w:rsid w:val="5EE27456"/>
    <w:rsid w:val="5F034A5F"/>
    <w:rsid w:val="63E5429E"/>
    <w:rsid w:val="64805613"/>
    <w:rsid w:val="650B08D6"/>
    <w:rsid w:val="6C89702F"/>
    <w:rsid w:val="77EE655A"/>
    <w:rsid w:val="7E762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560" w:hanging="361"/>
      <w:outlineLvl w:val="0"/>
    </w:pPr>
    <w:rPr>
      <w:b/>
      <w:bCs/>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style>
  <w:style w:type="paragraph" w:styleId="4">
    <w:name w:val="footer"/>
    <w:basedOn w:val="1"/>
    <w:uiPriority w:val="0"/>
    <w:pPr>
      <w:tabs>
        <w:tab w:val="center" w:pos="4153"/>
        <w:tab w:val="right" w:pos="8306"/>
      </w:tabs>
      <w:snapToGrid w:val="0"/>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560" w:hanging="360"/>
    </w:pPr>
  </w:style>
  <w:style w:type="paragraph" w:customStyle="1" w:styleId="10">
    <w:name w:val="Table Paragraph"/>
    <w:basedOn w:val="1"/>
    <w:qFormat/>
    <w:uiPriority w:val="1"/>
    <w:pPr>
      <w:ind w:left="107"/>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58</Pages>
  <Words>21700</Words>
  <Characters>37667</Characters>
  <Lines>299</Lines>
  <Paragraphs>84</Paragraphs>
  <TotalTime>2</TotalTime>
  <ScaleCrop>false</ScaleCrop>
  <LinksUpToDate>false</LinksUpToDate>
  <CharactersWithSpaces>40328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2023-05-04T07:37:00Z</dcterms:created>
  <dc:creator>Lenovo</dc:creator>
  <cp:lastModifiedBy>WpsUser</cp:lastModifiedBy>
  <dcterms:modified xsi:type="dcterms:W3CDTF">2023-05-19T06:35:31Z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A18C6608A9254F32B3A79A1E830C591C_13</vt:lpwstr>
  </property>
</Properties>
</file>