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lang w:val="en-US" w:eastAsia="zh-CN"/>
        </w:rPr>
        <w:t>附件</w:t>
      </w:r>
    </w:p>
    <w:p>
      <w:pPr>
        <w:jc w:val="center"/>
        <w:rPr>
          <w:rFonts w:hint="eastAsia" w:ascii="Times New Roman" w:hAnsi="Times New Roman" w:eastAsia="方正小标宋简体" w:cs="方正小标宋简体"/>
          <w:color w:val="auto"/>
          <w:sz w:val="36"/>
          <w:szCs w:val="36"/>
        </w:rPr>
      </w:pPr>
      <w:r>
        <w:rPr>
          <w:rFonts w:hint="eastAsia" w:ascii="Times New Roman" w:hAnsi="Times New Roman" w:eastAsia="方正小标宋简体" w:cs="方正小标宋简体"/>
          <w:color w:val="auto"/>
          <w:sz w:val="36"/>
          <w:szCs w:val="36"/>
        </w:rPr>
        <w:t>宁波市水利局规章、规范性文件以及其他政策措施公平竞争审查目录</w:t>
      </w:r>
    </w:p>
    <w:p>
      <w:pPr>
        <w:jc w:val="center"/>
        <w:rPr>
          <w:rFonts w:hint="eastAsia" w:ascii="Times New Roman" w:hAnsi="Times New Roman" w:eastAsia="方正小标宋简体" w:cs="方正小标宋简体"/>
          <w:color w:val="auto"/>
          <w:sz w:val="36"/>
          <w:szCs w:val="36"/>
          <w:lang w:eastAsia="zh-CN"/>
        </w:rPr>
      </w:pPr>
      <w:r>
        <w:rPr>
          <w:rFonts w:hint="eastAsia" w:ascii="Times New Roman" w:hAnsi="Times New Roman" w:eastAsia="方正小标宋简体" w:cs="方正小标宋简体"/>
          <w:color w:val="auto"/>
          <w:sz w:val="36"/>
          <w:szCs w:val="36"/>
          <w:lang w:eastAsia="zh-CN"/>
        </w:rPr>
        <w:t>（</w:t>
      </w:r>
      <w:r>
        <w:rPr>
          <w:rFonts w:hint="eastAsia" w:ascii="Times New Roman" w:hAnsi="Times New Roman" w:eastAsia="方正小标宋简体" w:cs="方正小标宋简体"/>
          <w:color w:val="auto"/>
          <w:sz w:val="36"/>
          <w:szCs w:val="36"/>
          <w:lang w:val="en-US" w:eastAsia="zh-CN"/>
        </w:rPr>
        <w:t>2024年第一</w:t>
      </w:r>
      <w:bookmarkStart w:id="0" w:name="_GoBack"/>
      <w:bookmarkEnd w:id="0"/>
      <w:r>
        <w:rPr>
          <w:rFonts w:hint="eastAsia" w:ascii="Times New Roman" w:hAnsi="Times New Roman" w:eastAsia="方正小标宋简体" w:cs="方正小标宋简体"/>
          <w:color w:val="auto"/>
          <w:sz w:val="36"/>
          <w:szCs w:val="36"/>
          <w:lang w:val="en-US" w:eastAsia="zh-CN"/>
        </w:rPr>
        <w:t>季度</w:t>
      </w:r>
      <w:r>
        <w:rPr>
          <w:rFonts w:hint="eastAsia" w:ascii="Times New Roman" w:hAnsi="Times New Roman" w:eastAsia="方正小标宋简体" w:cs="方正小标宋简体"/>
          <w:color w:val="auto"/>
          <w:sz w:val="36"/>
          <w:szCs w:val="36"/>
          <w:lang w:eastAsia="zh-CN"/>
        </w:rPr>
        <w:t>）</w:t>
      </w:r>
    </w:p>
    <w:p>
      <w:pPr>
        <w:jc w:val="center"/>
        <w:rPr>
          <w:rFonts w:hint="eastAsia" w:ascii="Times New Roman" w:hAnsi="Times New Roman" w:eastAsia="方正小标宋简体" w:cs="方正小标宋简体"/>
          <w:color w:val="auto"/>
          <w:sz w:val="36"/>
          <w:szCs w:val="36"/>
          <w:lang w:eastAsia="zh-CN"/>
        </w:rPr>
      </w:pPr>
    </w:p>
    <w:tbl>
      <w:tblPr>
        <w:tblStyle w:val="2"/>
        <w:tblW w:w="12819" w:type="dxa"/>
        <w:jc w:val="center"/>
        <w:tblLayout w:type="fixed"/>
        <w:tblCellMar>
          <w:top w:w="0" w:type="dxa"/>
          <w:left w:w="0" w:type="dxa"/>
          <w:bottom w:w="0" w:type="dxa"/>
          <w:right w:w="0" w:type="dxa"/>
        </w:tblCellMar>
      </w:tblPr>
      <w:tblGrid>
        <w:gridCol w:w="739"/>
        <w:gridCol w:w="5601"/>
        <w:gridCol w:w="1875"/>
        <w:gridCol w:w="4604"/>
      </w:tblGrid>
      <w:tr>
        <w:tblPrEx>
          <w:tblCellMar>
            <w:top w:w="0" w:type="dxa"/>
            <w:left w:w="0" w:type="dxa"/>
            <w:bottom w:w="0" w:type="dxa"/>
            <w:right w:w="0" w:type="dxa"/>
          </w:tblCellMar>
        </w:tblPrEx>
        <w:trPr>
          <w:trHeight w:val="375"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序号</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名称及文号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类别</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审查意见</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1</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宁波财政局关于印发《宁波市市级防汛抗旱物资储备管理办法（试行）》的通知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（甬水利〔2014〕35号）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2</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关于印发《宁波市水利科技项目管理办法（试行）》的通知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（甬水利〔2014〕74号）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3</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关于印发《宁波市大中型闸泵工程管理规定（试行）》的通知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（甬水建〔2014〕109号）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仿宋_GB2312" w:eastAsia="仿宋_GB2312" w:cs="仿宋_GB2312"/>
                <w:color w:val="auto"/>
                <w:sz w:val="28"/>
                <w:szCs w:val="28"/>
              </w:rPr>
            </w:pPr>
            <w:r>
              <w:rPr>
                <w:rFonts w:hint="eastAsia" w:ascii="仿宋_GB2312" w:hAnsi="Times New Roman" w:eastAsia="仿宋_GB2312" w:cs="Times New Roman"/>
                <w:color w:val="auto"/>
                <w:spacing w:val="-4"/>
                <w:sz w:val="28"/>
                <w:szCs w:val="28"/>
                <w:lang w:val="en-US" w:eastAsia="zh-CN"/>
              </w:rPr>
              <w:t>4</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关于印发《宁波市水利建设项目工程总承包指导意见》的通知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（甬水建〔2015〕104号）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5</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宁波市水利系统专家库管理办法（试行）</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（甬水利〔2018〕75号）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6</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宁波市水利局关于推行“区域水评+涉水标准”改革的指导意见</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（甬水利〔2018〕80号）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7</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宁波市住房和城乡建设局 宁波市自然资源和规划局关于划定城镇排水与污水处理设施保护范围的通知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（甬排水〔2019〕6号）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8</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关于印发宁波市中心城区中高层住宅二次供水管理指导意见的通知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（甬水资〔2019〕9号）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9</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关于印发《宁波市水利建设工程担保管理办法》的通知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（甬水建安〔2020〕6号）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10</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《宁波市城市公共供水计划用水管理实施细则（试行）》</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（甬水资〔2020〕10号）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11</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关于印发宁波市水利水务监督规定（试行）的通知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（甬水利〔2021〕16号）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12</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宁波市水利局宁波市财政局宁波市发展和改革委员会关于征收宁波市中心城区自备水源用户污水处理费的通知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（甬水利〔2021〕14号）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仿宋_GB2312" w:eastAsia="仿宋_GB2312" w:cs="仿宋_GB2312"/>
                <w:color w:val="auto"/>
                <w:sz w:val="28"/>
                <w:szCs w:val="28"/>
                <w:lang w:val="en-US"/>
              </w:rPr>
            </w:pPr>
            <w:r>
              <w:rPr>
                <w:rFonts w:hint="eastAsia" w:ascii="仿宋_GB2312" w:hAnsi="Times New Roman" w:eastAsia="仿宋_GB2312" w:cs="Times New Roman"/>
                <w:color w:val="auto"/>
                <w:spacing w:val="-4"/>
                <w:sz w:val="28"/>
                <w:szCs w:val="28"/>
                <w:lang w:val="en-US" w:eastAsia="zh-CN"/>
              </w:rPr>
              <w:t>13</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关于印发《宁波市水利专业工程师、高级工程师职务任职资格评审工作实施办法》的通知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（甬水利〔2021〕17号）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14</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宁波市地方金融监管局 宁波银保监局关于印发《宁波市水利建设工程项目相关保险实施办法》的通知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（甬水利〔2022〕23号）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15</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宁波市发展和改革委员会 宁波市政务服务办公室关于印发《宁波市水利建设市场信用信息管理办法》和《宁波市水利建设市场主体信用动态评价管理办法》的通知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（甬水建安〔2022〕11号）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16</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宁波市水利局关于印发《宁波市城市公共供水定额用水管理暂行办法》的通知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（甬水资〔2023〕7号）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17</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宁波市水利局关于印发《宁波市地方性法规规章设置的水行政处罚事项裁量基准》的通知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（甬水利〔2023〕40号）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18</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 宁波市住房和城乡建设局 宁波市自然资源和规划局关于划定宁波市公共供水设施安全保护范围的通知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（甬水资〔2023〕10号）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r>
        <w:tblPrEx>
          <w:tblCellMar>
            <w:top w:w="0" w:type="dxa"/>
            <w:left w:w="0" w:type="dxa"/>
            <w:bottom w:w="0" w:type="dxa"/>
            <w:right w:w="0" w:type="dxa"/>
          </w:tblCellMar>
        </w:tblPrEx>
        <w:trPr>
          <w:trHeight w:val="962" w:hRule="atLeast"/>
          <w:jc w:val="center"/>
        </w:trPr>
        <w:tc>
          <w:tcPr>
            <w:tcW w:w="7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default"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19</w:t>
            </w:r>
          </w:p>
        </w:tc>
        <w:tc>
          <w:tcPr>
            <w:tcW w:w="5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宁波市水利局关于印发《宁波市水利工程建设项目档案验收办法》的通知</w:t>
            </w:r>
          </w:p>
          <w:p>
            <w:pPr>
              <w:keepNext w:val="0"/>
              <w:keepLines w:val="0"/>
              <w:pageBreakBefore w:val="0"/>
              <w:widowControl w:val="0"/>
              <w:kinsoku/>
              <w:wordWrap/>
              <w:overflowPunct/>
              <w:topLinePunct w:val="0"/>
              <w:autoSpaceDE/>
              <w:autoSpaceDN/>
              <w:bidi w:val="0"/>
              <w:adjustRightInd w:val="0"/>
              <w:snapToGrid w:val="0"/>
              <w:spacing w:line="398" w:lineRule="exact"/>
              <w:jc w:val="center"/>
              <w:textAlignment w:val="auto"/>
              <w:rPr>
                <w:rFonts w:hint="eastAsia" w:ascii="仿宋_GB2312" w:hAnsi="Times New Roman" w:eastAsia="仿宋_GB2312" w:cs="Times New Roman"/>
                <w:color w:val="auto"/>
                <w:spacing w:val="-4"/>
                <w:sz w:val="28"/>
                <w:szCs w:val="28"/>
                <w:lang w:val="en-US" w:eastAsia="zh-CN"/>
              </w:rPr>
            </w:pPr>
            <w:r>
              <w:rPr>
                <w:rFonts w:hint="eastAsia" w:ascii="仿宋_GB2312" w:hAnsi="Times New Roman" w:eastAsia="仿宋_GB2312" w:cs="Times New Roman"/>
                <w:color w:val="auto"/>
                <w:spacing w:val="-4"/>
                <w:sz w:val="28"/>
                <w:szCs w:val="28"/>
                <w:lang w:val="en-US" w:eastAsia="zh-CN"/>
              </w:rPr>
              <w:t>（甬水利〔2023〕59号）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规范性文件</w:t>
            </w:r>
          </w:p>
        </w:tc>
        <w:tc>
          <w:tcPr>
            <w:tcW w:w="4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经审查无排除限制竞争问题的文件</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Dk5MzA5YzI0N2YwMDJiMWQ3Zjg2ZTkxOGEzOTkifQ=="/>
  </w:docVars>
  <w:rsids>
    <w:rsidRoot w:val="007F2D2E"/>
    <w:rsid w:val="007F2D2E"/>
    <w:rsid w:val="1FEA0542"/>
    <w:rsid w:val="3FFD7D78"/>
    <w:rsid w:val="AEEEA300"/>
    <w:rsid w:val="EC1E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2023-07-11T11:21:00Z</dcterms:created>
  <dc:creator>tyq</dc:creator>
  <cp:lastModifiedBy>tongfang</cp:lastModifiedBy>
  <dcterms:modified xsi:type="dcterms:W3CDTF">2024-03-27T14:08:33Z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D65B4F7B05F74679B0D38C56A6E29F9F_11</vt:lpwstr>
  </property>
</Properties>
</file>